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231F20" strokeweight="1pt"/>
            </w:pict>
          </mc:Fallback>
        </mc:AlternateConten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89535</wp:posOffset>
                </wp:positionV>
                <wp:extent cx="13716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05pt" to="324pt,7.05pt" o:allowincell="f" strokecolor="#231F20" strokeweight="1pt"/>
            </w:pict>
          </mc:Fallback>
        </mc:AlternateConten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 One)</w:t>
      </w:r>
    </w:p>
    <w:p>
      <w:pPr>
        <w:spacing w:after="0" w:line="7" w:lineRule="exact"/>
        <w:rPr>
          <w:sz w:val="24"/>
          <w:szCs w:val="24"/>
          <w:color w:val="auto"/>
        </w:rPr>
      </w:pPr>
    </w:p>
    <w:p>
      <w:pPr>
        <w:ind w:left="440" w:hanging="426"/>
        <w:spacing w:after="0"/>
        <w:tabs>
          <w:tab w:leader="none" w:pos="440" w:val="left"/>
        </w:tabs>
        <w:numPr>
          <w:ilvl w:val="0"/>
          <w:numId w:val="1"/>
        </w:numPr>
        <w:rPr>
          <w:rFonts w:ascii="Segoe UI" w:cs="Segoe UI" w:eastAsia="Segoe UI" w:hAnsi="Segoe UI"/>
          <w:sz w:val="18"/>
          <w:szCs w:val="18"/>
          <w:b w:val="1"/>
          <w:bCs w:val="1"/>
          <w:color w:val="231F20"/>
        </w:rPr>
      </w:pPr>
      <w:r>
        <w:rPr>
          <w:rFonts w:ascii="Times New Roman" w:cs="Times New Roman" w:eastAsia="Times New Roman" w:hAnsi="Times New Roman"/>
          <w:sz w:val="18"/>
          <w:szCs w:val="18"/>
          <w:b w:val="1"/>
          <w:bCs w:val="1"/>
          <w:color w:val="231F20"/>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60" w:lineRule="exact"/>
        <w:rPr>
          <w:sz w:val="24"/>
          <w:szCs w:val="24"/>
          <w:color w:val="auto"/>
        </w:rPr>
      </w:pPr>
    </w:p>
    <w:p>
      <w:pPr>
        <w:ind w:left="440" w:hanging="426"/>
        <w:spacing w:after="0"/>
        <w:tabs>
          <w:tab w:leader="none" w:pos="440" w:val="left"/>
        </w:tabs>
        <w:numPr>
          <w:ilvl w:val="0"/>
          <w:numId w:val="2"/>
        </w:numPr>
        <w:rPr>
          <w:rFonts w:ascii="Segoe UI" w:cs="Segoe UI" w:eastAsia="Segoe UI" w:hAnsi="Segoe UI"/>
          <w:sz w:val="18"/>
          <w:szCs w:val="18"/>
          <w:b w:val="1"/>
          <w:bCs w:val="1"/>
          <w:color w:val="231F20"/>
        </w:rPr>
      </w:pPr>
      <w:r>
        <w:rPr>
          <w:rFonts w:ascii="Times New Roman" w:cs="Times New Roman" w:eastAsia="Times New Roman" w:hAnsi="Times New Roman"/>
          <w:sz w:val="18"/>
          <w:szCs w:val="18"/>
          <w:b w:val="1"/>
          <w:bCs w:val="1"/>
          <w:color w:val="231F20"/>
        </w:rPr>
        <w:t>TRANSITION REPORT PURSUANT TO SECTION 13 OR 15(d) OF THE SECURITIES EXCHANGE ACT OF 1934</w:t>
      </w:r>
    </w:p>
    <w:p>
      <w:pPr>
        <w:spacing w:after="0" w:line="6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231F20"/>
        </w:rPr>
        <w:t>For the transition period from _________________ to 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001-38537</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24pt,5.95pt" o:allowincell="f" strokecolor="#231F20" strokeweight="1pt"/>
            </w:pict>
          </mc:Fallback>
        </mc:AlternateConten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231F20"/>
        </w:rPr>
        <w:t>TECTONIC THERAPEUTIC,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57785</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5pt" to="324pt,4.55pt" o:allowincell="f" strokecolor="#231F20" strokeweight="1pt"/>
            </w:pict>
          </mc:Fallback>
        </mc:AlternateContent>
      </w:r>
    </w:p>
    <w:p>
      <w:pPr>
        <w:sectPr>
          <w:pgSz w:w="11880" w:h="15480" w:orient="portrait"/>
          <w:cols w:equalWidth="0" w:num="1">
            <w:col w:w="10800"/>
          </w:cols>
          <w:pgMar w:left="540" w:top="731" w:right="540" w:bottom="852" w:gutter="0" w:footer="0" w:header="0"/>
        </w:sectPr>
      </w:pPr>
    </w:p>
    <w:p>
      <w:pPr>
        <w:spacing w:after="0" w:line="147" w:lineRule="exact"/>
        <w:rPr>
          <w:sz w:val="24"/>
          <w:szCs w:val="24"/>
          <w:color w:val="auto"/>
        </w:rPr>
      </w:pPr>
    </w:p>
    <w:p>
      <w:pPr>
        <w:jc w:val="center"/>
        <w:ind w:right="3220"/>
        <w:spacing w:after="0"/>
        <w:rPr>
          <w:sz w:val="20"/>
          <w:szCs w:val="20"/>
          <w:color w:val="auto"/>
        </w:rPr>
      </w:pPr>
      <w:r>
        <w:rPr>
          <w:rFonts w:ascii="Times New Roman" w:cs="Times New Roman" w:eastAsia="Times New Roman" w:hAnsi="Times New Roman"/>
          <w:sz w:val="20"/>
          <w:szCs w:val="20"/>
          <w:b w:val="1"/>
          <w:bCs w:val="1"/>
          <w:color w:val="231F20"/>
        </w:rPr>
        <w:t>Delaware</w:t>
      </w:r>
    </w:p>
    <w:p>
      <w:pPr>
        <w:spacing w:after="0" w:line="2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231F20"/>
        </w:rPr>
        <w:t>(State or other jurisdiction of</w:t>
      </w:r>
    </w:p>
    <w:p>
      <w:pPr>
        <w:ind w:left="1180"/>
        <w:spacing w:after="0"/>
        <w:rPr>
          <w:sz w:val="20"/>
          <w:szCs w:val="20"/>
          <w:color w:val="auto"/>
        </w:rPr>
      </w:pPr>
      <w:r>
        <w:rPr>
          <w:rFonts w:ascii="Times New Roman" w:cs="Times New Roman" w:eastAsia="Times New Roman" w:hAnsi="Times New Roman"/>
          <w:sz w:val="14"/>
          <w:szCs w:val="14"/>
          <w:b w:val="1"/>
          <w:bCs w:val="1"/>
          <w:color w:val="231F20"/>
        </w:rPr>
        <w:t>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81-0710585</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231F20"/>
        </w:rPr>
        <w:t>(I.R.S. Employer</w:t>
      </w:r>
    </w:p>
    <w:p>
      <w:pPr>
        <w:spacing w:after="0"/>
        <w:rPr>
          <w:sz w:val="20"/>
          <w:szCs w:val="20"/>
          <w:color w:val="auto"/>
        </w:rPr>
      </w:pPr>
      <w:r>
        <w:rPr>
          <w:rFonts w:ascii="Times New Roman" w:cs="Times New Roman" w:eastAsia="Times New Roman" w:hAnsi="Times New Roman"/>
          <w:sz w:val="14"/>
          <w:szCs w:val="14"/>
          <w:b w:val="1"/>
          <w:bCs w:val="1"/>
          <w:color w:val="231F20"/>
        </w:rPr>
        <w:t>Identification No.)</w:t>
      </w:r>
    </w:p>
    <w:p>
      <w:pPr>
        <w:spacing w:after="0" w:line="31" w:lineRule="exact"/>
        <w:rPr>
          <w:sz w:val="24"/>
          <w:szCs w:val="24"/>
          <w:color w:val="auto"/>
        </w:rPr>
      </w:pPr>
    </w:p>
    <w:p>
      <w:pPr>
        <w:sectPr>
          <w:pgSz w:w="11880" w:h="15480" w:orient="portrait"/>
          <w:cols w:equalWidth="0" w:num="2">
            <w:col w:w="7420" w:space="720"/>
            <w:col w:w="2660"/>
          </w:cols>
          <w:pgMar w:left="540" w:top="731" w:right="540" w:bottom="852" w:gutter="0" w:footer="0" w:header="0"/>
          <w:type w:val="continuous"/>
        </w:sectPr>
      </w:pPr>
    </w:p>
    <w:p>
      <w:pPr>
        <w:ind w:left="920"/>
        <w:spacing w:after="0"/>
        <w:rPr>
          <w:sz w:val="20"/>
          <w:szCs w:val="20"/>
          <w:color w:val="auto"/>
        </w:rPr>
      </w:pPr>
      <w:r>
        <w:rPr>
          <w:rFonts w:ascii="Times New Roman" w:cs="Times New Roman" w:eastAsia="Times New Roman" w:hAnsi="Times New Roman"/>
          <w:sz w:val="20"/>
          <w:szCs w:val="20"/>
          <w:b w:val="1"/>
          <w:bCs w:val="1"/>
          <w:color w:val="231F20"/>
        </w:rPr>
        <w:t>490 Arsenal Way, Suite 200</w:t>
      </w:r>
    </w:p>
    <w:p>
      <w:pPr>
        <w:spacing w:after="0" w:line="60" w:lineRule="exact"/>
        <w:rPr>
          <w:sz w:val="24"/>
          <w:szCs w:val="24"/>
          <w:color w:val="auto"/>
        </w:rPr>
      </w:pPr>
    </w:p>
    <w:p>
      <w:pPr>
        <w:ind w:left="1400"/>
        <w:spacing w:after="0"/>
        <w:tabs>
          <w:tab w:leader="none" w:pos="8420" w:val="left"/>
        </w:tabs>
        <w:rPr>
          <w:sz w:val="20"/>
          <w:szCs w:val="20"/>
          <w:color w:val="auto"/>
        </w:rPr>
      </w:pPr>
      <w:r>
        <w:rPr>
          <w:rFonts w:ascii="Times New Roman" w:cs="Times New Roman" w:eastAsia="Times New Roman" w:hAnsi="Times New Roman"/>
          <w:sz w:val="20"/>
          <w:szCs w:val="20"/>
          <w:b w:val="1"/>
          <w:bCs w:val="1"/>
          <w:color w:val="231F20"/>
        </w:rPr>
        <w:t>Watertown, MA</w:t>
      </w:r>
      <w:r>
        <w:rPr>
          <w:sz w:val="20"/>
          <w:szCs w:val="20"/>
          <w:color w:val="auto"/>
        </w:rPr>
        <w:tab/>
      </w:r>
      <w:r>
        <w:rPr>
          <w:rFonts w:ascii="Times New Roman" w:cs="Times New Roman" w:eastAsia="Times New Roman" w:hAnsi="Times New Roman"/>
          <w:sz w:val="20"/>
          <w:szCs w:val="20"/>
          <w:b w:val="1"/>
          <w:bCs w:val="1"/>
          <w:color w:val="231F20"/>
        </w:rPr>
        <w:t>02472</w:t>
      </w:r>
    </w:p>
    <w:p>
      <w:pPr>
        <w:spacing w:after="0" w:line="44" w:lineRule="exact"/>
        <w:rPr>
          <w:sz w:val="24"/>
          <w:szCs w:val="24"/>
          <w:color w:val="auto"/>
        </w:rPr>
      </w:pPr>
    </w:p>
    <w:p>
      <w:pPr>
        <w:ind w:left="940"/>
        <w:spacing w:after="0"/>
        <w:tabs>
          <w:tab w:leader="none" w:pos="8340" w:val="left"/>
        </w:tabs>
        <w:rPr>
          <w:sz w:val="20"/>
          <w:szCs w:val="20"/>
          <w:color w:val="auto"/>
        </w:rPr>
      </w:pPr>
      <w:r>
        <w:rPr>
          <w:rFonts w:ascii="Times New Roman" w:cs="Times New Roman" w:eastAsia="Times New Roman" w:hAnsi="Times New Roman"/>
          <w:sz w:val="14"/>
          <w:szCs w:val="14"/>
          <w:b w:val="1"/>
          <w:bCs w:val="1"/>
          <w:color w:val="231F20"/>
        </w:rPr>
        <w:t>(Address of principal executive offices)</w:t>
      </w:r>
      <w:r>
        <w:rPr>
          <w:sz w:val="20"/>
          <w:szCs w:val="20"/>
          <w:color w:val="auto"/>
        </w:rPr>
        <w:tab/>
      </w:r>
      <w:r>
        <w:rPr>
          <w:rFonts w:ascii="Times New Roman" w:cs="Times New Roman" w:eastAsia="Times New Roman" w:hAnsi="Times New Roman"/>
          <w:sz w:val="14"/>
          <w:szCs w:val="14"/>
          <w:b w:val="1"/>
          <w:bCs w:val="1"/>
          <w:color w:val="231F20"/>
        </w:rPr>
        <w:t>(Zip Code)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(339) 666-3320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24pt,5.95pt" o:allowincell="f" strokecolor="#231F20" strokeweight="1pt"/>
            </w:pict>
          </mc:Fallback>
        </mc:AlternateConten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231F20"/>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203"/>
        </w:trPr>
        <w:tc>
          <w:tcPr>
            <w:tcW w:w="4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100" w:type="dxa"/>
            <w:vAlign w:val="bottom"/>
          </w:tcPr>
          <w:p>
            <w:pPr>
              <w:spacing w:after="0"/>
              <w:rPr>
                <w:sz w:val="17"/>
                <w:szCs w:val="17"/>
                <w:color w:val="auto"/>
              </w:rPr>
            </w:pPr>
          </w:p>
        </w:tc>
        <w:tc>
          <w:tcPr>
            <w:tcW w:w="4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r>
      <w:tr>
        <w:trPr>
          <w:trHeight w:val="217"/>
        </w:trPr>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9"/>
              </w:rPr>
              <w:t>Common Stock, par value $0.0001 per share</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9"/>
              </w:rPr>
              <w:t>TECX</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9"/>
              </w:rPr>
              <w:t>The Nasdaq Stock Market LLC</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231F20"/>
              </w:rPr>
              <w:t xml:space="preserve">Securities registered pursuant to Section 12(g) of the Act: </w:t>
            </w:r>
            <w:r>
              <w:rPr>
                <w:rFonts w:ascii="Times New Roman" w:cs="Times New Roman" w:eastAsia="Times New Roman" w:hAnsi="Times New Roman"/>
                <w:sz w:val="15"/>
                <w:szCs w:val="15"/>
                <w:b w:val="1"/>
                <w:bCs w:val="1"/>
                <w:color w:val="231F20"/>
              </w:rPr>
              <w:t>None</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r>
    </w:tbl>
    <w:p>
      <w:pPr>
        <w:spacing w:after="0" w:line="28" w:lineRule="exact"/>
        <w:rPr>
          <w:sz w:val="24"/>
          <w:szCs w:val="24"/>
          <w:color w:val="auto"/>
        </w:rPr>
      </w:pPr>
    </w:p>
    <w:p>
      <w:pPr>
        <w:ind w:right="2640"/>
        <w:spacing w:after="0" w:line="312" w:lineRule="auto"/>
        <w:rPr>
          <w:sz w:val="20"/>
          <w:szCs w:val="20"/>
          <w:color w:val="auto"/>
        </w:rPr>
      </w:pPr>
      <w:r>
        <w:rPr>
          <w:rFonts w:ascii="Times New Roman" w:cs="Times New Roman" w:eastAsia="Times New Roman" w:hAnsi="Times New Roman"/>
          <w:sz w:val="15"/>
          <w:szCs w:val="15"/>
          <w:color w:val="231F20"/>
        </w:rPr>
        <w:t xml:space="preserve">Indicate by check mark if the Registrant is a well-known seasoned issuer, as defined in Rule 405 of the Securities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Indicate by check mark if the Registrant is not required to file reports pursuant to Section 13 or 15(d) of the Act. YES</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շ</w:t>
      </w:r>
    </w:p>
    <w:p>
      <w:pPr>
        <w:spacing w:after="0" w:line="1"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p>
    <w:p>
      <w:pPr>
        <w:spacing w:after="0" w:line="1"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231F20"/>
        </w:rPr>
        <w:t>շ</w:t>
      </w:r>
      <w:r>
        <w:rPr>
          <w:rFonts w:ascii="Times New Roman" w:cs="Times New Roman" w:eastAsia="Times New Roman" w:hAnsi="Times New Roman"/>
          <w:sz w:val="15"/>
          <w:szCs w:val="15"/>
          <w:color w:val="231F20"/>
        </w:rPr>
        <w:t xml:space="preserve"> NO </w:t>
      </w:r>
      <w:r>
        <w:rPr>
          <w:rFonts w:ascii="Segoe UI" w:cs="Segoe UI" w:eastAsia="Segoe UI" w:hAnsi="Segoe UI"/>
          <w:sz w:val="15"/>
          <w:szCs w:val="15"/>
          <w:color w:val="231F20"/>
        </w:rPr>
        <w:t>ն</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Indicate by check mark whether the registrant is a large accelerated filer, an accelerated filer, a non-accelerated filer, smaller reporting company, or an emerging growth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231F20"/>
              </w:rPr>
              <w:t>Large accelerated filer</w:t>
            </w:r>
          </w:p>
        </w:tc>
        <w:tc>
          <w:tcPr>
            <w:tcW w:w="3520" w:type="dxa"/>
            <w:vAlign w:val="bottom"/>
          </w:tcPr>
          <w:p>
            <w:pPr>
              <w:ind w:left="420"/>
              <w:spacing w:after="0"/>
              <w:rPr>
                <w:sz w:val="20"/>
                <w:szCs w:val="20"/>
                <w:color w:val="auto"/>
              </w:rPr>
            </w:pPr>
            <w:r>
              <w:rPr>
                <w:rFonts w:ascii="Segoe UI" w:cs="Segoe UI" w:eastAsia="Segoe UI" w:hAnsi="Segoe UI"/>
                <w:sz w:val="15"/>
                <w:szCs w:val="15"/>
                <w:color w:val="231F20"/>
              </w:rPr>
              <w:t>ն</w:t>
            </w:r>
          </w:p>
        </w:tc>
        <w:tc>
          <w:tcPr>
            <w:tcW w:w="4960" w:type="dxa"/>
            <w:vAlign w:val="bottom"/>
          </w:tcPr>
          <w:p>
            <w:pPr>
              <w:ind w:left="3000"/>
              <w:spacing w:after="0"/>
              <w:rPr>
                <w:sz w:val="20"/>
                <w:szCs w:val="20"/>
                <w:color w:val="auto"/>
              </w:rPr>
            </w:pPr>
            <w:r>
              <w:rPr>
                <w:rFonts w:ascii="Times New Roman" w:cs="Times New Roman" w:eastAsia="Times New Roman" w:hAnsi="Times New Roman"/>
                <w:sz w:val="15"/>
                <w:szCs w:val="15"/>
                <w:color w:val="231F20"/>
              </w:rPr>
              <w:t>Accelerated filer</w:t>
            </w:r>
          </w:p>
        </w:tc>
        <w:tc>
          <w:tcPr>
            <w:tcW w:w="460" w:type="dxa"/>
            <w:vAlign w:val="bottom"/>
          </w:tcPr>
          <w:p>
            <w:pPr>
              <w:ind w:left="340"/>
              <w:spacing w:after="0"/>
              <w:rPr>
                <w:sz w:val="20"/>
                <w:szCs w:val="20"/>
                <w:color w:val="auto"/>
              </w:rPr>
            </w:pPr>
            <w:r>
              <w:rPr>
                <w:rFonts w:ascii="Segoe UI" w:cs="Segoe UI" w:eastAsia="Segoe UI" w:hAnsi="Segoe UI"/>
                <w:sz w:val="15"/>
                <w:szCs w:val="15"/>
                <w:color w:val="231F20"/>
              </w:rPr>
              <w:t>ն</w:t>
            </w:r>
          </w:p>
        </w:tc>
      </w:tr>
      <w:tr>
        <w:trPr>
          <w:trHeight w:val="214"/>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231F20"/>
              </w:rPr>
              <w:t>Non-accelerated filer</w:t>
            </w:r>
          </w:p>
        </w:tc>
        <w:tc>
          <w:tcPr>
            <w:tcW w:w="3520" w:type="dxa"/>
            <w:vAlign w:val="bottom"/>
          </w:tcPr>
          <w:p>
            <w:pPr>
              <w:ind w:left="420"/>
              <w:spacing w:after="0"/>
              <w:rPr>
                <w:sz w:val="20"/>
                <w:szCs w:val="20"/>
                <w:color w:val="auto"/>
              </w:rPr>
            </w:pPr>
            <w:r>
              <w:rPr>
                <w:rFonts w:ascii="Segoe UI" w:cs="Segoe UI" w:eastAsia="Segoe UI" w:hAnsi="Segoe UI"/>
                <w:sz w:val="15"/>
                <w:szCs w:val="15"/>
                <w:color w:val="231F20"/>
              </w:rPr>
              <w:t>շ</w:t>
            </w:r>
          </w:p>
        </w:tc>
        <w:tc>
          <w:tcPr>
            <w:tcW w:w="4960" w:type="dxa"/>
            <w:vAlign w:val="bottom"/>
          </w:tcPr>
          <w:p>
            <w:pPr>
              <w:ind w:left="3000"/>
              <w:spacing w:after="0"/>
              <w:rPr>
                <w:sz w:val="20"/>
                <w:szCs w:val="20"/>
                <w:color w:val="auto"/>
              </w:rPr>
            </w:pPr>
            <w:r>
              <w:rPr>
                <w:rFonts w:ascii="Times New Roman" w:cs="Times New Roman" w:eastAsia="Times New Roman" w:hAnsi="Times New Roman"/>
                <w:sz w:val="15"/>
                <w:szCs w:val="15"/>
                <w:color w:val="231F20"/>
              </w:rPr>
              <w:t>Smaller reporting company</w:t>
            </w:r>
          </w:p>
        </w:tc>
        <w:tc>
          <w:tcPr>
            <w:tcW w:w="460" w:type="dxa"/>
            <w:vAlign w:val="bottom"/>
          </w:tcPr>
          <w:p>
            <w:pPr>
              <w:ind w:left="340"/>
              <w:spacing w:after="0"/>
              <w:rPr>
                <w:sz w:val="20"/>
                <w:szCs w:val="20"/>
                <w:color w:val="auto"/>
              </w:rPr>
            </w:pPr>
            <w:r>
              <w:rPr>
                <w:rFonts w:ascii="Segoe UI" w:cs="Segoe UI" w:eastAsia="Segoe UI" w:hAnsi="Segoe UI"/>
                <w:sz w:val="15"/>
                <w:szCs w:val="15"/>
                <w:color w:val="231F20"/>
              </w:rPr>
              <w:t>շ</w:t>
            </w:r>
          </w:p>
        </w:tc>
      </w:tr>
      <w:tr>
        <w:trPr>
          <w:trHeight w:val="244"/>
        </w:trPr>
        <w:tc>
          <w:tcPr>
            <w:tcW w:w="17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960" w:type="dxa"/>
            <w:vAlign w:val="bottom"/>
          </w:tcPr>
          <w:p>
            <w:pPr>
              <w:ind w:left="3000"/>
              <w:spacing w:after="0"/>
              <w:rPr>
                <w:sz w:val="20"/>
                <w:szCs w:val="20"/>
                <w:color w:val="auto"/>
              </w:rPr>
            </w:pPr>
            <w:r>
              <w:rPr>
                <w:rFonts w:ascii="Times New Roman" w:cs="Times New Roman" w:eastAsia="Times New Roman" w:hAnsi="Times New Roman"/>
                <w:sz w:val="15"/>
                <w:szCs w:val="15"/>
                <w:color w:val="231F20"/>
              </w:rPr>
              <w:t>Emerging growth company</w:t>
            </w:r>
          </w:p>
        </w:tc>
        <w:tc>
          <w:tcPr>
            <w:tcW w:w="460" w:type="dxa"/>
            <w:vAlign w:val="bottom"/>
          </w:tcPr>
          <w:p>
            <w:pPr>
              <w:ind w:left="340"/>
              <w:spacing w:after="0"/>
              <w:rPr>
                <w:sz w:val="20"/>
                <w:szCs w:val="20"/>
                <w:color w:val="auto"/>
              </w:rPr>
            </w:pPr>
            <w:r>
              <w:rPr>
                <w:rFonts w:ascii="Segoe UI" w:cs="Segoe UI" w:eastAsia="Segoe UI" w:hAnsi="Segoe UI"/>
                <w:sz w:val="15"/>
                <w:szCs w:val="15"/>
                <w:color w:val="231F20"/>
              </w:rPr>
              <w:t>ն</w:t>
            </w:r>
          </w:p>
        </w:tc>
      </w:tr>
    </w:tbl>
    <w:p>
      <w:pPr>
        <w:spacing w:after="0" w:line="25" w:lineRule="exact"/>
        <w:rPr>
          <w:sz w:val="24"/>
          <w:szCs w:val="24"/>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231F20"/>
        </w:rPr>
        <w:t>ն</w:t>
      </w:r>
    </w:p>
    <w:p>
      <w:pPr>
        <w:spacing w:after="0" w:line="1" w:lineRule="exact"/>
        <w:rPr>
          <w:sz w:val="24"/>
          <w:szCs w:val="24"/>
          <w:color w:val="auto"/>
        </w:rPr>
      </w:pPr>
    </w:p>
    <w:p>
      <w:pPr>
        <w:ind w:right="58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231F20"/>
        </w:rPr>
        <w:t>ն</w:t>
      </w:r>
    </w:p>
    <w:p>
      <w:pPr>
        <w:spacing w:after="0" w:line="1"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231F20"/>
        </w:rPr>
        <w:t>ն</w:t>
      </w:r>
    </w:p>
    <w:p>
      <w:pPr>
        <w:spacing w:after="0" w:line="1" w:lineRule="exact"/>
        <w:rPr>
          <w:sz w:val="24"/>
          <w:szCs w:val="24"/>
          <w:color w:val="auto"/>
        </w:rPr>
      </w:pPr>
    </w:p>
    <w:p>
      <w:pPr>
        <w:ind w:right="700"/>
        <w:spacing w:after="0" w:line="278" w:lineRule="auto"/>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5"/>
          <w:szCs w:val="15"/>
          <w:color w:val="231F20"/>
        </w:rPr>
        <w:t>ն</w:t>
      </w:r>
    </w:p>
    <w:p>
      <w:pPr>
        <w:spacing w:after="0" w:line="1" w:lineRule="exact"/>
        <w:rPr>
          <w:sz w:val="24"/>
          <w:szCs w:val="24"/>
          <w:color w:val="auto"/>
        </w:rPr>
      </w:pPr>
    </w:p>
    <w:p>
      <w:pPr>
        <w:spacing w:after="0"/>
        <w:tabs>
          <w:tab w:leader="none" w:pos="7560" w:val="left"/>
        </w:tabs>
        <w:rPr>
          <w:sz w:val="20"/>
          <w:szCs w:val="20"/>
          <w:color w:val="auto"/>
        </w:rPr>
      </w:pPr>
      <w:r>
        <w:rPr>
          <w:rFonts w:ascii="Times New Roman" w:cs="Times New Roman" w:eastAsia="Times New Roman" w:hAnsi="Times New Roman"/>
          <w:sz w:val="15"/>
          <w:szCs w:val="15"/>
          <w:color w:val="231F20"/>
        </w:rPr>
        <w:t xml:space="preserve">Indicate by check mark whether the Registrant is a shell company (as defined in Rule 12b-2 of the Exchange Act). YES </w:t>
      </w:r>
      <w:r>
        <w:rPr>
          <w:rFonts w:ascii="Segoe UI" w:cs="Segoe UI" w:eastAsia="Segoe UI" w:hAnsi="Segoe UI"/>
          <w:sz w:val="15"/>
          <w:szCs w:val="15"/>
          <w:color w:val="231F20"/>
        </w:rPr>
        <w:t>ն</w:t>
      </w:r>
      <w:r>
        <w:rPr>
          <w:rFonts w:ascii="Times New Roman" w:cs="Times New Roman" w:eastAsia="Times New Roman" w:hAnsi="Times New Roman"/>
          <w:sz w:val="15"/>
          <w:szCs w:val="15"/>
          <w:color w:val="231F20"/>
        </w:rPr>
        <w:tab/>
        <w:t xml:space="preserve">NO </w:t>
      </w:r>
      <w:r>
        <w:rPr>
          <w:rFonts w:ascii="Segoe UI" w:cs="Segoe UI" w:eastAsia="Segoe UI" w:hAnsi="Segoe UI"/>
          <w:sz w:val="15"/>
          <w:szCs w:val="15"/>
          <w:color w:val="231F20"/>
        </w:rPr>
        <w:t>շ</w:t>
      </w:r>
    </w:p>
    <w:p>
      <w:pPr>
        <w:spacing w:after="0" w:line="60"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5"/>
          <w:szCs w:val="15"/>
          <w:color w:val="231F20"/>
        </w:rPr>
        <w:t>The aggregate market value of the voting and non-voting common equity held by non-affiliates of the Registrant, based on the closing price of the shares of common stock on The Nasdaq Stock Market LLC on June 30, 2025, was $232.0 million.</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231F20"/>
        </w:rPr>
        <w:t>As of February 16, 2026, the registrant had 18,776,626 shares of common stock, $0.0001 par value per share, outstanding.</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DOCUMENTS INCORPORATED BY REFERENCE</w:t>
      </w:r>
    </w:p>
    <w:p>
      <w:pPr>
        <w:sectPr>
          <w:pgSz w:w="11880" w:h="15480" w:orient="portrait"/>
          <w:cols w:equalWidth="0" w:num="1">
            <w:col w:w="10800"/>
          </w:cols>
          <w:pgMar w:left="540" w:top="731" w:right="540" w:bottom="852" w:gutter="0" w:footer="0" w:header="0"/>
          <w:type w:val="continuous"/>
        </w:sectPr>
      </w:pPr>
    </w:p>
    <w:p>
      <w:pPr>
        <w:spacing w:after="0" w:line="23" w:lineRule="exact"/>
        <w:rPr>
          <w:sz w:val="24"/>
          <w:szCs w:val="24"/>
          <w:color w:val="auto"/>
        </w:rPr>
      </w:pPr>
    </w:p>
    <w:p>
      <w:pPr>
        <w:jc w:val="both"/>
        <w:ind w:right="460"/>
        <w:spacing w:after="0" w:line="244" w:lineRule="auto"/>
        <w:rPr>
          <w:sz w:val="20"/>
          <w:szCs w:val="20"/>
          <w:color w:val="auto"/>
        </w:rPr>
      </w:pPr>
      <w:r>
        <w:rPr>
          <w:rFonts w:ascii="Times New Roman" w:cs="Times New Roman" w:eastAsia="Times New Roman" w:hAnsi="Times New Roman"/>
          <w:sz w:val="16"/>
          <w:szCs w:val="16"/>
          <w:color w:val="231F20"/>
        </w:rPr>
        <w:t>Portions of the registrant’s definitive Proxy Statement relating to the 2026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50800</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pt" to="540pt,4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69850</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pt" to="540pt,5.5pt" o:allowincell="f" strokecolor="#231F20" strokeweight="0.75pt"/>
            </w:pict>
          </mc:Fallback>
        </mc:AlternateContent>
      </w:r>
    </w:p>
    <w:p>
      <w:pPr>
        <w:sectPr>
          <w:pgSz w:w="11880" w:h="15480" w:orient="portrait"/>
          <w:cols w:equalWidth="0" w:num="1">
            <w:col w:w="10800"/>
          </w:cols>
          <w:pgMar w:left="540" w:top="731" w:right="540" w:bottom="85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8920" w:type="dxa"/>
            <w:vAlign w:val="bottom"/>
          </w:tcPr>
          <w:p>
            <w:pPr>
              <w:ind w:left="350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8920" w:type="dxa"/>
            <w:vAlign w:val="bottom"/>
          </w:tcPr>
          <w:p>
            <w:pPr>
              <w:spacing w:after="0"/>
              <w:rPr>
                <w:sz w:val="24"/>
                <w:szCs w:val="24"/>
                <w:color w:val="auto"/>
              </w:rPr>
            </w:pPr>
          </w:p>
        </w:tc>
        <w:tc>
          <w:tcPr>
            <w:tcW w:w="5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8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1A.</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1B.</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1C.</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2.</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3.</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4.</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424"/>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8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 Equity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6.</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7A.</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8.</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9A.</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9B.</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0" w:type="dxa"/>
            <w:vAlign w:val="bottom"/>
          </w:tcPr>
          <w:p>
            <w:pPr>
              <w:spacing w:after="0"/>
              <w:rPr>
                <w:sz w:val="1"/>
                <w:szCs w:val="1"/>
                <w:color w:val="auto"/>
              </w:rPr>
            </w:pPr>
          </w:p>
        </w:tc>
      </w:tr>
      <w:tr>
        <w:trPr>
          <w:trHeight w:val="424"/>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8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11.</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12.</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13.</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14.</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Principal Accounting Fees and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424"/>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8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Exhibits, Financial Statement Schedules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16.</w:t>
            </w:r>
          </w:p>
        </w:tc>
        <w:tc>
          <w:tcPr>
            <w:tcW w:w="892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w:t>
            </w:r>
          </w:p>
        </w:tc>
        <w:tc>
          <w:tcPr>
            <w:tcW w:w="0" w:type="dxa"/>
            <w:vAlign w:val="bottom"/>
          </w:tcPr>
          <w:p>
            <w:pPr>
              <w:spacing w:after="0"/>
              <w:rPr>
                <w:sz w:val="1"/>
                <w:szCs w:val="1"/>
                <w:color w:val="auto"/>
              </w:rPr>
            </w:pPr>
          </w:p>
        </w:tc>
      </w:tr>
    </w:tbl>
    <w:p>
      <w:pPr>
        <w:sectPr>
          <w:pgSz w:w="11880" w:h="15480" w:orient="portrait"/>
          <w:cols w:equalWidth="0" w:num="1">
            <w:col w:w="10440"/>
          </w:cols>
          <w:pgMar w:left="720" w:top="746" w:right="72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231F20"/>
        </w:rPr>
        <w:t>CAUTIONARY NOTE REGARDING FORWARD-LOOKING STATEMENTS</w:t>
      </w:r>
    </w:p>
    <w:p>
      <w:pPr>
        <w:spacing w:after="0" w:line="23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This Annual Report on Form 10-K contains “forward-looking statements” within the meaning of Section 21E the Securities Exchange Act of 1934, as amended (the “Exchange Act”). All statements other than statements of historical facts contained in this Annual Report on Form 10-K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Annual Report on Form 10-K may include, for example, statements about:</w:t>
      </w:r>
    </w:p>
    <w:p>
      <w:pPr>
        <w:spacing w:after="0" w:line="206" w:lineRule="exact"/>
        <w:rPr>
          <w:sz w:val="20"/>
          <w:szCs w:val="20"/>
          <w:color w:val="auto"/>
        </w:rPr>
      </w:pPr>
    </w:p>
    <w:p>
      <w:pPr>
        <w:ind w:left="980" w:hanging="354"/>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strategies, prospects, plans, expectations or objectives of management for our future operations;</w:t>
      </w:r>
    </w:p>
    <w:p>
      <w:pPr>
        <w:spacing w:after="0" w:line="253" w:lineRule="exact"/>
        <w:rPr>
          <w:rFonts w:ascii="Arial" w:cs="Arial" w:eastAsia="Arial" w:hAnsi="Arial"/>
          <w:sz w:val="20"/>
          <w:szCs w:val="20"/>
          <w:color w:val="231F20"/>
        </w:rPr>
      </w:pPr>
    </w:p>
    <w:p>
      <w:pPr>
        <w:ind w:left="980" w:hanging="354"/>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progress, scope or timing of the development of our product candidates;</w:t>
      </w:r>
    </w:p>
    <w:p>
      <w:pPr>
        <w:spacing w:after="0" w:line="253" w:lineRule="exact"/>
        <w:rPr>
          <w:rFonts w:ascii="Arial" w:cs="Arial" w:eastAsia="Arial" w:hAnsi="Arial"/>
          <w:sz w:val="20"/>
          <w:szCs w:val="20"/>
          <w:color w:val="231F20"/>
        </w:rPr>
      </w:pPr>
    </w:p>
    <w:p>
      <w:pPr>
        <w:ind w:left="980" w:right="340" w:hanging="354"/>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surrounding the potential safety, efficacy, and regulatory and clinical progress of TX45, TX2100 and any other product candidates, and our anticipated milestones and timing therefor;</w:t>
      </w:r>
    </w:p>
    <w:p>
      <w:pPr>
        <w:spacing w:after="0" w:line="184" w:lineRule="exact"/>
        <w:rPr>
          <w:rFonts w:ascii="Arial" w:cs="Arial" w:eastAsia="Arial" w:hAnsi="Arial"/>
          <w:sz w:val="20"/>
          <w:szCs w:val="20"/>
          <w:color w:val="231F20"/>
        </w:rPr>
      </w:pPr>
    </w:p>
    <w:p>
      <w:pPr>
        <w:ind w:left="980" w:right="920" w:hanging="354"/>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benefits that may be derived from any of our future products, if approved, or the commercial or market opportunity with respect to any of our future products, if approved;</w:t>
      </w:r>
    </w:p>
    <w:p>
      <w:pPr>
        <w:spacing w:after="0" w:line="184" w:lineRule="exact"/>
        <w:rPr>
          <w:rFonts w:ascii="Arial" w:cs="Arial" w:eastAsia="Arial" w:hAnsi="Arial"/>
          <w:sz w:val="20"/>
          <w:szCs w:val="20"/>
          <w:color w:val="231F20"/>
        </w:rPr>
      </w:pPr>
    </w:p>
    <w:p>
      <w:pPr>
        <w:ind w:left="980" w:hanging="354"/>
        <w:spacing w:after="0"/>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protect our intellectual property rights;</w:t>
      </w:r>
    </w:p>
    <w:p>
      <w:pPr>
        <w:spacing w:after="0" w:line="253" w:lineRule="exact"/>
        <w:rPr>
          <w:rFonts w:ascii="Arial" w:cs="Arial" w:eastAsia="Arial" w:hAnsi="Arial"/>
          <w:sz w:val="20"/>
          <w:szCs w:val="20"/>
          <w:color w:val="231F20"/>
        </w:rPr>
      </w:pPr>
    </w:p>
    <w:p>
      <w:pPr>
        <w:ind w:left="980" w:right="700" w:hanging="354"/>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anticipated operations, financial position, ability to raise capital to fund our operations, revenues, costs or expenses; and</w:t>
      </w:r>
    </w:p>
    <w:p>
      <w:pPr>
        <w:spacing w:after="0" w:line="184" w:lineRule="exact"/>
        <w:rPr>
          <w:rFonts w:ascii="Arial" w:cs="Arial" w:eastAsia="Arial" w:hAnsi="Arial"/>
          <w:sz w:val="20"/>
          <w:szCs w:val="20"/>
          <w:color w:val="231F20"/>
        </w:rPr>
      </w:pPr>
    </w:p>
    <w:p>
      <w:pPr>
        <w:ind w:left="980" w:right="280" w:hanging="354"/>
        <w:spacing w:after="0" w:line="276" w:lineRule="auto"/>
        <w:tabs>
          <w:tab w:leader="none" w:pos="9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statements regarding our future economic conditions or performance, statements of belief and any statement of assumptions underlying any of the foregoing.</w:t>
      </w:r>
    </w:p>
    <w:p>
      <w:pPr>
        <w:spacing w:after="0" w:line="4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caution you that the foregoing list may not contain all of the forward-looking statements made in this Annual Report on Form 10-K.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“Risk Factors” and elsewhere in this Annual Report on Form 10-K as well as our other filings made with the Securities and Exchange Commission (“SEC”). Given these uncertainties, you should not place undue reliance on these forward-looking statements. Also, forward-looking statements represent our management’s beliefs and assumptions only as of the date of this Annual Report on Form 10-K.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TRADEMARKS</w:t>
      </w:r>
    </w:p>
    <w:p>
      <w:pPr>
        <w:spacing w:after="0" w:line="23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 xml:space="preserve">We use various trademarks and trade names in our business, including without limitation our corporate name and logo. All other trademarks or trade names referred to in this Annual Report on Form 10-K are the property of their respective owners. Solely for convenience, the trademarks and trade names in this Annual Report on Form 10-K may be referred to without the </w:t>
      </w:r>
      <w:r>
        <w:rPr>
          <w:rFonts w:ascii="Times New Roman" w:cs="Times New Roman" w:eastAsia="Times New Roman" w:hAnsi="Times New Roman"/>
          <w:sz w:val="15"/>
          <w:szCs w:val="15"/>
          <w:color w:val="231F20"/>
        </w:rPr>
        <w:t>®</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15"/>
          <w:szCs w:val="15"/>
          <w:color w:val="231F20"/>
        </w:rPr>
        <w:t>™</w:t>
      </w:r>
      <w:r>
        <w:rPr>
          <w:rFonts w:ascii="Times New Roman" w:cs="Times New Roman" w:eastAsia="Times New Roman" w:hAnsi="Times New Roman"/>
          <w:sz w:val="20"/>
          <w:szCs w:val="20"/>
          <w:color w:val="231F20"/>
        </w:rPr>
        <w:t xml:space="preserve"> symbols, but such references should not be construed as any indicator that their respective owners will not assert, to the fullest extent under applicable law, their rights thereto.</w:t>
      </w:r>
    </w:p>
    <w:p>
      <w:pPr>
        <w:sectPr>
          <w:pgSz w:w="11880" w:h="15480" w:orient="portrait"/>
          <w:cols w:equalWidth="0" w:num="1">
            <w:col w:w="10440"/>
          </w:cols>
          <w:pgMar w:left="720" w:top="74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440"/>
          </w:cols>
          <w:pgMar w:left="720" w:top="746" w:right="72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2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The business and the industry in which Tectonic Therapeutic, Inc. (inclusive of its consolidated subsidiaries, “Tectonic,” the “Company,” “we,” “us,” or “our”) operates is subject to a high degree of uncertainty and risk due to a variety of factors, including those described in the section titled “Risk Factors” and elsewhere in this Annual Report on Form 10-K. These and other factors could cause results to differ materially from those expressed in the estimates made by the independent parties and by Tectonic.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6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We are a clinical- 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(GPCRs Engineered for Optimal Discovery) with the aim of addressing these challenges and enabling the discovery and development of GPCR-targeted biologic medicines that can modify the course of disease. We focus on areas of significant unmet medical need, often where therapeutic options are poor or nonexistent, and where new medicines have the potential to improve patients’ quality of life.</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neuronal signaling,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w:t>
      </w:r>
    </w:p>
    <w:p>
      <w:pPr>
        <w:spacing w:after="0" w:line="1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 technology platform in an attempt to overcome the known challenges of GPCR-targeted drug discovery.</w:t>
      </w:r>
    </w:p>
    <w:p>
      <w:pPr>
        <w:sectPr>
          <w:pgSz w:w="11880" w:h="15480" w:orient="portrait"/>
          <w:cols w:equalWidth="0" w:num="1">
            <w:col w:w="10420"/>
          </w:cols>
          <w:pgMar w:left="720" w:top="74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420"/>
          </w:cols>
          <w:pgMar w:left="720" w:top="746" w:right="7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231F20"/>
        </w:rPr>
        <w:t>Our Development and Pipeline Programs</w:t>
      </w:r>
    </w:p>
    <w:p>
      <w:pPr>
        <w:spacing w:after="0" w:line="16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231F20"/>
        </w:rPr>
        <w:t>The following chart summarizes our development programs and other pipeline programs. In 2026, we expect topline results from our ongoing TX45 APEX Phase 2 clinical trial in Group 2 PH-HFpEF patients as well as topline results from our TX2100 Phase 1a clinical trial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6619875" cy="3714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6619875" cy="371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TX45: Our Fc-Relaxin Fusion Molecule for the Treatment of Group 2 PH-HFpEF and Group 3 PH-ILD</w:t>
      </w:r>
    </w:p>
    <w:p>
      <w:pPr>
        <w:spacing w:after="0" w:line="1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Our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Scientists have hypothesized that these unique dual aspects of relaxin biology may offer therapeutic potential in the treatment of cardiovascular disease. Unfortunately, the development of a viable therapeutic targeting Fc-relaxin has been challenging, primarily because of relaxin’s very short half-life.</w:t>
      </w:r>
    </w:p>
    <w:p>
      <w:pPr>
        <w:spacing w:after="0" w:line="120"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231F20"/>
        </w:rPr>
        <w:t>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Our clinical trials are ongoing to confirm this hypothesis.</w:t>
      </w:r>
    </w:p>
    <w:p>
      <w:pPr>
        <w:spacing w:after="0" w:line="1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Group 2 PH is a subtype of PH that develops secondary to left heart disease (“LHD”). This is a common, chronic, life-threatening condition with complex causality for which there are presently no FDA-approved medications. PH-HFpEF is characterized by declining cardiac function, fibrotic tissue remodeling in the heart, and in some patients, fibrotic remodeling in the pulmonary vasculature. We have elected to prioritize development of TX45 in PH-HFpEF because of the high unmet medical need in this population and the specific physiological actions of relaxin that suggest it could address the key pathophysiology of the disease. Furthermore, prior clinical data in patients with acute and chronic heart failure treated with a continuous infusion of a short half-life relaxin is supportive of the potential utility of relaxin administration in these patients. Clinical trials are ongoing to evaluate the hypothesis that relaxin could provide efficacy in patients with PH-HFpEF. Beyond PH-HFpEF, we believe there are</w:t>
      </w:r>
    </w:p>
    <w:p>
      <w:pPr>
        <w:sectPr>
          <w:pgSz w:w="11880" w:h="15480" w:orient="portrait"/>
          <w:cols w:equalWidth="0" w:num="1">
            <w:col w:w="10400"/>
          </w:cols>
          <w:pgMar w:left="720" w:top="746" w:right="76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400"/>
          </w:cols>
          <w:pgMar w:left="720" w:top="746" w:right="760" w:bottom="0" w:gutter="0" w:footer="0" w:header="0"/>
          <w:type w:val="continuous"/>
        </w:sectPr>
      </w:pPr>
    </w:p>
    <w:bookmarkStart w:id="5" w:name="page6"/>
    <w:bookmarkEnd w:id="5"/>
    <w:p>
      <w:pPr>
        <w:ind w:right="180"/>
        <w:spacing w:after="0" w:line="258" w:lineRule="auto"/>
        <w:rPr>
          <w:sz w:val="20"/>
          <w:szCs w:val="20"/>
          <w:color w:val="auto"/>
        </w:rPr>
      </w:pPr>
      <w:r>
        <w:rPr>
          <w:rFonts w:ascii="Times New Roman" w:cs="Times New Roman" w:eastAsia="Times New Roman" w:hAnsi="Times New Roman"/>
          <w:sz w:val="20"/>
          <w:szCs w:val="20"/>
          <w:color w:val="231F20"/>
        </w:rPr>
        <w:t>additional areas where TX45 could provide benefit, such as PH with heart failure with reduced ejection fraction (“PH-HFrEF”), as well as diseases resulting in chronic deterioration of lung and/or kidney function due to vasoconstriction and fibrotic remodeling.</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TX45 may also provide benefit in Group 3 PH that is associated with interstitial lung disease (“PH-ILD”). ILDs include a range of pulmonary disorders, each with varying degrees of interstitial inflammation, fibrosis, or both. When ILD is complicated by PH, patients have more severe symptoms, reduced exercise capacity, an increased need for oxygen supplementation, and a significant worsening in overall prognosis. While many PAH-specific medications failed to show benefit in PH-ILD, more recent data supported the use of inhaled treprostinils (Tyvaso, Yutrepia), which are rapidly becoming the standard of care for this disorder. Inhaled treprostinils are not curative of PH-ILD and additional therapies are needed for this disorder. A clinical trial is planned to evaluate whether TX45 is beneficial in PH-ILD.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TX45 Clinical Results and Development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Completed Phase 1a Single Ascending Dose Trial (TX000045-001)</w:t>
      </w:r>
    </w:p>
    <w:p>
      <w:pPr>
        <w:spacing w:after="0" w:line="15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TX000045-001 was a randomized, placebo-controlled, double-blind single ascending dose trial in healthy volunteers, which was completed in the third quarter of 2024. In September 2024, we announced favorable results from this trial evaluating safety, tolerability, and pharmacokinetic (“PK”) and pharmacodynamic (“PD”) properties for TX45. In this trial, TX45 was well-tolerated after single intravenous (“IV”) doses ranging from 0.3 mg/kg to 3 mg/kg and subcutaneous (“SC”) doses ranging from 150 mg to 600 mg.</w:t>
      </w:r>
    </w:p>
    <w:p>
      <w:pPr>
        <w:spacing w:after="0" w:line="1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The PK profile revealed dose-proportional kinetics and a half-life of 14–20 days. The PD response of TX45 on renal plasma flow (“RPF”) was assessed at multiple time points post dose for all dose cohorts. From these PK/PD measurements, we developed a robust exposure-response Emax model to enable dose selection for our Phase 2 trial. We found the Emax effect of TX45 on RPF to be a 33% increase, consistent with the reported effect of other relaxin compounds, such as serelaxin.</w:t>
      </w:r>
    </w:p>
    <w:p>
      <w:pPr>
        <w:spacing w:after="0" w:line="11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231F20"/>
        </w:rPr>
        <w:t xml:space="preserve">Based on our exposure-response model, we selected TX45 doses for our Phase 2 trial as follows: 300 mg SC every four weeks, predicted to provide steady-state trough exposure of approximately 2.6 </w:t>
      </w:r>
      <w:r>
        <w:rPr>
          <w:rFonts w:ascii="PMingLiU" w:cs="PMingLiU" w:eastAsia="PMingLiU" w:hAnsi="PMingLiU"/>
          <w:sz w:val="20"/>
          <w:szCs w:val="20"/>
          <w:color w:val="231F20"/>
        </w:rPr>
        <w:t xml:space="preserve"> JP/</w:t>
      </w:r>
      <w:r>
        <w:rPr>
          <w:rFonts w:ascii="Times New Roman" w:cs="Times New Roman" w:eastAsia="Times New Roman" w:hAnsi="Times New Roman"/>
          <w:sz w:val="20"/>
          <w:szCs w:val="20"/>
          <w:color w:val="231F20"/>
        </w:rPr>
        <w:t xml:space="preserve"> and near-maximal effect on RPF at trough, and 300 mg SC every two weeks, predicted to provide a trough exposure of approximately 8.7 </w:t>
      </w:r>
      <w:r>
        <w:rPr>
          <w:rFonts w:ascii="PMingLiU" w:cs="PMingLiU" w:eastAsia="PMingLiU" w:hAnsi="PMingLiU"/>
          <w:sz w:val="20"/>
          <w:szCs w:val="20"/>
          <w:color w:val="231F20"/>
        </w:rPr>
        <w:t xml:space="preserve"> JP/</w:t>
      </w:r>
      <w:r>
        <w:rPr>
          <w:rFonts w:ascii="Times New Roman" w:cs="Times New Roman" w:eastAsia="Times New Roman" w:hAnsi="Times New Roman"/>
          <w:sz w:val="20"/>
          <w:szCs w:val="20"/>
          <w:color w:val="231F20"/>
        </w:rPr>
        <w:t xml:space="preserve"> with maximal pharmacodynamic effects throughout the dosing interval. There was no evidence of immunogenicity or anti-drug antibodies in this Phase 1a trial. This data was used to develop the exposure-response model that enabled dose selection for the APEX Phase 2 clinical trial.</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Completed Phase 1b Trial (TX000045-002)</w:t>
      </w:r>
    </w:p>
    <w:p>
      <w:pPr>
        <w:spacing w:after="0" w:line="15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231F20"/>
        </w:rPr>
        <w:t>TX000045-002 was an open-label, single- dose Phase 1b trial in patients with PH associated with heart failure, designed to evaluate the safety, tolerability, and acute hemodynamic effects of TX45, as assessed by right heart catheterization (“RHC”).</w:t>
      </w:r>
    </w:p>
    <w:p>
      <w:pPr>
        <w:spacing w:after="0" w:line="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Part A of this trial enrolled 19 patients with PH-HFpEF, including both combined pre- and post-capillary pulmonary hypertension (“CpcPH”) and isolated post-capillary pulmonary hypertension (“IpcPH”). The doses of TX45 administered were 0.3 mg/kg IV, 1 mg/kg IV, and 3 mg/kg IV. The trial evaluated safety and tolerability, as well as changes from baseline in hemodynamic parameters including pulmonary capillary wedge pressure (“PCWP”), pulmonary vascular resistance (“PVR”), mean pulmonary arterial pressure (“mPAP”), cardiac output (“CO”), systemic vascular resistance (“SVR”), and additional hemodynamic measures. Notably, exposures over the first eight hours after dosing were anticipated to be within the therapeutic range for all doses tested; therefore, it was prespecified that efficacy analyses would pool patient data across doses.</w:t>
      </w:r>
    </w:p>
    <w:p>
      <w:pPr>
        <w:spacing w:after="0" w:line="12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In May 2025, we announced the complete results from Part A, confirming the tolerability and hemodynamic effects of TX45 previously reported in the interim data in January 2025. TX45 was well-tolerated in subjects with PH-HFpEF, with no serious or severe adverse events. In the overall study population, TX45 achieved a 19.0% reduction in PCWP, an endpoint reported to correlate with exercise capacity, morbidity, and mortality in patients with heart failure, and an 18.5% improvement in CO. In the subpopulation with CpcPH, who have an elevated PVR and more severe disease, TX45 demonstrated &gt;30% reduction in PVR, which, along with PCWP, correlates with exercise capacity and mortality in this patient population.</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 xml:space="preserve">In October 2025, we announced topline results from Part B of the Phase 1b hemodynamic clinical trial of TX45 in subjects with Group 2 PH in heart failure with reduced ejection fraction (“HFrEF”). Part B had a similar design as Phase 1b Part A, assessing hemodynamic effects of TX45 in subjects with PH-HFrEF. Based on the topline results, TX45 was well-tolerated, with no serious or severe adverse events. In the overall study population, TX45 achieved a 29.2% reduction in PCWP and a 17.3% improvement in CO. In the subpopulation with CpcPH, who have elevated PVR and more severe disease, TX45 demonstrated a 19.7% reduction in PVR in patients with a PVR </w:t>
      </w:r>
      <w:r>
        <w:rPr>
          <w:rFonts w:ascii="PMingLiU" w:cs="PMingLiU" w:eastAsia="PMingLiU" w:hAnsi="PMingLiU"/>
          <w:sz w:val="20"/>
          <w:szCs w:val="20"/>
          <w:color w:val="231F20"/>
        </w:rPr>
        <w:t></w:t>
      </w:r>
      <w:r>
        <w:rPr>
          <w:rFonts w:ascii="Times New Roman" w:cs="Times New Roman" w:eastAsia="Times New Roman" w:hAnsi="Times New Roman"/>
          <w:sz w:val="20"/>
          <w:szCs w:val="20"/>
          <w:color w:val="231F20"/>
        </w:rPr>
        <w:t xml:space="preserve"> Wood Units (“WU”) and a 10.3% reduction in patients with a PVR </w:t>
      </w:r>
      <w:r>
        <w:rPr>
          <w:rFonts w:ascii="PMingLiU" w:cs="PMingLiU" w:eastAsia="PMingLiU" w:hAnsi="PMingLiU"/>
          <w:sz w:val="20"/>
          <w:szCs w:val="20"/>
          <w:color w:val="231F20"/>
        </w:rPr>
        <w:t></w:t>
      </w:r>
      <w:r>
        <w:rPr>
          <w:rFonts w:ascii="Times New Roman" w:cs="Times New Roman" w:eastAsia="Times New Roman" w:hAnsi="Times New Roman"/>
          <w:sz w:val="20"/>
          <w:szCs w:val="20"/>
          <w:color w:val="231F20"/>
        </w:rPr>
        <w:t xml:space="preserve"> WU.</w:t>
      </w:r>
    </w:p>
    <w:p>
      <w:pPr>
        <w:spacing w:after="0" w:line="12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i w:val="1"/>
          <w:iCs w:val="1"/>
          <w:color w:val="231F20"/>
        </w:rPr>
        <w:t>Ongoing Phase 2 Proof-of-Concept (“POC”), Randomized, Placebo-Controlled, Double-Blind Trial in PH-HFpEF (TX000045-003 – APEX Trial)</w:t>
      </w:r>
    </w:p>
    <w:p>
      <w:pPr>
        <w:sectPr>
          <w:pgSz w:w="11880" w:h="15480" w:orient="portrait"/>
          <w:cols w:equalWidth="0" w:num="1">
            <w:col w:w="10420"/>
          </w:cols>
          <w:pgMar w:left="720" w:top="750" w:right="740" w:bottom="0" w:gutter="0" w:footer="0" w:header="0"/>
        </w:sect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420"/>
          </w:cols>
          <w:pgMar w:left="720" w:top="750" w:right="740" w:bottom="0" w:gutter="0" w:footer="0" w:header="0"/>
          <w:type w:val="continuous"/>
        </w:sectPr>
      </w:pPr>
    </w:p>
    <w:bookmarkStart w:id="6" w:name="page7"/>
    <w:bookmarkEnd w:id="6"/>
    <w:p>
      <w:pPr>
        <w:jc w:val="both"/>
        <w:ind w:right="40"/>
        <w:spacing w:after="0" w:line="252" w:lineRule="auto"/>
        <w:rPr>
          <w:sz w:val="20"/>
          <w:szCs w:val="20"/>
          <w:color w:val="auto"/>
        </w:rPr>
      </w:pPr>
      <w:r>
        <w:rPr>
          <w:rFonts w:ascii="Times New Roman" w:cs="Times New Roman" w:eastAsia="Times New Roman" w:hAnsi="Times New Roman"/>
          <w:sz w:val="20"/>
          <w:szCs w:val="20"/>
          <w:color w:val="231F20"/>
        </w:rPr>
        <w:t>Our ongoing Phase 2 APEX trial in patients with PH-HFpEF, enriched for CpcPH, is a global, 24-week, placebo-controlled study designed to evaluate the safety and efficacy of TX45 administered SC. Patients are being randomized to receive TX45 or placebo for the duration of the trial, with two TX45 dosing regimens: 300 mg SC every two weeks or 300 mg SC once monthly. The first subject was dosed in October 2024.</w:t>
      </w:r>
    </w:p>
    <w:p>
      <w:pPr>
        <w:spacing w:after="0" w:line="11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Prior to dosing, RHC is performed to determine baseline hemodynamics. After 24 weeks of treatment, patients undergo a second RHC. The primary endpoint is change from baseline in PVR in patients with CpcPH, with approximately 70% of subjects expected to meet this enrichment criterion. The key secondary endpoint is change from baseline in PCWP in all subjects. Additional endpoints include change from baseline in six-minute walk distance (“6MWD”), Kansas City Cardiomyopathy Questionnaire (“KCCQ”) score, CO, mPAP, SVR, stroke volume, and biomarkers such as N-terminal pro b-type natriuretic peptide (“NT-proBNP”). Changes in relevant echocardiographic endpoints will also be explored.</w:t>
      </w:r>
    </w:p>
    <w:p>
      <w:pPr>
        <w:spacing w:after="0" w:line="80"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0"/>
          <w:szCs w:val="20"/>
          <w:color w:val="231F20"/>
        </w:rPr>
        <w:t>We currently expect to enroll approximately 180 subjects and report topline results in 2026. This trial is designed to evaluate efficacy in both the enriched CpcPH population and the broader PH-HFpEF population. An independent data management committee reviewed unblinded data when 40% of total study patient years exposure had accrued. The independent committee reviewed safety labs, adverse events as well as right heart catheterization data and recommended no changes to the trial.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Group 2 PH-HFpEF Anticipated Pivotal Development Pathway</w:t>
      </w:r>
    </w:p>
    <w:p>
      <w:pPr>
        <w:spacing w:after="0" w:line="1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Subject to Phase 2 results and feedback from an End-of-Phase 2 (“EOP2”) meeting with the FDA, we expect to initiate a randomized, placebo-controlled, double-blind Phase 3 clinical trial in Group 2 PH patients with HFpEF, along with a long-term, open-label extension trial for safety evaluation. Based on historical precedent across multiple PH subtypes and pre-IND consultation with the FDA regarding requirements for approval in Group 2 PH with HFpEF, we believe that achieving a clinically significant change in a functional endpoint, such as 6MWD, could be sufficient for approval. Secondary endpoints may include change from baseline to week 24 in KCCQ-12 score, percentage of subjects improving in WHO functional class, time to first occurrence of a clinical worsening event or death, and changes in relevant echocardiographic and biomarker endpoints such as NT-proBNP. At this time, assessment of TX45’s impact on long-term cardiovascular outcomes such as hospital and death is not anticipated to be required for approval. Commercialization in the United States and other countries will be contingent on regulatory approval and confirmation that studies were conducted according to accepted guidance and demonstrate a positive benefit-risk profile.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Planned Phase 2 Open-Label, Repeat Dose Trial in Group 3 PH-ILD</w:t>
      </w:r>
    </w:p>
    <w:p>
      <w:pPr>
        <w:spacing w:after="0" w:line="15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231F20"/>
        </w:rPr>
        <w:t>In February 2026, the first site was activated and opened for screening in the 16-week, open-label, repeat dose, Phase 2 clinical trial to evaluate TX45’s safety and hemodynamic effects in up to 25 subjects with pulmonary hypertension associated with interstitial lung disease (“PH-ILD”), classified as Group 3 pulmonary hypertension. PH-ILD is an orphan disease with limited treatment options and a high mortality rate.</w:t>
      </w:r>
    </w:p>
    <w:p>
      <w:pPr>
        <w:spacing w:after="0" w:line="11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We believe TX45’s mechanism is well suited to PH- ILD’s disease pathophysiology because of its pulmonary vasodilation, anti-inflammatory, remodeling, and anti-fibrotic activity. In patients with PH-ILD, elevation in pulmonary vascular resistance (“PVR”) and mPAP have been associated with increased mortality. In the Phase 1b trial in Group 2 PH patients, both CpcPH HFpEF and CpcPH HFrEF patients treated with TX45 had meaningful reductions in mPAP and PVR as well as improvements in other hemodynamic endpoints. Hence we will test whether the benefits on pulmonary hemodynamics observed in Group 2 PH patients will also be observed in Group 3 PH-ILD patients. The TX45 PH-ILD Phase 2 trial will initiate a dose of 300 mg TX45 administered SC every four weeks, with the primary efficacy endpoint being change from baseline in PVR at Week 16.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TX2100: Our APJ VHH-Fc fusion antagonist antibody for Hereditary Hemorrhagic Telangiectasia</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Our second product candidate, TX2100, is a VHH-Fc fusion antagonist antibody that binds to the APJ receptor (also known as the apelin receptor; APLNR), a GPCR that mediates signaling by the pro-angiogenic peptide hormone apelin. TX2100 is under development as a potential treatment for hereditary hemorrhagic telangiectasia (“HHT”), the second-most common genetic bleeding disorder affecting an estimated 75,000 people in the United States. In HHT, abnormal blood vessel formations result in telangiectasias and arteriovenous malformations (“AVMs”), which are prone to spontaneous and severe bleeding that can be life-threatening. There are currently no approved therapies for HHT.</w:t>
      </w:r>
    </w:p>
    <w:p>
      <w:pPr>
        <w:spacing w:after="0" w:line="1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color w:val="231F20"/>
        </w:rPr>
        <w:t>TX2100 is a VHH-Fc fusion antagonist antibody that binds to APJ. The Fc portion of TX2100 was modified to reduce Fc receptor activation and increase neonatal Fc receptor (“FcRn”) binding, extending the molecule’s half-life. Mutations in BMP9, BMP10, Endoglin, ALK1, and SMAD4 proteins, all members of a common signaling pathway, have been identified in HHT patients. Preclinical studies show that knockout or inhibition of these pathway members increases expression of factors driving angiogenesis and abnormal blood vessel formation, recapitulating the clinical situation. In HHT animal models, apelin has been reported to be upregulated and associated with an angiogenic gene expression signature. By blocking APJ signaling, we anticipate the potential for decreased bleeding resulting from abnormal angiogenesis.</w:t>
      </w:r>
    </w:p>
    <w:p>
      <w:pPr>
        <w:sectPr>
          <w:pgSz w:w="11880" w:h="15480" w:orient="portrait"/>
          <w:cols w:equalWidth="0" w:num="1">
            <w:col w:w="10420"/>
          </w:cols>
          <w:pgMar w:left="720" w:top="750" w:right="740" w:bottom="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420"/>
          </w:cols>
          <w:pgMar w:left="720" w:top="750" w:right="740" w:bottom="0" w:gutter="0" w:footer="0" w:header="0"/>
          <w:type w:val="continuous"/>
        </w:sectPr>
      </w:pPr>
    </w:p>
    <w:bookmarkStart w:id="7" w:name="page8"/>
    <w:bookmarkEnd w:id="7"/>
    <w:p>
      <w:pPr>
        <w:ind w:right="420"/>
        <w:spacing w:after="0" w:line="249" w:lineRule="auto"/>
        <w:rPr>
          <w:sz w:val="20"/>
          <w:szCs w:val="20"/>
          <w:color w:val="auto"/>
        </w:rPr>
      </w:pPr>
      <w:r>
        <w:rPr>
          <w:rFonts w:ascii="Times New Roman" w:cs="Times New Roman" w:eastAsia="Times New Roman" w:hAnsi="Times New Roman"/>
          <w:sz w:val="20"/>
          <w:szCs w:val="20"/>
          <w:color w:val="231F20"/>
        </w:rPr>
        <w:t>APJ represents a differentiated approach for the treatment of HHT. APJ is a selective anti-angiogenic target that is primarily expressed in endothelial cells and is generally quiescent under normal physiological conditions, but is upregulated during pathologic angiogenesis, including in HHT preclinical models. TX2100 is designed as a selective APJ antagonist intended to inhibit disease-associated angiogenic signaling with the goal of providing a more favorable safety profile compared to less selective anti-angiogenic approaches.</w:t>
      </w:r>
    </w:p>
    <w:p>
      <w:pPr>
        <w:spacing w:after="0" w:line="11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231F20"/>
        </w:rPr>
        <w:t>Anti-angiogenic agents have demonstrated activity in HHT preclinical models and in patients, and APJ antagonism has shown activity in multiple HHT preclinical models, supporting the continued development of TX2100 for this indication.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TX2100 Preclinical Pharmacology</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A rodent surrogate of TX2100 demonstrated reductions in AVM formation, bleeding, and anemia across the neonatal anti-BMP9/10 immunoblocked model and the more severe, adult inducible ALK1 knockout mouse model of HHT, supporting disease-modifying activity through APJ antagonism. TX2100 was further evaluated in non-human primates in IND-enabling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have been completed to support initiation of a Phase 1a clinical trial.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TX2100 Clinical Results and Development Plans</w:t>
      </w:r>
    </w:p>
    <w:p>
      <w:pPr>
        <w:spacing w:after="0" w:line="16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In February 2026, we randomized the first subject in the Phase 1a healthy volunteer clinical trial for TX2100, which is a randomized, placebo-controlled, double-blind ascending-dose trial in healthy volunteers. Primary endpoints include safety and tolerability, with secondary endpoints evaluating PK. Assuming adequate safety and PK are established, we plan to initiate Phase 2 efficacy trials, including a randomized, placebo-controlled, double-blind, proof-of-concept trial in moderate to severe HHT patients with frequent epistaxis and anemia in early 2027. The goal of the trial will be to evaluate improvement in epistaxis, anemia, hematological support, and other HHT endpoints. We are also planning a Phase 1b clinical trial to explore the safety and efficacy (epistaxis, anemia, and hematological support) of TX2100 in patients with severe HHT.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GPCR Modulator Bispecific for Fibrosis</w:t>
      </w:r>
    </w:p>
    <w:p>
      <w:pPr>
        <w:spacing w:after="0" w:line="1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Our third development program is aimed at discovering and developing a potential therapy for fibrotic diseases and employs a bispecific format for the construction of a molecule with a differentiated mechanism of action. The strategy leverages two targets-one with previous human POC and one novel target. Both targets are expressed on overlapping cell types with complementary and non-overlapping modes of action that could simultaneously enhance the therapeutic potential over modulating either target alone.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Anticipated Milestones</w:t>
      </w:r>
    </w:p>
    <w:p>
      <w:pPr>
        <w:spacing w:after="0" w:line="16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Over the next few years, we anticipate that several significant milestones could be achieved for our lead assets, TX45 and TX2100. This includes topline results from our TX45 APEX Phase 2 clinical trial in patients with PH-HFpEF expected in 2026, topline results from our TX2100 Phase 1a clinical trial expected in the fourth quarter of 2026, the potential initiation of a TX2100 Phase 1b clinical trial in patients with severe HHT, and plans to initiate a TX2100 Phase 2 clinical trial in patients with moderate to severe HHT in early 2027.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GEODe™ Platform</w:t>
      </w:r>
    </w:p>
    <w:p>
      <w:pPr>
        <w:spacing w:after="0" w:line="23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231F20"/>
        </w:rPr>
        <w:t>The GEODe™ platform is our proprietary technology for discovering biologic drugs targeted to GPCRs. The original components of GEODe™, including first-generation yeast library designs and initial yeast display selection protocols, were developed at Harvard Medical School. At that time, protocols were established to detergent-solubilize GPCRs and enable initial Fab (fragment antigen-binding) and VHH (variable domain of heavy-chain-only antibody) library selections.</w:t>
      </w:r>
    </w:p>
    <w:p>
      <w:pPr>
        <w:spacing w:after="0" w:line="18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Over the last several years, we have enhanced all aspects of GEODe™, including second and third-generation yeast library designs, optimized GPCR engineering strategies, and refined yeast display protocols tailored for GPCR antibody discovery. These modifications have improved the success rate of selection campaigns, producing molecules with higher affinity, potency, and superior biophysical properties compared to earlier hits.</w:t>
      </w:r>
    </w:p>
    <w:p>
      <w:pPr>
        <w:spacing w:after="0" w:line="1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To date, only 12% of the more than 800 human GPCRs have been translated into targets for approved therapeutics, with biologics representing only three of those approvals. GPCRs remain challenging targets for biologics due to their dynamic structures, variable expression in the plasma membrane, and difficulty maintaining functional conformations outside their native lipid microenvironment. Most approved GPCR-targeted drugs are small molecules, largely confined to six subfamilies with small-</w:t>
      </w:r>
    </w:p>
    <w:p>
      <w:pPr>
        <w:sectPr>
          <w:pgSz w:w="11880" w:h="15480" w:orient="portrait"/>
          <w:cols w:equalWidth="0" w:num="1">
            <w:col w:w="10420"/>
          </w:cols>
          <w:pgMar w:left="720" w:top="750" w:right="740" w:bottom="0" w:gutter="0" w:footer="0" w:header="0"/>
        </w:sect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420"/>
          </w:cols>
          <w:pgMar w:left="720" w:top="750" w:right="740" w:bottom="0" w:gutter="0" w:footer="0" w:header="0"/>
          <w:type w:val="continuous"/>
        </w:sectPr>
      </w:pPr>
    </w:p>
    <w:bookmarkStart w:id="8" w:name="page9"/>
    <w:bookmarkEnd w:id="8"/>
    <w:p>
      <w:pPr>
        <w:ind w:right="540"/>
        <w:spacing w:after="0" w:line="258" w:lineRule="auto"/>
        <w:rPr>
          <w:sz w:val="20"/>
          <w:szCs w:val="20"/>
          <w:color w:val="auto"/>
        </w:rPr>
      </w:pPr>
      <w:r>
        <w:rPr>
          <w:rFonts w:ascii="Times New Roman" w:cs="Times New Roman" w:eastAsia="Times New Roman" w:hAnsi="Times New Roman"/>
          <w:sz w:val="20"/>
          <w:szCs w:val="20"/>
          <w:color w:val="231F20"/>
        </w:rPr>
        <w:t>molecule natural ligands. Maintaining target engagement and selectivity for small molecules is challenging, particularly for receptors with larger, more complex binding sites or overlapping ligands. GEODe™ was specifically developed to address these challenges through:</w:t>
      </w:r>
    </w:p>
    <w:p>
      <w:pPr>
        <w:spacing w:after="0" w:line="83" w:lineRule="exact"/>
        <w:rPr>
          <w:sz w:val="20"/>
          <w:szCs w:val="20"/>
          <w:color w:val="auto"/>
        </w:rPr>
      </w:pPr>
    </w:p>
    <w:p>
      <w:pPr>
        <w:ind w:left="980" w:hanging="483"/>
        <w:spacing w:after="0" w:line="258"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GPCR protein engineering strategies that stabilize pharmacologically relevant receptor conformations, increase cell surface expression, and enable large-scale purification and formulation in the correct conformation for naïve antibody selection;</w:t>
      </w:r>
    </w:p>
    <w:p>
      <w:pPr>
        <w:spacing w:after="0" w:line="81" w:lineRule="exact"/>
        <w:rPr>
          <w:rFonts w:ascii="Arial" w:cs="Arial" w:eastAsia="Arial" w:hAnsi="Arial"/>
          <w:sz w:val="20"/>
          <w:szCs w:val="20"/>
          <w:color w:val="231F20"/>
        </w:rPr>
      </w:pPr>
    </w:p>
    <w:p>
      <w:pPr>
        <w:ind w:left="980" w:right="320" w:hanging="483"/>
        <w:spacing w:after="0" w:line="276" w:lineRule="auto"/>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An optimized yeast display platform with highly diverse Fab and VHH libraries designed specifically for GPCRs; and</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Structure-guided protein engineering strategies to identify optimal GPCR-targeted biologics.</w:t>
      </w:r>
    </w:p>
    <w:p>
      <w:pPr>
        <w:spacing w:after="0" w:line="2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Our team has continually refined the platform to improve the quality of molecules emerging from naïve selections and affinity maturation. Enhancements include improved receptor designs, updated naive and affinity maturation libraries, and advanced yeast display selection protocols. In addition, GEODe™ integrates components to optimize GPCR expression, purification, and stabilization, paired with our protein engineering and structural biology capabilities. While current libraries and selection strategies are producing GPCR-targeted antibodies, we continue to evolve the platform, which we believe will yield even better outcomes in the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Collaboration, License and Services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Harvard Option and License Agreement</w:t>
      </w:r>
    </w:p>
    <w:p>
      <w:pPr>
        <w:spacing w:after="0" w:line="12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In July 2020, Legacy Tectonic (as defined below)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we paid Harvard a one-time license fee of $170,000 and issued 227,486 shares of common stock with a fair market value of $0.4 million.</w:t>
      </w:r>
    </w:p>
    <w:p>
      <w:pPr>
        <w:spacing w:after="0" w:line="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We are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we generate from products that utilize the license technology (“Licensed Products”) and royalty payments as a percentage in the low single digits of the annual net sales that we generate from know-how enabled product licenses (“Know-How Enabled Products”) and (3) a percentage between 10-20% of all non-royalty income received by us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at the earlier of (i) ten years after the first commercial sale of the first Know-How Enabled Product and (ii) twelve years after the first commercial sale of the first Licensed Product.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Novotech Master Clinical Contract Services Agreement</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us on a project-by-project basis. Such services are performed under agreed statements of work. Under the terms of the Novotech CSA, we have agreed to pay fees for Novotech’s performance of services in addition to reimbursing Novotech for reasonably incurred, pass through costs agreed to by us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420"/>
          </w:cols>
          <w:pgMar w:left="720" w:top="750" w:right="740" w:bottom="0" w:gutter="0" w:footer="0" w:header="0"/>
          <w:type w:val="continuous"/>
        </w:sectPr>
      </w:pPr>
    </w:p>
    <w:bookmarkStart w:id="9" w:name="page10"/>
    <w:bookmarkEnd w:id="9"/>
    <w:p>
      <w:pPr>
        <w:ind w:right="420"/>
        <w:spacing w:after="0" w:line="277" w:lineRule="auto"/>
        <w:rPr>
          <w:sz w:val="20"/>
          <w:szCs w:val="20"/>
          <w:color w:val="auto"/>
        </w:rPr>
      </w:pPr>
      <w:r>
        <w:rPr>
          <w:rFonts w:ascii="Times New Roman" w:cs="Times New Roman" w:eastAsia="Times New Roman" w:hAnsi="Times New Roman"/>
          <w:sz w:val="20"/>
          <w:szCs w:val="20"/>
          <w:color w:val="231F20"/>
        </w:rPr>
        <w:t>products and/or materials arising from or made in the performance of Novotech’s service, except for Novotech’s background intellectual property rights as defined under the Agreement.</w:t>
      </w:r>
    </w:p>
    <w:p>
      <w:pPr>
        <w:spacing w:after="0" w:line="4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231F20"/>
        </w:rPr>
        <w:t>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w:t>
      </w:r>
    </w:p>
    <w:p>
      <w:pPr>
        <w:spacing w:after="0" w:line="80"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color w:val="231F20"/>
        </w:rPr>
        <w:t>The Novotech CSA includes customary terms relating to, among others, indemnification, intellectual property protection, confidentiality, non-solicitation, remedies and warranties.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2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Our patent portfolio includes three patent families relating to Fc-relaxin fusion protein compositions (including TX45) and methods of use thereof, consisting of two granted U.S. patents, three pending U.S. non-provisional applications, and approximately 40 pending foreign applications. Specifically, we have exclusively in-licensed one patent family from the President and Fellows of Harvard College and wholly own two patent families, relating to Fc-relaxin fusion protein compositions (including TX45) and methods of use thereof. The in-licensed patent family consists of one pending U.S. non-provisional patent application, and approximately 10 pending foreign applications, with any patent issuing from these applications having an expected 20-year expiry date of not earlier than May 2041. The first wholly owned patent family consists of one granted U.S. patent, one pending U.S. non-provisional patent application, and approximately 10 pending foreign applications, with any patent issuing from these applications having an expected 20-year expiry date of not earlier than November 2042, and the second wholly owned patent family consists of one granted U.S. patent, one pending U.S. non-provisional patent application, and approximately 20 pending foreign applications, with any patent issuing from these applications having an expected 20-year expiry date of not earlier than May 2044.</w:t>
      </w:r>
    </w:p>
    <w:p>
      <w:pPr>
        <w:spacing w:after="0" w:line="86"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0"/>
          <w:szCs w:val="20"/>
          <w:color w:val="231F20"/>
        </w:rPr>
        <w:t>Our patent portfolio also includes a wholly owned patent family relating to apelin receptor binding polypeptides (including TX2100) and methods of use thereof, consisting of one pending U.S. non-provisional application, one pending international (Patent Cooperation Treaty) application, and one pending foreign application, with any patent issuing from these applications having an expected 20-year expiry date of not earlier than August 2045.</w:t>
      </w:r>
    </w:p>
    <w:p>
      <w:pPr>
        <w:spacing w:after="0" w:line="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enforceabilitya of the patent.</w:t>
      </w:r>
    </w:p>
    <w:p>
      <w:pPr>
        <w:spacing w:after="0" w:line="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440"/>
          </w:cols>
          <w:pgMar w:left="720" w:top="750" w:right="720" w:bottom="0" w:gutter="0" w:footer="0" w:header="0"/>
          <w:type w:val="continuous"/>
        </w:sectPr>
      </w:pPr>
    </w:p>
    <w:bookmarkStart w:id="10" w:name="page11"/>
    <w:bookmarkEnd w:id="10"/>
    <w:p>
      <w:pPr>
        <w:ind w:right="80"/>
        <w:spacing w:after="0" w:line="246" w:lineRule="auto"/>
        <w:rPr>
          <w:sz w:val="20"/>
          <w:szCs w:val="20"/>
          <w:color w:val="auto"/>
        </w:rPr>
      </w:pPr>
      <w:r>
        <w:rPr>
          <w:rFonts w:ascii="Times New Roman" w:cs="Times New Roman" w:eastAsia="Times New Roman" w:hAnsi="Times New Roman"/>
          <w:sz w:val="20"/>
          <w:szCs w:val="20"/>
          <w:color w:val="231F20"/>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cs="Times New Roman" w:eastAsia="Times New Roman" w:hAnsi="Times New Roman"/>
          <w:sz w:val="20"/>
          <w:szCs w:val="20"/>
          <w:i w:val="1"/>
          <w:iCs w:val="1"/>
          <w:color w:val="231F20"/>
        </w:rPr>
        <w:t>Risk Factors — Risks Related to Our Intellectual Property</w:t>
      </w:r>
      <w:r>
        <w:rPr>
          <w:rFonts w:ascii="Times New Roman" w:cs="Times New Roman" w:eastAsia="Times New Roman" w:hAnsi="Times New Roman"/>
          <w:sz w:val="20"/>
          <w:szCs w:val="20"/>
          <w:color w:val="231F20"/>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Sales and Marketing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Given our stage of development, we have not yet established a commercial organization or distribution capabilities.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12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We do not currently own or operate manufacturing facilities for the production of clinical or commercial quantities of our lead product candidates. We currently rely and expect to continue to rely for the foreseeable future, on third-party contract development and manufacturing organizations (“CDMOs”) to produce our product candidates for preclinical and clinical testing, as well as for future commercial manufacture of any products that we may commercialize.</w:t>
      </w:r>
    </w:p>
    <w:p>
      <w:pPr>
        <w:spacing w:after="0" w:line="74"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0"/>
          <w:szCs w:val="20"/>
          <w:color w:val="231F20"/>
        </w:rPr>
        <w:t>We require our CDMOs to conduct manufacturing activities in compliance with Current Good Manufacturing Practices (“CGMPs”) requirements. We have assembled a team of experienced employees and consultants to provide the necessary technical, quality and regulatory oversight over its CDMOs. Currently, we contract with several third-party manufacturers, including WuXi Biologics, to provide biologics development and manufacturing services for our product candidates. In the future, we may engage additional third-party manufacturers to support any clinical trials for TX45 and TX2100 as well as commercialization of TX45, if approved, in the United States or other jurisdictions or the clinical development and potential commercialization of additional programs from our pipeline.</w:t>
      </w:r>
    </w:p>
    <w:p>
      <w:pPr>
        <w:spacing w:after="0" w:line="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We rely on WuXi Biologics to perform all chemistry, manufacturing, and controls (“CMC”) activities related to our TX45 program. We require that WuXi Biologics produces bulk drug substances and finished drug products in accordance with CGMPs, and all other applicable laws and 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2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face competition from companies that are pursuing development of engineered proteins or small molecule agonists of relaxin including AstraZeneca, who is currently conducting a Phase 2b trial. To our knowledge, at this time, AstraZeneca is pursuing the Chronic Heart Failure population i.e. both HFpEF and HFrEF with their small molecule relaxin. In the HHT space, Vaderis, Terremoto, and Atavistik has been pursuing development of small molecule AKT inhibitors, Diagonal Therapeutics has been pursuing agonist antibodies, and Alnylam Pharmaceuticals has been pursuing an RNAi reducing plasminogen for the treatment of this condition. Investigator-initiated studies of nintendanib (Boehringer Ingelheim) and pazopanib (Novartis) are also ongoing to explore the potential utility of these kinase inhibitors to treat this condition. We are not aware of any competitors targeting APJ.</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display-based antibody discovery. Specifically, our use of membrane mimetics that help maintain</w:t>
      </w:r>
    </w:p>
    <w:p>
      <w:pPr>
        <w:sectPr>
          <w:pgSz w:w="11880" w:h="15480" w:orient="portrait"/>
          <w:cols w:equalWidth="0" w:num="1">
            <w:col w:w="10400"/>
          </w:cols>
          <w:pgMar w:left="720" w:top="750" w:right="760" w:bottom="0" w:gutter="0" w:footer="0" w:header="0"/>
        </w:sect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400"/>
          </w:cols>
          <w:pgMar w:left="720" w:top="750" w:right="760" w:bottom="0" w:gutter="0" w:footer="0" w:header="0"/>
          <w:type w:val="continuous"/>
        </w:sectPr>
      </w:pPr>
    </w:p>
    <w:bookmarkStart w:id="11" w:name="page12"/>
    <w:bookmarkEnd w:id="11"/>
    <w:p>
      <w:pPr>
        <w:ind w:right="260"/>
        <w:spacing w:after="0" w:line="277" w:lineRule="auto"/>
        <w:rPr>
          <w:sz w:val="20"/>
          <w:szCs w:val="20"/>
          <w:color w:val="auto"/>
        </w:rPr>
      </w:pPr>
      <w:r>
        <w:rPr>
          <w:rFonts w:ascii="Times New Roman" w:cs="Times New Roman" w:eastAsia="Times New Roman" w:hAnsi="Times New Roman"/>
          <w:sz w:val="20"/>
          <w:szCs w:val="20"/>
          <w:color w:val="231F20"/>
        </w:rPr>
        <w:t>native receptor extra-cellular domain conformations combined with the membrane protein biochemistry expertise that we have built over the last three years is a key point of potential differentiation.</w:t>
      </w:r>
    </w:p>
    <w:p>
      <w:pPr>
        <w:spacing w:after="0" w:line="4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231F20"/>
        </w:rPr>
        <w:t>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Licensure and regulation of biologics in the United States</w:t>
      </w:r>
    </w:p>
    <w:p>
      <w:pPr>
        <w:spacing w:after="0" w:line="1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w:t>
      </w:r>
    </w:p>
    <w:p>
      <w:pPr>
        <w:spacing w:after="0" w:line="7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231F20"/>
        </w:rPr>
        <w:t>An applicant seeking approval to market and distribute a new biologic in the United States generally must satisfactorily complete each of the following steps:</w:t>
      </w:r>
    </w:p>
    <w:p>
      <w:pPr>
        <w:spacing w:after="0" w:line="64" w:lineRule="exact"/>
        <w:rPr>
          <w:sz w:val="20"/>
          <w:szCs w:val="20"/>
          <w:color w:val="auto"/>
        </w:rPr>
      </w:pPr>
    </w:p>
    <w:p>
      <w:pPr>
        <w:ind w:left="980" w:right="780" w:hanging="483"/>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preclinical laboratory tests, animal studies and formulation studies performed in accordance with the FDA’s applicable Good Laboratory Practices (“GLP”) regulations;</w:t>
      </w:r>
    </w:p>
    <w:p>
      <w:pPr>
        <w:spacing w:after="0" w:line="64" w:lineRule="exact"/>
        <w:rPr>
          <w:rFonts w:ascii="Arial" w:cs="Arial" w:eastAsia="Arial" w:hAnsi="Arial"/>
          <w:sz w:val="20"/>
          <w:szCs w:val="20"/>
          <w:color w:val="231F20"/>
        </w:rPr>
      </w:pPr>
    </w:p>
    <w:p>
      <w:pPr>
        <w:ind w:left="980" w:right="440" w:hanging="483"/>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completion of the manufacture, under current CGMP conditions, of the drug substance and drug product that the sponsor intends to use in human clinical trials along with required analytical and stability testing;</w:t>
      </w:r>
    </w:p>
    <w:p>
      <w:pPr>
        <w:spacing w:after="0" w:line="64" w:lineRule="exact"/>
        <w:rPr>
          <w:rFonts w:ascii="Arial" w:cs="Arial" w:eastAsia="Arial" w:hAnsi="Arial"/>
          <w:sz w:val="20"/>
          <w:szCs w:val="20"/>
          <w:color w:val="231F20"/>
        </w:rPr>
      </w:pPr>
    </w:p>
    <w:p>
      <w:pPr>
        <w:ind w:left="980" w:right="80" w:hanging="483"/>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to the FDA of an IND application for human clinical testing, which must become effective before human clinical trials may begin;</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by an independent IRB representing each clinical site before each clinical trial may be initiated;</w:t>
      </w:r>
    </w:p>
    <w:p>
      <w:pPr>
        <w:spacing w:after="0" w:line="133" w:lineRule="exact"/>
        <w:rPr>
          <w:rFonts w:ascii="Arial" w:cs="Arial" w:eastAsia="Arial" w:hAnsi="Arial"/>
          <w:sz w:val="20"/>
          <w:szCs w:val="20"/>
          <w:color w:val="231F20"/>
        </w:rPr>
      </w:pPr>
    </w:p>
    <w:p>
      <w:pPr>
        <w:ind w:left="980" w:right="260" w:hanging="483"/>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of adequate and well-controlled human clinical trials to establish the safety, potency and purity of the product candidate for each proposed indication, in accordance with current good clinical practices (“GCP”) regulations;</w:t>
      </w:r>
    </w:p>
    <w:p>
      <w:pPr>
        <w:spacing w:after="0" w:line="81" w:lineRule="exact"/>
        <w:rPr>
          <w:rFonts w:ascii="Arial" w:cs="Arial" w:eastAsia="Arial" w:hAnsi="Arial"/>
          <w:sz w:val="20"/>
          <w:szCs w:val="20"/>
          <w:color w:val="231F20"/>
        </w:rPr>
      </w:pPr>
    </w:p>
    <w:p>
      <w:pPr>
        <w:ind w:left="980" w:right="500" w:hanging="483"/>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preparation and submission to the FDA of a BLA for a biological product requesting marketing for one or more proposed indications, including submission of detailed information on the manufacture and composition of the product in clinical development and proposed labelling;</w:t>
      </w:r>
    </w:p>
    <w:p>
      <w:pPr>
        <w:spacing w:after="0" w:line="81" w:lineRule="exact"/>
        <w:rPr>
          <w:rFonts w:ascii="Arial" w:cs="Arial" w:eastAsia="Arial" w:hAnsi="Arial"/>
          <w:sz w:val="20"/>
          <w:szCs w:val="20"/>
          <w:color w:val="231F20"/>
        </w:rPr>
      </w:pPr>
    </w:p>
    <w:p>
      <w:pPr>
        <w:ind w:left="980" w:hanging="483"/>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review of the product by an FDA advisory committee, where appropriate or if applicable;</w:t>
      </w:r>
    </w:p>
    <w:p>
      <w:pPr>
        <w:spacing w:after="0" w:line="133" w:lineRule="exact"/>
        <w:rPr>
          <w:rFonts w:ascii="Arial" w:cs="Arial" w:eastAsia="Arial" w:hAnsi="Arial"/>
          <w:sz w:val="20"/>
          <w:szCs w:val="20"/>
          <w:color w:val="231F20"/>
        </w:rPr>
      </w:pPr>
    </w:p>
    <w:p>
      <w:pPr>
        <w:ind w:left="980" w:right="80" w:hanging="483"/>
        <w:spacing w:after="0" w:line="252"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87" w:lineRule="exact"/>
        <w:rPr>
          <w:rFonts w:ascii="Arial" w:cs="Arial" w:eastAsia="Arial" w:hAnsi="Arial"/>
          <w:sz w:val="20"/>
          <w:szCs w:val="20"/>
          <w:color w:val="231F20"/>
        </w:rPr>
      </w:pPr>
    </w:p>
    <w:p>
      <w:pPr>
        <w:ind w:left="980" w:right="120" w:hanging="483"/>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any FDA audits of the preclinical studies and clinical trial sites to assure compliance with GLP, as applicable, and GCP, and the integrity of clinical data in support of the BLA;</w:t>
      </w:r>
    </w:p>
    <w:p>
      <w:pPr>
        <w:spacing w:after="0" w:line="64" w:lineRule="exact"/>
        <w:rPr>
          <w:rFonts w:ascii="Arial" w:cs="Arial" w:eastAsia="Arial" w:hAnsi="Arial"/>
          <w:sz w:val="20"/>
          <w:szCs w:val="20"/>
          <w:color w:val="231F20"/>
        </w:rPr>
      </w:pPr>
    </w:p>
    <w:p>
      <w:pPr>
        <w:ind w:left="980" w:hanging="483"/>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payment of Prescription Drug User Fee Act (“PDUFA”) fees, securing FDA approval of the BLA and licensure of the new biological product; and</w:t>
      </w:r>
    </w:p>
    <w:p>
      <w:pPr>
        <w:spacing w:after="0" w:line="64" w:lineRule="exact"/>
        <w:rPr>
          <w:rFonts w:ascii="Arial" w:cs="Arial" w:eastAsia="Arial" w:hAnsi="Arial"/>
          <w:sz w:val="20"/>
          <w:szCs w:val="20"/>
          <w:color w:val="231F20"/>
        </w:rPr>
      </w:pPr>
    </w:p>
    <w:p>
      <w:pPr>
        <w:ind w:left="980" w:right="20" w:hanging="483"/>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any post-approval requirements, including the potential requirement to implement a Risk Evaluation and Mitigation Strategy (“REMS”) and any post-approval studies or other post- marketing commitments required by the FDA.</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420"/>
          </w:cols>
          <w:pgMar w:left="720" w:top="750" w:right="7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231F20"/>
        </w:rPr>
        <w:t>Preclinical studies and investigational new drug application</w:t>
      </w:r>
    </w:p>
    <w:p>
      <w:pPr>
        <w:spacing w:after="0" w:line="11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7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231F20"/>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w:t>
      </w:r>
    </w:p>
    <w:p>
      <w:pPr>
        <w:spacing w:after="0" w:line="8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231F20"/>
        </w:rPr>
        <w:t>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Human clinical trials in support of a BLA</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8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w:t>
      </w:r>
    </w:p>
    <w:p>
      <w:pPr>
        <w:spacing w:after="0" w:line="7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Clinical trials typically are conducted in three sequential phases, but the phases may overlap or be combined. Additional studies may be required after approval.</w:t>
      </w:r>
    </w:p>
    <w:p>
      <w:pPr>
        <w:spacing w:after="0" w:line="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Phase 1 </w:t>
      </w:r>
      <w:r>
        <w:rPr>
          <w:rFonts w:ascii="Times New Roman" w:cs="Times New Roman" w:eastAsia="Times New Roman" w:hAnsi="Times New Roman"/>
          <w:sz w:val="20"/>
          <w:szCs w:val="20"/>
          <w:color w:val="231F20"/>
        </w:rPr>
        <w:t>clinical trials are initially conducted in a limited population to test the product candidate for safety, including adverse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effects, dose tolerance, absorption, metabolism, distribution, excretion and pharmacodynamics in healthy humans or, on occasion, in patients.</w:t>
      </w:r>
    </w:p>
    <w:p>
      <w:pPr>
        <w:sectPr>
          <w:pgSz w:w="11880" w:h="15480" w:orient="portrait"/>
          <w:cols w:equalWidth="0" w:num="1">
            <w:col w:w="10420"/>
          </w:cols>
          <w:pgMar w:left="720" w:top="75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420"/>
          </w:cols>
          <w:pgMar w:left="720" w:top="752" w:right="740" w:bottom="0" w:gutter="0" w:footer="0" w:header="0"/>
          <w:type w:val="continuous"/>
        </w:sectPr>
      </w:pPr>
    </w:p>
    <w:bookmarkStart w:id="13" w:name="page14"/>
    <w:bookmarkEnd w:id="13"/>
    <w:p>
      <w:pPr>
        <w:jc w:val="both"/>
        <w:ind w:right="10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Phase 2 </w:t>
      </w:r>
      <w:r>
        <w:rPr>
          <w:rFonts w:ascii="Times New Roman" w:cs="Times New Roman" w:eastAsia="Times New Roman" w:hAnsi="Times New Roman"/>
          <w:sz w:val="20"/>
          <w:szCs w:val="20"/>
          <w:color w:val="231F20"/>
        </w:rPr>
        <w:t>clinical trials are generally conducted in a limited patient population to identify possible adverse effects and safety risks,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7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Phase 3 </w:t>
      </w:r>
      <w:r>
        <w:rPr>
          <w:rFonts w:ascii="Times New Roman" w:cs="Times New Roman" w:eastAsia="Times New Roman" w:hAnsi="Times New Roman"/>
          <w:sz w:val="20"/>
          <w:szCs w:val="20"/>
          <w:color w:val="231F20"/>
        </w:rPr>
        <w:t>clinical trials proceed if the Phase 2 clinical trials demonstrate that a dose range of the product candidate is potentially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8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231F20"/>
        </w:rPr>
        <w:t xml:space="preserve">Information about applicable clinical trials must be submitted within specific timeframes to the National Institutes of Health (“NIH”) for public dissemination on its </w:t>
      </w:r>
      <w:r>
        <w:rPr>
          <w:rFonts w:ascii="Times New Roman" w:cs="Times New Roman" w:eastAsia="Times New Roman" w:hAnsi="Times New Roman"/>
          <w:sz w:val="20"/>
          <w:szCs w:val="20"/>
          <w:i w:val="1"/>
          <w:iCs w:val="1"/>
          <w:color w:val="231F20"/>
        </w:rPr>
        <w:t>ClinicalTrials.gov</w:t>
      </w:r>
      <w:r>
        <w:rPr>
          <w:rFonts w:ascii="Times New Roman" w:cs="Times New Roman" w:eastAsia="Times New Roman" w:hAnsi="Times New Roman"/>
          <w:sz w:val="20"/>
          <w:szCs w:val="20"/>
          <w:color w:val="231F20"/>
        </w:rPr>
        <w:t xml:space="preserve">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Pediatric studies</w:t>
      </w:r>
    </w:p>
    <w:p>
      <w:pPr>
        <w:spacing w:after="0" w:line="1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Compliance with CGMP requirements</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ensure consistent production of the product within required specifications. The PHSA emphasizes the importance of manufacturing control for products like biologics whose attributes cannot be precisely defined.</w:t>
      </w:r>
    </w:p>
    <w:p>
      <w:pPr>
        <w:spacing w:after="0" w:line="7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 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Review and approval of a BLA</w:t>
      </w:r>
    </w:p>
    <w:p>
      <w:pPr>
        <w:spacing w:after="0" w:line="11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ectPr>
          <w:pgSz w:w="11880" w:h="15480" w:orient="portrait"/>
          <w:cols w:equalWidth="0" w:num="1">
            <w:col w:w="10440"/>
          </w:cols>
          <w:pgMar w:left="720" w:top="750" w:right="720" w:bottom="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440"/>
          </w:cols>
          <w:pgMar w:left="720" w:top="750" w:right="720" w:bottom="0" w:gutter="0" w:footer="0" w:header="0"/>
          <w:type w:val="continuous"/>
        </w:sectPr>
      </w:pPr>
    </w:p>
    <w:bookmarkStart w:id="14" w:name="page15"/>
    <w:bookmarkEnd w:id="14"/>
    <w:p>
      <w:pPr>
        <w:ind w:right="40"/>
        <w:spacing w:after="0" w:line="246" w:lineRule="auto"/>
        <w:rPr>
          <w:sz w:val="20"/>
          <w:szCs w:val="20"/>
          <w:color w:val="auto"/>
        </w:rPr>
      </w:pPr>
      <w:r>
        <w:rPr>
          <w:rFonts w:ascii="Times New Roman" w:cs="Times New Roman" w:eastAsia="Times New Roman" w:hAnsi="Times New Roman"/>
          <w:sz w:val="20"/>
          <w:szCs w:val="20"/>
          <w:color w:val="231F20"/>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 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w:t>
      </w:r>
    </w:p>
    <w:p>
      <w:pPr>
        <w:spacing w:after="0" w:line="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w:t>
      </w:r>
    </w:p>
    <w:p>
      <w:pPr>
        <w:spacing w:after="0" w:line="8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8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Expedited review programs</w:t>
      </w:r>
    </w:p>
    <w:p>
      <w:pPr>
        <w:spacing w:after="0" w:line="11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231F20"/>
        </w:rPr>
        <w:t>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83" w:lineRule="exact"/>
        <w:rPr>
          <w:sz w:val="20"/>
          <w:szCs w:val="20"/>
          <w:color w:val="auto"/>
        </w:rPr>
      </w:pPr>
    </w:p>
    <w:p>
      <w:pPr>
        <w:ind w:left="980" w:right="40" w:hanging="483"/>
        <w:spacing w:after="0" w:line="247"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Breakthrough therapy designation. </w:t>
      </w:r>
      <w:r>
        <w:rPr>
          <w:rFonts w:ascii="Times New Roman" w:cs="Times New Roman" w:eastAsia="Times New Roman" w:hAnsi="Times New Roman"/>
          <w:sz w:val="20"/>
          <w:szCs w:val="20"/>
          <w:color w:val="231F20"/>
        </w:rPr>
        <w:t>To qualify for the breakthrough therapy program, product candidates must be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93" w:lineRule="exact"/>
        <w:rPr>
          <w:rFonts w:ascii="Arial" w:cs="Arial" w:eastAsia="Arial" w:hAnsi="Arial"/>
          <w:sz w:val="20"/>
          <w:szCs w:val="20"/>
          <w:color w:val="231F20"/>
        </w:rPr>
      </w:pPr>
    </w:p>
    <w:p>
      <w:pPr>
        <w:ind w:left="980" w:right="100" w:hanging="483"/>
        <w:spacing w:after="0" w:line="252"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Priority review. </w:t>
      </w:r>
      <w:r>
        <w:rPr>
          <w:rFonts w:ascii="Times New Roman" w:cs="Times New Roman" w:eastAsia="Times New Roman" w:hAnsi="Times New Roman"/>
          <w:sz w:val="20"/>
          <w:szCs w:val="20"/>
          <w:color w:val="231F20"/>
        </w:rPr>
        <w:t>A product candidate is eligible for priority review if it treats a serious condition and, if approved, 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would be a significant improvement in the safety or effectiveness of the treatment, diagnosis or prevention compared to marketed products. FDA aims to complete its review of priority review applications within six months as opposed to 10 months for standard review.</w:t>
      </w:r>
    </w:p>
    <w:p>
      <w:pPr>
        <w:sectPr>
          <w:pgSz w:w="11880" w:h="15480" w:orient="portrait"/>
          <w:cols w:equalWidth="0" w:num="1">
            <w:col w:w="10440"/>
          </w:cols>
          <w:pgMar w:left="720" w:top="750" w:right="720" w:bottom="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440"/>
          </w:cols>
          <w:pgMar w:left="720" w:top="750" w:right="720" w:bottom="0" w:gutter="0" w:footer="0" w:header="0"/>
          <w:type w:val="continuous"/>
        </w:sectPr>
      </w:pPr>
    </w:p>
    <w:bookmarkStart w:id="15" w:name="page16"/>
    <w:bookmarkEnd w:id="15"/>
    <w:p>
      <w:pPr>
        <w:ind w:left="980" w:hanging="483"/>
        <w:spacing w:after="0" w:line="244"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Accelerated approval. </w:t>
      </w:r>
      <w:r>
        <w:rPr>
          <w:rFonts w:ascii="Times New Roman" w:cs="Times New Roman" w:eastAsia="Times New Roman" w:hAnsi="Times New Roman"/>
          <w:sz w:val="20"/>
          <w:szCs w:val="20"/>
          <w:color w:val="231F20"/>
        </w:rPr>
        <w:t>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w:t>
      </w:r>
    </w:p>
    <w:p>
      <w:pPr>
        <w:spacing w:after="0" w:line="7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20"/>
          <w:szCs w:val="20"/>
          <w:color w:val="231F20"/>
        </w:rPr>
        <w:t>None of these expedited programs change the standards for approval but they may help expedite the development or approval process of product candidates.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Post-approval regulation</w:t>
      </w:r>
    </w:p>
    <w:p>
      <w:pPr>
        <w:spacing w:after="0" w:line="10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231F20"/>
        </w:rPr>
        <w:t>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w:t>
      </w:r>
    </w:p>
    <w:p>
      <w:pPr>
        <w:spacing w:after="0" w:line="7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231F20"/>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7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231F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98" w:lineRule="exact"/>
        <w:rPr>
          <w:sz w:val="20"/>
          <w:szCs w:val="20"/>
          <w:color w:val="auto"/>
        </w:rPr>
      </w:pPr>
    </w:p>
    <w:p>
      <w:pPr>
        <w:ind w:left="980" w:right="20" w:hanging="483"/>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holds on post-approval clinical trials;</w:t>
      </w:r>
    </w:p>
    <w:p>
      <w:pPr>
        <w:spacing w:after="0" w:line="133" w:lineRule="exact"/>
        <w:rPr>
          <w:rFonts w:ascii="Arial" w:cs="Arial" w:eastAsia="Arial" w:hAnsi="Arial"/>
          <w:sz w:val="20"/>
          <w:szCs w:val="20"/>
          <w:color w:val="231F20"/>
        </w:rPr>
      </w:pPr>
    </w:p>
    <w:p>
      <w:pPr>
        <w:ind w:left="980" w:right="620" w:hanging="483"/>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of the FDA to approve pending applications or supplements to approved applications, or suspension or revocation of product license approvals;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recall, seizure or detention, or refusal to permit the import or export of products; or</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1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ectPr>
          <w:pgSz w:w="11880" w:h="15480" w:orient="portrait"/>
          <w:cols w:equalWidth="0" w:num="1">
            <w:col w:w="10420"/>
          </w:cols>
          <w:pgMar w:left="720" w:top="76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420"/>
          </w:cols>
          <w:pgMar w:left="720" w:top="764" w:right="740" w:bottom="0" w:gutter="0" w:footer="0" w:header="0"/>
          <w:type w:val="continuous"/>
        </w:sectPr>
      </w:pPr>
    </w:p>
    <w:bookmarkStart w:id="16" w:name="page17"/>
    <w:bookmarkEnd w:id="16"/>
    <w:p>
      <w:pPr>
        <w:ind w:right="20"/>
        <w:spacing w:after="0" w:line="247" w:lineRule="auto"/>
        <w:rPr>
          <w:sz w:val="20"/>
          <w:szCs w:val="20"/>
          <w:color w:val="auto"/>
        </w:rPr>
      </w:pPr>
      <w:r>
        <w:rPr>
          <w:rFonts w:ascii="Times New Roman" w:cs="Times New Roman" w:eastAsia="Times New Roman" w:hAnsi="Times New Roman"/>
          <w:sz w:val="20"/>
          <w:szCs w:val="20"/>
          <w:color w:val="231F2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w:t>
      </w:r>
    </w:p>
    <w:p>
      <w:pPr>
        <w:spacing w:after="0" w:line="8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Biosimilars and exclusivity</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several guidance documents outlining an approach to review and approval of biosimilars. Additional guidance is expected to be finalized by the FDA in the near term.</w:t>
      </w:r>
    </w:p>
    <w:p>
      <w:pPr>
        <w:spacing w:after="0" w:line="7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8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amendments to laws, including laws governing pharmacy practices, which are state-regulated, to regulate the use of biosimilars.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Patent term restoration and extension</w:t>
      </w:r>
    </w:p>
    <w:p>
      <w:pPr>
        <w:spacing w:after="0" w:line="1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U.S. healthcare laws and compliance requirements</w:t>
      </w:r>
    </w:p>
    <w:p>
      <w:pPr>
        <w:spacing w:after="0" w:line="11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231F20"/>
        </w:rPr>
        <w:t>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420"/>
          </w:cols>
          <w:pgMar w:left="720" w:top="750" w:right="740" w:bottom="0" w:gutter="0" w:footer="0" w:header="0"/>
          <w:type w:val="continuous"/>
        </w:sectPr>
      </w:pPr>
    </w:p>
    <w:bookmarkStart w:id="17" w:name="page18"/>
    <w:bookmarkEnd w:id="17"/>
    <w:p>
      <w:pPr>
        <w:ind w:right="200"/>
        <w:spacing w:after="0" w:line="277" w:lineRule="auto"/>
        <w:rPr>
          <w:sz w:val="20"/>
          <w:szCs w:val="20"/>
          <w:color w:val="auto"/>
        </w:rPr>
      </w:pPr>
      <w:r>
        <w:rPr>
          <w:rFonts w:ascii="Times New Roman" w:cs="Times New Roman" w:eastAsia="Times New Roman" w:hAnsi="Times New Roman"/>
          <w:sz w:val="20"/>
          <w:szCs w:val="20"/>
          <w:color w:val="231F20"/>
        </w:rPr>
        <w:t>laws and regulations. Restrictions under applicable federal and state healthcare laws and regulations, including certain laws and regulations applicable only if we have marketed products, include the following:</w:t>
      </w:r>
    </w:p>
    <w:p>
      <w:pPr>
        <w:spacing w:after="0" w:line="64" w:lineRule="exact"/>
        <w:rPr>
          <w:sz w:val="20"/>
          <w:szCs w:val="20"/>
          <w:color w:val="auto"/>
        </w:rPr>
      </w:pPr>
    </w:p>
    <w:p>
      <w:pPr>
        <w:ind w:left="980" w:hanging="483"/>
        <w:spacing w:after="0" w:line="245"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5" w:lineRule="exact"/>
        <w:rPr>
          <w:rFonts w:ascii="Arial" w:cs="Arial" w:eastAsia="Arial" w:hAnsi="Arial"/>
          <w:sz w:val="20"/>
          <w:szCs w:val="20"/>
          <w:color w:val="231F20"/>
        </w:rPr>
      </w:pPr>
    </w:p>
    <w:p>
      <w:pPr>
        <w:ind w:left="980" w:right="120" w:hanging="483"/>
        <w:spacing w:after="0" w:line="245"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spacing w:after="0" w:line="95" w:lineRule="exact"/>
        <w:rPr>
          <w:rFonts w:ascii="Arial" w:cs="Arial" w:eastAsia="Arial" w:hAnsi="Arial"/>
          <w:sz w:val="20"/>
          <w:szCs w:val="20"/>
          <w:color w:val="231F20"/>
        </w:rPr>
      </w:pPr>
    </w:p>
    <w:p>
      <w:pPr>
        <w:ind w:left="980" w:right="40" w:hanging="483"/>
        <w:spacing w:after="0" w:line="249"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90" w:lineRule="exact"/>
        <w:rPr>
          <w:rFonts w:ascii="Arial" w:cs="Arial" w:eastAsia="Arial" w:hAnsi="Arial"/>
          <w:sz w:val="20"/>
          <w:szCs w:val="20"/>
          <w:color w:val="231F20"/>
        </w:rPr>
      </w:pPr>
    </w:p>
    <w:p>
      <w:pPr>
        <w:ind w:left="980" w:right="20" w:hanging="483"/>
        <w:spacing w:after="0" w:line="244"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95" w:lineRule="exact"/>
        <w:rPr>
          <w:rFonts w:ascii="Arial" w:cs="Arial" w:eastAsia="Arial" w:hAnsi="Arial"/>
          <w:sz w:val="20"/>
          <w:szCs w:val="20"/>
          <w:color w:val="231F20"/>
        </w:rPr>
      </w:pPr>
    </w:p>
    <w:p>
      <w:pPr>
        <w:ind w:left="980" w:right="140" w:hanging="483"/>
        <w:spacing w:after="0" w:line="258"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81" w:lineRule="exact"/>
        <w:rPr>
          <w:rFonts w:ascii="Arial" w:cs="Arial" w:eastAsia="Arial" w:hAnsi="Arial"/>
          <w:sz w:val="20"/>
          <w:szCs w:val="20"/>
          <w:color w:val="231F20"/>
        </w:rPr>
      </w:pPr>
    </w:p>
    <w:p>
      <w:pPr>
        <w:ind w:left="980" w:right="40" w:hanging="483"/>
        <w:spacing w:after="0" w:line="245"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for Medicare &amp; Medicaid Services (“CMS”), information related to payments or other transfers of value made to physicians (defined to include doctors, dentists, optometrists, podiatrists and chiropractors), certain other licensed health care practitioners (such as physician assistants and nurse practitioners) and teaching hospitals, as well as ownership and investment interests held by the physicians described above and their immediate family members;</w:t>
      </w:r>
    </w:p>
    <w:p>
      <w:pPr>
        <w:spacing w:after="0" w:line="95" w:lineRule="exact"/>
        <w:rPr>
          <w:rFonts w:ascii="Arial" w:cs="Arial" w:eastAsia="Arial" w:hAnsi="Arial"/>
          <w:sz w:val="20"/>
          <w:szCs w:val="20"/>
          <w:color w:val="231F20"/>
        </w:rPr>
      </w:pPr>
    </w:p>
    <w:p>
      <w:pPr>
        <w:ind w:left="980" w:right="40" w:hanging="483"/>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231F20"/>
        </w:rPr>
      </w:pPr>
    </w:p>
    <w:p>
      <w:pPr>
        <w:ind w:left="980" w:right="460" w:hanging="483"/>
        <w:spacing w:after="0" w:line="258"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6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w:t>
      </w:r>
    </w:p>
    <w:p>
      <w:pPr>
        <w:sectPr>
          <w:pgSz w:w="11880" w:h="15480" w:orient="portrait"/>
          <w:cols w:equalWidth="0" w:num="1">
            <w:col w:w="10420"/>
          </w:cols>
          <w:pgMar w:left="720" w:top="750" w:right="740" w:bottom="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420"/>
          </w:cols>
          <w:pgMar w:left="720" w:top="750" w:right="740" w:bottom="0" w:gutter="0" w:footer="0" w:header="0"/>
          <w:type w:val="continuous"/>
        </w:sectPr>
      </w:pPr>
    </w:p>
    <w:bookmarkStart w:id="18" w:name="page19"/>
    <w:bookmarkEnd w:id="18"/>
    <w:p>
      <w:pPr>
        <w:jc w:val="both"/>
        <w:ind w:right="20"/>
        <w:spacing w:after="0" w:line="258" w:lineRule="auto"/>
        <w:rPr>
          <w:sz w:val="20"/>
          <w:szCs w:val="20"/>
          <w:color w:val="auto"/>
        </w:rPr>
      </w:pPr>
      <w:r>
        <w:rPr>
          <w:rFonts w:ascii="Times New Roman" w:cs="Times New Roman" w:eastAsia="Times New Roman" w:hAnsi="Times New Roman"/>
          <w:sz w:val="20"/>
          <w:szCs w:val="20"/>
          <w:color w:val="231F20"/>
        </w:rPr>
        <w:t>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6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231F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Healthcare reform</w:t>
      </w:r>
    </w:p>
    <w:p>
      <w:pPr>
        <w:spacing w:after="0" w:line="11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231F20"/>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8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Within the United States, the federal government and individual states have aggressively pursued healthcare reform, as evidenced by the passing of the Patient Protection and Affordable Care Act of 2010, as amended by the Health Care and Education Reconciliation Act of 2010 (the “ACA”), and the ongoing efforts to modify or repeal that legislation. The ACA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9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In addition to pricing regulations, reforms of regulatory approval frameworks may adversely affect our pricing strategy. 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440"/>
          </w:cols>
          <w:pgMar w:left="720" w:top="750" w:right="720" w:bottom="0" w:gutter="0" w:footer="0" w:header="0"/>
          <w:type w:val="continuous"/>
        </w:sectPr>
      </w:pPr>
    </w:p>
    <w:bookmarkStart w:id="19" w:name="page20"/>
    <w:bookmarkEnd w:id="19"/>
    <w:p>
      <w:pPr>
        <w:spacing w:after="0" w:line="244" w:lineRule="auto"/>
        <w:rPr>
          <w:sz w:val="20"/>
          <w:szCs w:val="20"/>
          <w:color w:val="auto"/>
        </w:rPr>
      </w:pPr>
      <w:r>
        <w:rPr>
          <w:rFonts w:ascii="Times New Roman" w:cs="Times New Roman" w:eastAsia="Times New Roman" w:hAnsi="Times New Roman"/>
          <w:sz w:val="20"/>
          <w:szCs w:val="20"/>
          <w:color w:val="231F20"/>
        </w:rPr>
        <w:t>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expect that additional state, federal, and foreign healthcare reform measures will be adopted in the future.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Coverage and reimbursement</w:t>
      </w:r>
    </w:p>
    <w:p>
      <w:pPr>
        <w:spacing w:after="0" w:line="1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8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231F20"/>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w:t>
      </w:r>
    </w:p>
    <w:p>
      <w:pPr>
        <w:spacing w:after="0" w:line="94" w:lineRule="exact"/>
        <w:rPr>
          <w:sz w:val="20"/>
          <w:szCs w:val="20"/>
          <w:color w:val="auto"/>
        </w:rPr>
      </w:pPr>
    </w:p>
    <w:p>
      <w:pPr>
        <w:ind w:left="980" w:hanging="483"/>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a covered benefit under its health plan;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safe, effective and medically necessary;</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appropriate for the specific patient;</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cost-effective;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neither experimental nor investigational.</w:t>
      </w:r>
    </w:p>
    <w:p>
      <w:pPr>
        <w:spacing w:after="0" w:line="11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 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w:t>
      </w:r>
    </w:p>
    <w:p>
      <w:pPr>
        <w:spacing w:after="0" w:line="8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A primary trend in the U.S. healthcare industry and elsewhere is cost containment. For example,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420"/>
          </w:cols>
          <w:pgMar w:left="720" w:top="750" w:right="740" w:bottom="0" w:gutter="0" w:footer="0" w:header="0"/>
          <w:type w:val="continuous"/>
        </w:sectPr>
      </w:pPr>
    </w:p>
    <w:bookmarkStart w:id="20" w:name="page21"/>
    <w:bookmarkEnd w:id="20"/>
    <w:p>
      <w:pPr>
        <w:spacing w:after="0" w:line="246" w:lineRule="auto"/>
        <w:rPr>
          <w:sz w:val="20"/>
          <w:szCs w:val="20"/>
          <w:color w:val="auto"/>
        </w:rPr>
      </w:pPr>
      <w:r>
        <w:rPr>
          <w:rFonts w:ascii="Times New Roman" w:cs="Times New Roman" w:eastAsia="Times New Roman" w:hAnsi="Times New Roman"/>
          <w:sz w:val="20"/>
          <w:szCs w:val="20"/>
          <w:color w:val="231F20"/>
        </w:rPr>
        <w:t>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w:t>
      </w:r>
    </w:p>
    <w:p>
      <w:pPr>
        <w:spacing w:after="0" w:line="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Regulation outside of the United States</w:t>
      </w:r>
    </w:p>
    <w:p>
      <w:pPr>
        <w:spacing w:after="0" w:line="11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231F20"/>
        </w:rPr>
        <w:t>In addition to regulations in the United States, we will be required to comply with comparable regulations in each jurisdiction outside of the United States in which we choose to manufacture, develop or seek marketing authorization for our product candidates.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European Union drug development</w:t>
      </w:r>
    </w:p>
    <w:p>
      <w:pPr>
        <w:spacing w:after="0" w:line="11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In the EU, clinical trials are governed by the Clinical Trials Regulation (EU) No 536/2014 (“CTR”), which entered into application on January 31, 2022 repealing and replacing the previous Clinical Trials Directive 2001/20/EC. The CTR foresaw a three-year transition period that ended on January 31, 2025. Since this date, all new or ongoing trials are subject to the provisions of the CTR. The CTR is intended to harmonize and streamline clinical trial authorizations, simplify adverse-event reporting procedures, improve the supervision of clinical trials and increase transparency. Specifically, the Regulation, which is directly applicable in all Member States, introduces a streamlined application procedure through a single-entry point, the “EU portal”, the Clinical Trials Information System;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Member States. This assessment is then submitted to the competent authorities of all concerned Member States in which the trial is to be conducted for their review. Part II is assessed separately by the competent authorities and Ethics Committees in each concerned Member State. Individual Member States retain the power to authorize the conduct of clinical trials on their territory.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European Union drug review and approval</w:t>
      </w:r>
    </w:p>
    <w:p>
      <w:pPr>
        <w:spacing w:after="0" w:line="11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In the EU, medicinal products can only be commercialized after a related marketing authorization (“MA”), has been granted. To obtain an MA for a product in the EU, an applicant must submit a Marketing Authorization Application (“MAA”), either under a centralized procedure administered by the European Medicines Agency (“EMA”), or one of the procedures administered by the competent authorities of EU Member States (decentralized procedure, national procedure or mutual recognition procedure). An MA may be granted only to an applicant established in the EU.</w:t>
      </w:r>
    </w:p>
    <w:p>
      <w:pPr>
        <w:spacing w:after="0" w:line="7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231F20"/>
        </w:rPr>
        <w:t>The centralized procedure provides for the grant of a single MA by the European Commission that is valid throughout the European Economic Area (which is comprised of the 27 EU Member States plus Iceland, Liechtenstein and Norway). Pursuant to</w:t>
      </w:r>
    </w:p>
    <w:p>
      <w:pPr>
        <w:sectPr>
          <w:pgSz w:w="11880" w:h="15480" w:orient="portrait"/>
          <w:cols w:equalWidth="0" w:num="1">
            <w:col w:w="10420"/>
          </w:cols>
          <w:pgMar w:left="720" w:top="750" w:right="740" w:bottom="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420"/>
          </w:cols>
          <w:pgMar w:left="720" w:top="750" w:right="740" w:bottom="0" w:gutter="0" w:footer="0" w:header="0"/>
          <w:type w:val="continuous"/>
        </w:sectPr>
      </w:pPr>
    </w:p>
    <w:bookmarkStart w:id="21" w:name="page22"/>
    <w:bookmarkEnd w:id="21"/>
    <w:p>
      <w:pPr>
        <w:ind w:right="60"/>
        <w:spacing w:after="0" w:line="247" w:lineRule="auto"/>
        <w:rPr>
          <w:sz w:val="20"/>
          <w:szCs w:val="20"/>
          <w:color w:val="auto"/>
        </w:rPr>
      </w:pPr>
      <w:r>
        <w:rPr>
          <w:rFonts w:ascii="Times New Roman" w:cs="Times New Roman" w:eastAsia="Times New Roman" w:hAnsi="Times New Roman"/>
          <w:sz w:val="20"/>
          <w:szCs w:val="20"/>
          <w:color w:val="231F20"/>
        </w:rPr>
        <w:t>Regulation (EC) No 726/2004, the centralized procedure is compulsory for specific products, including for (i) medicinal products derived from biotechnological processes, (ii) 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20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31F20"/>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w:t>
      </w:r>
    </w:p>
    <w:p>
      <w:pPr>
        <w:spacing w:after="0" w:line="1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Accelerated and Alternative Marketing Authorization Mechanisms</w:t>
      </w:r>
    </w:p>
    <w:p>
      <w:pPr>
        <w:spacing w:after="0" w:line="23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a dedicated contact and rapporteur from the EMA’s Committee for Human Medicinal Products, or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440"/>
          </w:cols>
          <w:pgMar w:left="720" w:top="750" w:right="720" w:bottom="0" w:gutter="0" w:footer="0" w:header="0"/>
          <w:type w:val="continuous"/>
        </w:sectPr>
      </w:pPr>
    </w:p>
    <w:bookmarkStart w:id="22" w:name="page23"/>
    <w:bookmarkEnd w:id="22"/>
    <w:p>
      <w:pPr>
        <w:spacing w:after="0" w:line="244" w:lineRule="auto"/>
        <w:rPr>
          <w:sz w:val="20"/>
          <w:szCs w:val="20"/>
          <w:color w:val="auto"/>
        </w:rPr>
      </w:pPr>
      <w:r>
        <w:rPr>
          <w:rFonts w:ascii="Times New Roman" w:cs="Times New Roman" w:eastAsia="Times New Roman" w:hAnsi="Times New Roman"/>
          <w:sz w:val="20"/>
          <w:szCs w:val="20"/>
          <w:color w:val="231F20"/>
        </w:rPr>
        <w:t>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20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Pediatric Development</w:t>
      </w:r>
    </w:p>
    <w:p>
      <w:pPr>
        <w:spacing w:after="0" w:line="118"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20"/>
          <w:szCs w:val="20"/>
          <w:color w:val="231F20"/>
        </w:rPr>
        <w:t>In the EU, Regulation (EC) No 1901/2006 provides that all MAAs for new medicinal products have to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Data and Market Exclusivity</w:t>
      </w:r>
    </w:p>
    <w:p>
      <w:pPr>
        <w:spacing w:after="0" w:line="118"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20"/>
          <w:szCs w:val="20"/>
          <w:color w:val="231F20"/>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Orphan Designation</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w:t>
      </w:r>
    </w:p>
    <w:p>
      <w:pPr>
        <w:sectPr>
          <w:pgSz w:w="11880" w:h="15480" w:orient="portrait"/>
          <w:cols w:equalWidth="0" w:num="1">
            <w:col w:w="10400"/>
          </w:cols>
          <w:pgMar w:left="720" w:top="750" w:right="760" w:bottom="0" w:gutter="0" w:footer="0" w:header="0"/>
        </w:sect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400"/>
          </w:cols>
          <w:pgMar w:left="720" w:top="750" w:right="760" w:bottom="0" w:gutter="0" w:footer="0" w:header="0"/>
          <w:type w:val="continuous"/>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20"/>
          <w:szCs w:val="20"/>
          <w:color w:val="231F20"/>
        </w:rPr>
        <w:t>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w:t>
      </w:r>
    </w:p>
    <w:p>
      <w:pPr>
        <w:spacing w:after="0" w:line="7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231F20"/>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 -year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8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w:t>
      </w:r>
    </w:p>
    <w:p>
      <w:pPr>
        <w:spacing w:after="0" w:line="4" w:lineRule="exact"/>
        <w:rPr>
          <w:sz w:val="20"/>
          <w:szCs w:val="20"/>
          <w:color w:val="auto"/>
        </w:rPr>
      </w:pPr>
    </w:p>
    <w:p>
      <w:pPr>
        <w:ind w:right="320" w:firstLine="7"/>
        <w:spacing w:after="0" w:line="242" w:lineRule="auto"/>
        <w:tabs>
          <w:tab w:leader="none" w:pos="239"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Post-Authorization Requirements</w:t>
      </w:r>
    </w:p>
    <w:p>
      <w:pPr>
        <w:spacing w:after="0" w:line="11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8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All new MAAs must include a risk management plan,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EU Compliance Requirements</w:t>
      </w:r>
    </w:p>
    <w:p>
      <w:pPr>
        <w:spacing w:after="0" w:line="11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which may require approval by the competent national authorities in connection with an MA. The SmPC is the document that provides information to physicians and other healthcare professionals concerning the safe and effective use of the product. Promotional activity that does not comply with the SmPC is considered off-label and is prohibited in the EU.</w:t>
      </w:r>
    </w:p>
    <w:p>
      <w:pPr>
        <w:spacing w:after="0" w:line="82"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9"/>
          <w:szCs w:val="19"/>
          <w:color w:val="231F20"/>
        </w:rPr>
        <w:t>Much like the Anti-Kickback Statute prohibition in the United States, described above, the provision of benefits or advantages to physicians and other health care professionals to induce or encourage the prescription, recommendation, endorsement, purchase, supply, order or use of medicinal products is also prohibited in the EU. Interactions between pharmaceutical companies and</w:t>
      </w:r>
    </w:p>
    <w:p>
      <w:pPr>
        <w:sectPr>
          <w:pgSz w:w="11880" w:h="15480" w:orient="portrait"/>
          <w:cols w:equalWidth="0" w:num="1">
            <w:col w:w="10420"/>
          </w:cols>
          <w:pgMar w:left="720" w:top="750" w:right="740"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420"/>
          </w:cols>
          <w:pgMar w:left="720" w:top="750" w:right="740" w:bottom="0" w:gutter="0" w:footer="0" w:header="0"/>
          <w:type w:val="continuous"/>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20"/>
          <w:szCs w:val="20"/>
          <w:color w:val="231F20"/>
        </w:rPr>
        <w:t>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6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231F20"/>
        </w:rPr>
        <w:t>Payments made to physicians and other health care professionals in certain EU Member States must be publicly disclosed. Moreover, agreements with health care professionals may require prior notification or approval by the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Pricing, Coverage and Reimbursement</w:t>
      </w:r>
    </w:p>
    <w:p>
      <w:pPr>
        <w:spacing w:after="0" w:line="11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In the EU, pricing and reimbursement schemes vary widely from country to country. For example, some EU Member States may restrict the range of products for which their national health insurance systems provide reimbursement. Other countries may control the prices of medicinal products for human use or allow companies to fix their own prices for products but monitor and control prescription volumes and issue guidance to physicians to limit prescriptions. Such pricing negotiations with governmental authorities can take considerable time after receipt of marketing approval for a product. Political, economic and regulatory developments may further complicate pricing negotiations.</w:t>
      </w:r>
    </w:p>
    <w:p>
      <w:pPr>
        <w:spacing w:after="0" w:line="8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In addition, EU Member States often require the completion of additional health technology assessments that compare the cost-effectiveness of a particular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At the EU level, on January 12, 2025, Regulation No 2021/2282 on Health Technology Assessment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 The Regulation establishes a framework for EU</w:t>
      </w:r>
      <w:r>
        <w:rPr>
          <w:rFonts w:ascii="Arial" w:cs="Arial" w:eastAsia="Arial" w:hAnsi="Arial"/>
          <w:sz w:val="20"/>
          <w:szCs w:val="20"/>
          <w:color w:val="231F20"/>
        </w:rPr>
        <w:t>̻</w:t>
      </w:r>
      <w:r>
        <w:rPr>
          <w:rFonts w:ascii="Times New Roman" w:cs="Times New Roman" w:eastAsia="Times New Roman" w:hAnsi="Times New Roman"/>
          <w:sz w:val="20"/>
          <w:szCs w:val="20"/>
          <w:color w:val="231F20"/>
        </w:rPr>
        <w:t>level joint clinical assessments, joint scientific consultations, and the early identification of emerging health technologies. The Regulation permits EU Member States to use common tools, methodologies, and procedures and requires them to rely on EU</w:t>
      </w:r>
      <w:r>
        <w:rPr>
          <w:rFonts w:ascii="Arial" w:cs="Arial" w:eastAsia="Arial" w:hAnsi="Arial"/>
          <w:sz w:val="20"/>
          <w:szCs w:val="20"/>
          <w:color w:val="231F20"/>
        </w:rPr>
        <w:t>̻</w:t>
      </w:r>
      <w:r>
        <w:rPr>
          <w:rFonts w:ascii="Times New Roman" w:cs="Times New Roman" w:eastAsia="Times New Roman" w:hAnsi="Times New Roman"/>
          <w:sz w:val="20"/>
          <w:szCs w:val="20"/>
          <w:color w:val="231F20"/>
        </w:rPr>
        <w:t>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Data protection regulation</w:t>
      </w:r>
    </w:p>
    <w:p>
      <w:pPr>
        <w:spacing w:after="0" w:line="11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231F20"/>
        </w:rPr>
        <w:t>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w:t>
      </w:r>
    </w:p>
    <w:p>
      <w:pPr>
        <w:spacing w:after="0" w:line="1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As of December 31, 2025, we had 60 full-time employees, 48 of whom were primarily engaged in research and development activities, and 26 of our employees had an M.D. or Ph.D. degree. None of our employees are represented by a labor union and we consider our employee relations to be good.</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common stock is listed on The Nasdaq Global Market under the symbol “TECX”.</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420"/>
          </w:cols>
          <w:pgMar w:left="720" w:top="750" w:right="740" w:bottom="0" w:gutter="0" w:footer="0" w:header="0"/>
          <w:type w:val="continuous"/>
        </w:sectPr>
      </w:pPr>
    </w:p>
    <w:bookmarkStart w:id="25" w:name="page26"/>
    <w:bookmarkEnd w:id="25"/>
    <w:p>
      <w:pPr>
        <w:ind w:right="160"/>
        <w:spacing w:after="0" w:line="252" w:lineRule="auto"/>
        <w:rPr>
          <w:sz w:val="20"/>
          <w:szCs w:val="20"/>
          <w:color w:val="auto"/>
        </w:rPr>
      </w:pPr>
      <w:r>
        <w:rPr>
          <w:rFonts w:ascii="Times New Roman" w:cs="Times New Roman" w:eastAsia="Times New Roman" w:hAnsi="Times New Roman"/>
          <w:sz w:val="20"/>
          <w:szCs w:val="20"/>
          <w:color w:val="231F20"/>
        </w:rPr>
        <w:t>We were incorporated under the laws of the State of Delaware in November 2015. Legacy Tectonic was incorporated under the laws of the State of Delaware in June 2019. Following the Merger (as defined below) with Tectonic Operating Company, Inc. (formerly Tectonic Therapeutic, Inc.) on June 20, 2024, we changed our name from AVROBIO, Inc. to Tectonic Therapeutic, Inc.</w:t>
      </w:r>
    </w:p>
    <w:p>
      <w:pPr>
        <w:spacing w:after="0" w:line="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231F20"/>
        </w:rPr>
        <w:t>Our principal executive office is located at 490 Arsenal Way, Suite 200, Watertown, Massachusetts 02472, and our telephone number is (339) 666-3320.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Our website is www.tectonictx.com. We may use our website to comply with disclosure obligations under Regulation FD. Therefore, investors should monitor our website in addition to following its press releases, filings with the SEC, public conference calls, and webcasts. The contents of our website are not intended to be incorporated by reference into this Annual Report on Form 10-K or in any other report or document we file with the SEC, and any references to our websites are intended to be inactive textual references only.</w:t>
      </w:r>
    </w:p>
    <w:p>
      <w:pPr>
        <w:sectPr>
          <w:pgSz w:w="11880" w:h="15480" w:orient="portrait"/>
          <w:cols w:equalWidth="0" w:num="1">
            <w:col w:w="10360"/>
          </w:cols>
          <w:pgMar w:left="720" w:top="75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360"/>
          </w:cols>
          <w:pgMar w:left="720" w:top="750" w:right="8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24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i w:val="1"/>
          <w:iCs w:val="1"/>
          <w:color w:val="231F20"/>
        </w:rPr>
        <w:t>Investing in the Company's common stock involves a high degree of risk. Careful consideration should be given to the following risk factors, in addition to the other information set forth in this Annual Report on Form 10-K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Factor Summary</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w:t>
      </w:r>
    </w:p>
    <w:p>
      <w:pPr>
        <w:spacing w:after="0" w:line="83" w:lineRule="exact"/>
        <w:rPr>
          <w:sz w:val="20"/>
          <w:szCs w:val="20"/>
          <w:color w:val="auto"/>
        </w:rPr>
      </w:pPr>
    </w:p>
    <w:p>
      <w:pPr>
        <w:ind w:left="980" w:right="72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a limited operating history, have incurred net losses in every year since our inception, and expect to continue to incur net losses in the future.</w:t>
      </w:r>
    </w:p>
    <w:p>
      <w:pPr>
        <w:spacing w:after="0" w:line="64" w:lineRule="exact"/>
        <w:rPr>
          <w:rFonts w:ascii="Arial" w:cs="Arial" w:eastAsia="Arial" w:hAnsi="Arial"/>
          <w:sz w:val="20"/>
          <w:szCs w:val="20"/>
          <w:color w:val="231F20"/>
        </w:rPr>
      </w:pPr>
    </w:p>
    <w:p>
      <w:pPr>
        <w:ind w:left="980" w:right="100" w:hanging="483"/>
        <w:spacing w:after="0" w:line="258"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81" w:lineRule="exact"/>
        <w:rPr>
          <w:rFonts w:ascii="Arial" w:cs="Arial" w:eastAsia="Arial" w:hAnsi="Arial"/>
          <w:sz w:val="20"/>
          <w:szCs w:val="20"/>
          <w:color w:val="231F20"/>
        </w:rPr>
      </w:pPr>
    </w:p>
    <w:p>
      <w:pPr>
        <w:ind w:left="980" w:right="2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limited experience in therapeutic discovery and development and our GEODe</w:t>
      </w:r>
      <w:r>
        <w:rPr>
          <w:rFonts w:ascii="Times New Roman" w:cs="Times New Roman" w:eastAsia="Times New Roman" w:hAnsi="Times New Roman"/>
          <w:sz w:val="10"/>
          <w:szCs w:val="10"/>
          <w:color w:val="231F20"/>
        </w:rPr>
        <w:t>™</w:t>
      </w:r>
      <w:r>
        <w:rPr>
          <w:rFonts w:ascii="Times New Roman" w:cs="Times New Roman" w:eastAsia="Times New Roman" w:hAnsi="Times New Roman"/>
          <w:sz w:val="20"/>
          <w:szCs w:val="20"/>
          <w:color w:val="231F20"/>
        </w:rPr>
        <w:t xml:space="preserve"> platform may never result in the regulatory approval of a product candidate.</w:t>
      </w:r>
    </w:p>
    <w:p>
      <w:pPr>
        <w:spacing w:after="0" w:line="64" w:lineRule="exact"/>
        <w:rPr>
          <w:rFonts w:ascii="Arial" w:cs="Arial" w:eastAsia="Arial" w:hAnsi="Arial"/>
          <w:sz w:val="20"/>
          <w:szCs w:val="20"/>
          <w:color w:val="231F20"/>
        </w:rPr>
      </w:pPr>
    </w:p>
    <w:p>
      <w:pPr>
        <w:ind w:left="980" w:right="40" w:hanging="483"/>
        <w:spacing w:after="0" w:line="252"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p>
    <w:p>
      <w:pPr>
        <w:spacing w:after="0" w:line="87" w:lineRule="exact"/>
        <w:rPr>
          <w:rFonts w:ascii="Arial" w:cs="Arial" w:eastAsia="Arial" w:hAnsi="Arial"/>
          <w:sz w:val="20"/>
          <w:szCs w:val="20"/>
          <w:color w:val="231F20"/>
        </w:rPr>
      </w:pPr>
    </w:p>
    <w:p>
      <w:pPr>
        <w:ind w:left="980" w:right="260" w:hanging="483"/>
        <w:spacing w:after="0" w:line="258"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81" w:lineRule="exact"/>
        <w:rPr>
          <w:rFonts w:ascii="Arial" w:cs="Arial" w:eastAsia="Arial" w:hAnsi="Arial"/>
          <w:sz w:val="20"/>
          <w:szCs w:val="20"/>
          <w:color w:val="231F20"/>
        </w:rPr>
      </w:pPr>
    </w:p>
    <w:p>
      <w:pPr>
        <w:ind w:left="980" w:right="24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are unable to successfully commercialize any product candidate for which we receive regulatory approval, or experience significant delays in doing so, our business will be materially harmed.</w:t>
      </w:r>
    </w:p>
    <w:p>
      <w:pPr>
        <w:spacing w:after="0" w:line="64" w:lineRule="exact"/>
        <w:rPr>
          <w:rFonts w:ascii="Arial" w:cs="Arial" w:eastAsia="Arial" w:hAnsi="Arial"/>
          <w:sz w:val="20"/>
          <w:szCs w:val="20"/>
          <w:color w:val="231F20"/>
        </w:rPr>
      </w:pPr>
    </w:p>
    <w:p>
      <w:pPr>
        <w:ind w:left="980" w:right="18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success depends in part on our ability to protect our intellectual property. It is difficult and costly to protect our proprietary rights and technology, and we may not be able to ensure their protection.</w:t>
      </w:r>
    </w:p>
    <w:p>
      <w:pPr>
        <w:spacing w:after="0" w:line="64" w:lineRule="exact"/>
        <w:rPr>
          <w:rFonts w:ascii="Arial" w:cs="Arial" w:eastAsia="Arial" w:hAnsi="Arial"/>
          <w:sz w:val="20"/>
          <w:szCs w:val="20"/>
          <w:color w:val="231F20"/>
        </w:rPr>
      </w:pPr>
    </w:p>
    <w:p>
      <w:pPr>
        <w:ind w:left="980" w:right="4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We depend on intellectual property licensed from third parties and termination of any of these licenses could result in the loss of significant rights, which would harm our business.</w:t>
      </w:r>
    </w:p>
    <w:p>
      <w:pPr>
        <w:spacing w:after="0" w:line="64" w:lineRule="exact"/>
        <w:rPr>
          <w:rFonts w:ascii="Arial" w:cs="Arial" w:eastAsia="Arial" w:hAnsi="Arial"/>
          <w:sz w:val="20"/>
          <w:szCs w:val="20"/>
          <w:color w:val="231F20"/>
        </w:rPr>
      </w:pPr>
    </w:p>
    <w:p>
      <w:pPr>
        <w:jc w:val="both"/>
        <w:ind w:left="980" w:right="100" w:hanging="483"/>
        <w:spacing w:after="0" w:line="258"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w:t>
      </w:r>
    </w:p>
    <w:p>
      <w:pPr>
        <w:spacing w:after="0" w:line="81" w:lineRule="exact"/>
        <w:rPr>
          <w:rFonts w:ascii="Arial" w:cs="Arial" w:eastAsia="Arial" w:hAnsi="Arial"/>
          <w:sz w:val="20"/>
          <w:szCs w:val="20"/>
          <w:color w:val="231F20"/>
        </w:rPr>
      </w:pPr>
    </w:p>
    <w:p>
      <w:pPr>
        <w:ind w:left="980" w:right="8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Our business could be adversely affected if we are unable to use third-party manufacturing suites or if the third-party manufacturers encounter difficulties in production.</w:t>
      </w:r>
    </w:p>
    <w:p>
      <w:pPr>
        <w:spacing w:after="0" w:line="64" w:lineRule="exact"/>
        <w:rPr>
          <w:rFonts w:ascii="Arial" w:cs="Arial" w:eastAsia="Arial" w:hAnsi="Arial"/>
          <w:sz w:val="20"/>
          <w:szCs w:val="20"/>
          <w:color w:val="231F20"/>
        </w:rPr>
      </w:pPr>
    </w:p>
    <w:p>
      <w:pPr>
        <w:ind w:left="980" w:right="18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We face significant competition from other biotechnology and pharmaceutical companies, and our operating results will suffer if we fail to compete effectively.</w:t>
      </w:r>
    </w:p>
    <w:p>
      <w:pPr>
        <w:spacing w:after="0" w:line="64" w:lineRule="exact"/>
        <w:rPr>
          <w:rFonts w:ascii="Arial" w:cs="Arial" w:eastAsia="Arial" w:hAnsi="Arial"/>
          <w:sz w:val="20"/>
          <w:szCs w:val="20"/>
          <w:color w:val="231F20"/>
        </w:rPr>
      </w:pPr>
    </w:p>
    <w:p>
      <w:pPr>
        <w:ind w:left="980" w:right="40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market price of our common stock is expected to be volatile, and the market price of the common stock may drop.</w:t>
      </w:r>
    </w:p>
    <w:p>
      <w:pPr>
        <w:spacing w:after="0" w:line="64" w:lineRule="exact"/>
        <w:rPr>
          <w:rFonts w:ascii="Arial" w:cs="Arial" w:eastAsia="Arial" w:hAnsi="Arial"/>
          <w:sz w:val="20"/>
          <w:szCs w:val="20"/>
          <w:color w:val="231F20"/>
        </w:rPr>
      </w:pPr>
    </w:p>
    <w:p>
      <w:pPr>
        <w:ind w:left="980" w:right="340" w:hanging="483"/>
        <w:spacing w:after="0" w:line="276"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fail to attract and retain management and other key personnel, we may be unable to continue to successfully develop or commercialize our product candidates or otherwise implement our business plan.</w:t>
      </w:r>
    </w:p>
    <w:p>
      <w:pPr>
        <w:sectPr>
          <w:pgSz w:w="11880" w:h="15480" w:orient="portrait"/>
          <w:cols w:equalWidth="0" w:num="1">
            <w:col w:w="10420"/>
          </w:cols>
          <w:pgMar w:left="720" w:top="74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420"/>
          </w:cols>
          <w:pgMar w:left="720" w:top="746" w:right="7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Position and Cash Needs</w:t>
      </w:r>
    </w:p>
    <w:p>
      <w:pPr>
        <w:spacing w:after="0" w:line="24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a limited operating history and have incurred net losses in every year since our inception. We expect to continue to incur net losses in the future.</w:t>
      </w:r>
    </w:p>
    <w:p>
      <w:pPr>
        <w:spacing w:after="0" w:line="4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231F20"/>
        </w:rPr>
        <w:t>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years ended December 31, 2025 and 2024, we reported a net loss of $74.2 million and $58.0 million, respectively. As of December 31, 2025, we had an accumulated deficit of $222.7 million. We expect to continue to incur significant losses for the foreseeable future, and expect these losses to increase as we continue our research and development of, and seek regulatory approvals for, our lead product candidates, TX45 and TX2100, along with any future product candidates we may develop.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anticipate that our expenses will increase substantially if, and as, we:</w:t>
      </w:r>
    </w:p>
    <w:p>
      <w:pPr>
        <w:spacing w:after="0" w:line="134" w:lineRule="exact"/>
        <w:rPr>
          <w:sz w:val="20"/>
          <w:szCs w:val="20"/>
          <w:color w:val="auto"/>
        </w:rPr>
      </w:pPr>
    </w:p>
    <w:p>
      <w:pPr>
        <w:ind w:left="980" w:right="160" w:hanging="483"/>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continue the research and development of our clinical- and preclinical-stage product candidates and discovery-stage programs, including the continued development of our lead product candidates TX45 and TX2100;</w:t>
      </w:r>
    </w:p>
    <w:p>
      <w:pPr>
        <w:spacing w:after="0" w:line="64" w:lineRule="exact"/>
        <w:rPr>
          <w:rFonts w:ascii="Arial" w:cs="Arial" w:eastAsia="Arial" w:hAnsi="Arial"/>
          <w:sz w:val="20"/>
          <w:szCs w:val="20"/>
          <w:color w:val="231F20"/>
        </w:rPr>
      </w:pPr>
    </w:p>
    <w:p>
      <w:pPr>
        <w:ind w:left="980" w:right="440" w:hanging="483"/>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 the amount of research and development activities to identify and develop product candidates using our proprietary discovery approach;</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make milestone, royalty or other payments under in-license or collaboration agreements;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expand and protect our intellectual property portfolio;</w:t>
      </w:r>
    </w:p>
    <w:p>
      <w:pPr>
        <w:spacing w:after="0" w:line="133" w:lineRule="exact"/>
        <w:rPr>
          <w:rFonts w:ascii="Arial" w:cs="Arial" w:eastAsia="Arial" w:hAnsi="Arial"/>
          <w:sz w:val="20"/>
          <w:szCs w:val="20"/>
          <w:color w:val="231F20"/>
        </w:rPr>
      </w:pPr>
    </w:p>
    <w:p>
      <w:pPr>
        <w:ind w:left="980" w:right="280" w:hanging="483"/>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our operational, financial and management systems and increase personnel, including personnel to support our clinical development, manufacturing and commercialization efforts and our operations as a public company;</w:t>
      </w:r>
    </w:p>
    <w:p>
      <w:pPr>
        <w:spacing w:after="0" w:line="64" w:lineRule="exact"/>
        <w:rPr>
          <w:rFonts w:ascii="Arial" w:cs="Arial" w:eastAsia="Arial" w:hAnsi="Arial"/>
          <w:sz w:val="20"/>
          <w:szCs w:val="20"/>
          <w:color w:val="231F20"/>
        </w:rPr>
      </w:pPr>
    </w:p>
    <w:p>
      <w:pPr>
        <w:ind w:left="980" w:right="40" w:hanging="483"/>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sales, marketing, medical affairs and distribution infrastructure to commercialize any products for which we may obtain marketing approval and intend to commercialize on our own or jointly with third parties;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 in or in-license other technologies; and</w:t>
      </w:r>
    </w:p>
    <w:p>
      <w:pPr>
        <w:spacing w:after="0" w:line="133" w:lineRule="exact"/>
        <w:rPr>
          <w:rFonts w:ascii="Arial" w:cs="Arial" w:eastAsia="Arial" w:hAnsi="Arial"/>
          <w:sz w:val="20"/>
          <w:szCs w:val="20"/>
          <w:color w:val="231F20"/>
        </w:rPr>
      </w:pPr>
    </w:p>
    <w:p>
      <w:pPr>
        <w:ind w:left="980" w:right="520" w:hanging="483"/>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experience any delays or encounter any issues with any of the above, including but not limited to failed studies, complex results, manufacturing challenges, safety issues or other regulatory challenges.</w:t>
      </w:r>
    </w:p>
    <w:p>
      <w:pPr>
        <w:spacing w:after="0" w:line="5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8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To date, we have financed our operations primarily through the sale and issuance of common stock, convertible preferred stock, convertible promissory notes and the issuance of SAFEs. We expect our expenses to increase in connection with our ongoing</w:t>
      </w:r>
    </w:p>
    <w:p>
      <w:pPr>
        <w:sectPr>
          <w:pgSz w:w="11880" w:h="15480" w:orient="portrait"/>
          <w:cols w:equalWidth="0" w:num="1">
            <w:col w:w="10420"/>
          </w:cols>
          <w:pgMar w:left="720" w:top="746" w:right="740" w:bottom="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420"/>
          </w:cols>
          <w:pgMar w:left="720" w:top="746" w:right="740" w:bottom="0" w:gutter="0" w:footer="0" w:header="0"/>
          <w:type w:val="continuous"/>
        </w:sectPr>
      </w:pPr>
    </w:p>
    <w:bookmarkStart w:id="28" w:name="page29"/>
    <w:bookmarkEnd w:id="28"/>
    <w:p>
      <w:pPr>
        <w:spacing w:after="0" w:line="245" w:lineRule="auto"/>
        <w:rPr>
          <w:sz w:val="20"/>
          <w:szCs w:val="20"/>
          <w:color w:val="auto"/>
        </w:rPr>
      </w:pPr>
      <w:r>
        <w:rPr>
          <w:rFonts w:ascii="Times New Roman" w:cs="Times New Roman" w:eastAsia="Times New Roman" w:hAnsi="Times New Roman"/>
          <w:sz w:val="20"/>
          <w:szCs w:val="20"/>
          <w:color w:val="231F20"/>
        </w:rPr>
        <w:t>activities, particularly as we continue our Phase 2 clinical trials of TX45, including the Phase 2 PH-ILD clinical trial, pursue manufacturing and clinical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8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As of December 31, 2025, we had $253.8 million in cash and cash equivalents. Although we believe that our available cash and cash equivalents will be sufficient to fund our planned operations for at least 12 months following the date of our consolidated financial statements included in this Annual Report on Form 10-K, this belief is based on assumptions that may prove to be wrong, and we could use our available capital resources sooner than we currently expect.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Future capital requirements for TX45, TX2100 or our preclinical programs will depend on many factors, including:</w:t>
      </w:r>
    </w:p>
    <w:p>
      <w:pPr>
        <w:spacing w:after="0" w:line="134" w:lineRule="exact"/>
        <w:rPr>
          <w:sz w:val="20"/>
          <w:szCs w:val="20"/>
          <w:color w:val="auto"/>
        </w:rPr>
      </w:pPr>
    </w:p>
    <w:p>
      <w:pPr>
        <w:jc w:val="both"/>
        <w:ind w:left="980" w:right="440" w:hanging="483"/>
        <w:spacing w:after="0" w:line="258"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81" w:lineRule="exact"/>
        <w:rPr>
          <w:rFonts w:ascii="Arial" w:cs="Arial" w:eastAsia="Arial" w:hAnsi="Arial"/>
          <w:sz w:val="20"/>
          <w:szCs w:val="20"/>
          <w:color w:val="231F20"/>
        </w:rPr>
      </w:pPr>
    </w:p>
    <w:p>
      <w:pPr>
        <w:ind w:left="980" w:right="4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amount of milestone and royalty payments we are required to make or are eligible to receive under our license agreements with Harvard and other license agreements, as applicable;</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potential new product candidates we identify and decide to develop;</w:t>
      </w:r>
    </w:p>
    <w:p>
      <w:pPr>
        <w:spacing w:after="0" w:line="133" w:lineRule="exact"/>
        <w:rPr>
          <w:rFonts w:ascii="Arial" w:cs="Arial" w:eastAsia="Arial" w:hAnsi="Arial"/>
          <w:sz w:val="20"/>
          <w:szCs w:val="20"/>
          <w:color w:val="231F20"/>
        </w:rPr>
      </w:pPr>
    </w:p>
    <w:p>
      <w:pPr>
        <w:ind w:left="980" w:right="26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need for additional or expanded preclinical studies and clinical trials beyond those that we plan to conduct with respect to our current and future product candidates;</w:t>
      </w:r>
    </w:p>
    <w:p>
      <w:pPr>
        <w:spacing w:after="0" w:line="64" w:lineRule="exact"/>
        <w:rPr>
          <w:rFonts w:ascii="Arial" w:cs="Arial" w:eastAsia="Arial" w:hAnsi="Arial"/>
          <w:sz w:val="20"/>
          <w:szCs w:val="20"/>
          <w:color w:val="231F20"/>
        </w:rPr>
      </w:pPr>
    </w:p>
    <w:p>
      <w:pPr>
        <w:ind w:left="980" w:right="4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involved in growing the organization to the size needed to allow for the research, development and potential commercialization of our current or any future product candidates;</w:t>
      </w:r>
    </w:p>
    <w:p>
      <w:pPr>
        <w:spacing w:after="0" w:line="64" w:lineRule="exact"/>
        <w:rPr>
          <w:rFonts w:ascii="Arial" w:cs="Arial" w:eastAsia="Arial" w:hAnsi="Arial"/>
          <w:sz w:val="20"/>
          <w:szCs w:val="20"/>
          <w:color w:val="231F20"/>
        </w:rPr>
      </w:pPr>
    </w:p>
    <w:p>
      <w:pPr>
        <w:ind w:left="980" w:right="16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involved in filing patent applications, maintaining and enforcing patents or defending against infringement or other claims raised by third parties;</w:t>
      </w:r>
    </w:p>
    <w:p>
      <w:pPr>
        <w:spacing w:after="0" w:line="64" w:lineRule="exact"/>
        <w:rPr>
          <w:rFonts w:ascii="Arial" w:cs="Arial" w:eastAsia="Arial" w:hAnsi="Arial"/>
          <w:sz w:val="20"/>
          <w:szCs w:val="20"/>
          <w:color w:val="231F20"/>
        </w:rPr>
      </w:pPr>
    </w:p>
    <w:p>
      <w:pPr>
        <w:ind w:left="980" w:right="4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maintenance of our existing license and collaboration agreements and the entry into new license and collaboration agreements;</w:t>
      </w:r>
    </w:p>
    <w:p>
      <w:pPr>
        <w:spacing w:after="0" w:line="64" w:lineRule="exact"/>
        <w:rPr>
          <w:rFonts w:ascii="Arial" w:cs="Arial" w:eastAsia="Arial" w:hAnsi="Arial"/>
          <w:sz w:val="20"/>
          <w:szCs w:val="20"/>
          <w:color w:val="231F20"/>
        </w:rPr>
      </w:pPr>
    </w:p>
    <w:p>
      <w:pPr>
        <w:ind w:left="980" w:right="560" w:hanging="483"/>
        <w:spacing w:after="0" w:line="258"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time and costs involved in obtaining regulatory approval for our product candidates and any delays we may encounter as a result of evolving regulatory requirements or adverse results with respect to any of our product candidates;</w:t>
      </w:r>
    </w:p>
    <w:p>
      <w:pPr>
        <w:spacing w:after="0" w:line="81" w:lineRule="exact"/>
        <w:rPr>
          <w:rFonts w:ascii="Arial" w:cs="Arial" w:eastAsia="Arial" w:hAnsi="Arial"/>
          <w:sz w:val="20"/>
          <w:szCs w:val="20"/>
          <w:color w:val="231F20"/>
        </w:rPr>
      </w:pPr>
    </w:p>
    <w:p>
      <w:pPr>
        <w:ind w:left="980" w:hanging="483"/>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and timing of completion of commercial-scale outsourced manufacturing activities;</w:t>
      </w:r>
    </w:p>
    <w:p>
      <w:pPr>
        <w:spacing w:after="0" w:line="133" w:lineRule="exact"/>
        <w:rPr>
          <w:rFonts w:ascii="Arial" w:cs="Arial" w:eastAsia="Arial" w:hAnsi="Arial"/>
          <w:sz w:val="20"/>
          <w:szCs w:val="20"/>
          <w:color w:val="231F20"/>
        </w:rPr>
      </w:pPr>
    </w:p>
    <w:p>
      <w:pPr>
        <w:ind w:left="980" w:right="32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establishing sales, marketing and distribution capabilities for any product candidates for which we may receive regulatory approval in regions where we choose to commercialize our products on our own;</w:t>
      </w:r>
    </w:p>
    <w:p>
      <w:pPr>
        <w:spacing w:after="0" w:line="64" w:lineRule="exact"/>
        <w:rPr>
          <w:rFonts w:ascii="Arial" w:cs="Arial" w:eastAsia="Arial" w:hAnsi="Arial"/>
          <w:sz w:val="20"/>
          <w:szCs w:val="20"/>
          <w:color w:val="231F20"/>
        </w:rPr>
      </w:pPr>
    </w:p>
    <w:p>
      <w:pPr>
        <w:ind w:left="980" w:right="140" w:hanging="483"/>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revenues, if any, we may derive either directly or in the form of royalty payments from future sales of our product candidates, if approved; and</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acceptance of any approved product candidates.</w:t>
      </w:r>
    </w:p>
    <w:p>
      <w:pPr>
        <w:spacing w:after="0" w:line="11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w:t>
      </w:r>
    </w:p>
    <w:p>
      <w:pPr>
        <w:spacing w:after="0" w:line="7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w:t>
      </w:r>
      <w:r>
        <w:rPr>
          <w:rFonts w:ascii="Times New Roman" w:cs="Times New Roman" w:eastAsia="Times New Roman" w:hAnsi="Times New Roman"/>
          <w:sz w:val="19"/>
          <w:szCs w:val="19"/>
          <w:color w:val="231F20"/>
        </w:rPr>
        <w:t>current international trade and regulatory environment uncertainty</w:t>
      </w:r>
      <w:r>
        <w:rPr>
          <w:rFonts w:ascii="Times New Roman" w:cs="Times New Roman" w:eastAsia="Times New Roman" w:hAnsi="Times New Roman"/>
          <w:sz w:val="20"/>
          <w:szCs w:val="20"/>
          <w:color w:val="231F20"/>
        </w:rPr>
        <w:t xml:space="preserve">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440"/>
          </w:cols>
          <w:pgMar w:left="720" w:top="750" w:right="720" w:bottom="0" w:gutter="0" w:footer="0" w:header="0"/>
          <w:type w:val="continuous"/>
        </w:sectPr>
      </w:pPr>
    </w:p>
    <w:bookmarkStart w:id="29" w:name="page30"/>
    <w:bookmarkEnd w:id="29"/>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Raising additional capital will cause dilution to our stockholders, and may restrict our operations, or require us to relinquish rights to our product candidates.</w:t>
      </w:r>
    </w:p>
    <w:p>
      <w:pPr>
        <w:spacing w:after="0" w:line="4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8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We currently have an effective shelf registration statement on Form S-3 filed with the SEC, which we may use to offer from time to time any combination of debt securities, common stock, preferred stock and warrants up to an aggregate amount of $400 million. Of this amount, we have the ability to sell up to $100 million of additional shares of our common stock to the public through an “at the market offering” pursuant to a sales agreement that we entered into with TD Securities (USA) LLC on July 7, 2025. Any shares of common stock issued in the “at the market offering” will result in dilution to our existing stockholders.</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Discovery, Development and Regulatory Approval of Our Product Candidates</w:t>
      </w:r>
    </w:p>
    <w:p>
      <w:pPr>
        <w:spacing w:after="0" w:line="24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limited experience in therapeutic discovery and development and our GEODe</w:t>
      </w:r>
      <w:r>
        <w:rPr>
          <w:rFonts w:ascii="Times New Roman" w:cs="Times New Roman" w:eastAsia="Times New Roman" w:hAnsi="Times New Roman"/>
          <w:sz w:val="10"/>
          <w:szCs w:val="10"/>
          <w:b w:val="1"/>
          <w:bCs w:val="1"/>
          <w:i w:val="1"/>
          <w:iCs w:val="1"/>
          <w:color w:val="231F20"/>
        </w:rPr>
        <w:t>™</w:t>
      </w:r>
      <w:r>
        <w:rPr>
          <w:rFonts w:ascii="Times New Roman" w:cs="Times New Roman" w:eastAsia="Times New Roman" w:hAnsi="Times New Roman"/>
          <w:sz w:val="20"/>
          <w:szCs w:val="20"/>
          <w:b w:val="1"/>
          <w:bCs w:val="1"/>
          <w:i w:val="1"/>
          <w:iCs w:val="1"/>
          <w:color w:val="231F20"/>
        </w:rPr>
        <w:t xml:space="preserve"> platform may never result in the regulatory approval of a product candidate.</w:t>
      </w:r>
    </w:p>
    <w:p>
      <w:pPr>
        <w:spacing w:after="0" w:line="4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10"/>
          <w:szCs w:val="10"/>
          <w:color w:val="231F20"/>
        </w:rPr>
        <w:t>™</w:t>
      </w:r>
      <w:r>
        <w:rPr>
          <w:rFonts w:ascii="Times New Roman" w:cs="Times New Roman" w:eastAsia="Times New Roman" w:hAnsi="Times New Roman"/>
          <w:sz w:val="20"/>
          <w:szCs w:val="20"/>
          <w:color w:val="231F20"/>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200"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early in our development efforts. If we are unable to advance TX45, TX2100 or any of our other product candidates through clinical development, obtain regulatory approval and ultimately commercialize TX45, TX2100 or any of our other product candidates, or experience significant delays in doing so, our business will be materially harmed.</w:t>
      </w:r>
    </w:p>
    <w:p>
      <w:pPr>
        <w:spacing w:after="0" w:line="6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We have no products approved for sale and our lead product candidates, TX45 and TX2100,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178"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9"/>
          <w:szCs w:val="19"/>
          <w:color w:val="231F20"/>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2 clinical trials and TX2100 has just entered a Phase 1a clinical trial.</w:t>
      </w:r>
    </w:p>
    <w:p>
      <w:pPr>
        <w:spacing w:after="0" w:line="5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Our ability to generate product revenues, which we do not expect will occur in the foreseeable future, if ever, will depend heavily on the successful development and eventual commercialization of TX45, TX2100, and any future product candidates we develop, which may never occur. TX45, TX2100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96" w:lineRule="exact"/>
        <w:rPr>
          <w:sz w:val="20"/>
          <w:szCs w:val="20"/>
          <w:color w:val="auto"/>
        </w:rPr>
      </w:pPr>
    </w:p>
    <w:p>
      <w:pPr>
        <w:ind w:left="980" w:right="460" w:hanging="483"/>
        <w:spacing w:after="0" w:line="276" w:lineRule="auto"/>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 and timely completion of preclinical studies and clinical trials for which the FDA, or any comparable foreign regulatory authority agree with the design, endpoints or implementation;</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sufficiency of our financial and other resources to complete the necessary preclinical studies and clinical trials;</w:t>
      </w:r>
    </w:p>
    <w:p>
      <w:pPr>
        <w:sectPr>
          <w:pgSz w:w="11880" w:h="15480" w:orient="portrait"/>
          <w:cols w:equalWidth="0" w:num="1">
            <w:col w:w="10420"/>
          </w:cols>
          <w:pgMar w:left="720" w:top="750" w:right="740"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420"/>
          </w:cols>
          <w:pgMar w:left="720" w:top="750" w:right="740" w:bottom="0" w:gutter="0" w:footer="0" w:header="0"/>
          <w:type w:val="continuous"/>
        </w:sectPr>
      </w:pPr>
    </w:p>
    <w:bookmarkStart w:id="30" w:name="page31"/>
    <w:bookmarkEnd w:id="30"/>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receiving regulatory approvals or authorizations for conducting our planned clinical trials or future clinical trials;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initiation and successful patient enrollment in, and completion of, additional clinical trials on a timely basis;</w:t>
      </w:r>
    </w:p>
    <w:p>
      <w:pPr>
        <w:spacing w:after="0" w:line="133" w:lineRule="exact"/>
        <w:rPr>
          <w:rFonts w:ascii="Arial" w:cs="Arial" w:eastAsia="Arial" w:hAnsi="Arial"/>
          <w:sz w:val="20"/>
          <w:szCs w:val="20"/>
          <w:color w:val="231F20"/>
        </w:rPr>
      </w:pPr>
    </w:p>
    <w:p>
      <w:pPr>
        <w:ind w:left="980" w:right="52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demonstrate to the satisfaction of the FDA or any comparable foreign regulatory authority that the applicable product candidate is safe, pure, and potent for its targeted indications;</w:t>
      </w:r>
    </w:p>
    <w:p>
      <w:pPr>
        <w:spacing w:after="0" w:line="64" w:lineRule="exact"/>
        <w:rPr>
          <w:rFonts w:ascii="Arial" w:cs="Arial" w:eastAsia="Arial" w:hAnsi="Arial"/>
          <w:sz w:val="20"/>
          <w:szCs w:val="20"/>
          <w:color w:val="231F20"/>
        </w:rPr>
      </w:pPr>
    </w:p>
    <w:p>
      <w:pPr>
        <w:ind w:left="980" w:right="52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demonstrate to the satisfaction of the FDA or any comparable foreign regulatory authority that the applicable product candidate’s risk-benefit ratio for its proposed indication is acceptable;</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timely receipt of marketing approvals for our product candidates from applicable regulatory authorities;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of any required post-marketing approval commitments to applicable regulatory authorities;</w:t>
      </w:r>
    </w:p>
    <w:p>
      <w:pPr>
        <w:spacing w:after="0" w:line="133" w:lineRule="exact"/>
        <w:rPr>
          <w:rFonts w:ascii="Arial" w:cs="Arial" w:eastAsia="Arial" w:hAnsi="Arial"/>
          <w:sz w:val="20"/>
          <w:szCs w:val="20"/>
          <w:color w:val="231F20"/>
        </w:rPr>
      </w:pPr>
    </w:p>
    <w:p>
      <w:pPr>
        <w:ind w:left="980" w:right="44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and scaling up, either alone or with third-party manufacturers, manufacturing capabilities of clinical supply for our clinical trials and commercial manufacturing, if any of our product candidates are approved;</w:t>
      </w:r>
    </w:p>
    <w:p>
      <w:pPr>
        <w:spacing w:after="0" w:line="64" w:lineRule="exact"/>
        <w:rPr>
          <w:rFonts w:ascii="Arial" w:cs="Arial" w:eastAsia="Arial" w:hAnsi="Arial"/>
          <w:sz w:val="20"/>
          <w:szCs w:val="20"/>
          <w:color w:val="231F20"/>
        </w:rPr>
      </w:pPr>
    </w:p>
    <w:p>
      <w:pPr>
        <w:ind w:left="980" w:right="40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and maintaining patent and proprietary information protection or regulatory exclusivity for our product candidates, both in the United States and internationally;</w:t>
      </w:r>
    </w:p>
    <w:p>
      <w:pPr>
        <w:spacing w:after="0" w:line="64" w:lineRule="exact"/>
        <w:rPr>
          <w:rFonts w:ascii="Arial" w:cs="Arial" w:eastAsia="Arial" w:hAnsi="Arial"/>
          <w:sz w:val="20"/>
          <w:szCs w:val="20"/>
          <w:color w:val="231F20"/>
        </w:rPr>
      </w:pPr>
    </w:p>
    <w:p>
      <w:pPr>
        <w:ind w:left="980" w:right="10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successfully scaling a sales and marketing organization and launching commercial sales of our product candidates, if approved;</w:t>
      </w:r>
    </w:p>
    <w:p>
      <w:pPr>
        <w:spacing w:after="0" w:line="64" w:lineRule="exact"/>
        <w:rPr>
          <w:rFonts w:ascii="Arial" w:cs="Arial" w:eastAsia="Arial" w:hAnsi="Arial"/>
          <w:sz w:val="20"/>
          <w:szCs w:val="20"/>
          <w:color w:val="231F20"/>
        </w:rPr>
      </w:pPr>
    </w:p>
    <w:p>
      <w:pPr>
        <w:ind w:left="980" w:right="20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acceptance of our product candidates’ benefits and uses, if approved, by patients, the medical community and third-party payors;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maintaining a continued acceptable safety profile of our product candidates following approval;</w:t>
      </w:r>
    </w:p>
    <w:p>
      <w:pPr>
        <w:spacing w:after="0" w:line="133" w:lineRule="exact"/>
        <w:rPr>
          <w:rFonts w:ascii="Arial" w:cs="Arial" w:eastAsia="Arial" w:hAnsi="Arial"/>
          <w:sz w:val="20"/>
          <w:szCs w:val="20"/>
          <w:color w:val="231F20"/>
        </w:rPr>
      </w:pPr>
    </w:p>
    <w:p>
      <w:pPr>
        <w:ind w:left="980" w:right="200" w:hanging="483"/>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effectively competing with companies developing and commercializing other therapies in the indications which our product candidates target;</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obtaining and maintaining healthcare coverage and adequate reimbursement from third-party payors;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enforcing and defending intellectual property rights and claims.</w:t>
      </w:r>
    </w:p>
    <w:p>
      <w:pPr>
        <w:spacing w:after="0" w:line="119"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0"/>
          <w:szCs w:val="20"/>
          <w:color w:val="231F20"/>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19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p>
    <w:p>
      <w:pPr>
        <w:spacing w:after="0" w:line="7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7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To date, we have completed the Phase 1a trial in normal healthy volunteers and Phase 1b in patients with Group 2 Pulmonary Hypertension associated with HFrEF and HFpEF for TX45.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has just entered Phase 1a.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TX2100 or any future product candidates, including:</w:t>
      </w:r>
    </w:p>
    <w:p>
      <w:pPr>
        <w:spacing w:after="0" w:line="96" w:lineRule="exact"/>
        <w:rPr>
          <w:sz w:val="20"/>
          <w:szCs w:val="20"/>
          <w:color w:val="auto"/>
        </w:rPr>
      </w:pPr>
    </w:p>
    <w:p>
      <w:pPr>
        <w:ind w:left="980" w:hanging="483"/>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obtain regulatory authorizations to commence a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reaching a consensus with regulatory agencies as to the design or implementation of our clinical trials;</w:t>
      </w:r>
    </w:p>
    <w:p>
      <w:pPr>
        <w:spacing w:after="0" w:line="133" w:lineRule="exact"/>
        <w:rPr>
          <w:rFonts w:ascii="Arial" w:cs="Arial" w:eastAsia="Arial" w:hAnsi="Arial"/>
          <w:sz w:val="20"/>
          <w:szCs w:val="20"/>
          <w:color w:val="231F20"/>
        </w:rPr>
      </w:pPr>
    </w:p>
    <w:p>
      <w:pPr>
        <w:ind w:left="980" w:hanging="483"/>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reach agreement on acceptable terms with prospective CROs and clinical trial sites, the terms of which can be subject to extensive negotiation and may vary significantly among different CROs and trial sites;</w:t>
      </w:r>
    </w:p>
    <w:p>
      <w:pPr>
        <w:sectPr>
          <w:pgSz w:w="11880" w:h="15480" w:orient="portrait"/>
          <w:cols w:equalWidth="0" w:num="1">
            <w:col w:w="10440"/>
          </w:cols>
          <w:pgMar w:left="720" w:top="764" w:right="72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440"/>
          </w:cols>
          <w:pgMar w:left="720" w:top="764" w:right="720" w:bottom="0" w:gutter="0" w:footer="0" w:header="0"/>
          <w:type w:val="continuous"/>
        </w:sectPr>
      </w:pPr>
    </w:p>
    <w:bookmarkStart w:id="31" w:name="page32"/>
    <w:bookmarkEnd w:id="31"/>
    <w:p>
      <w:pPr>
        <w:ind w:left="980" w:right="380" w:hanging="483"/>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obtain institutional review board (“IRB”) approval at each site or positive ethics committee opinions;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or failure to recruit a sufficient number of suitable patients to participate in a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have patients complete a trial or return for post-treatment follow-up;</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clinical sites deviating from trial protocol or dropping out of a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adding new clinical trial sites;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manufacture sufficient quantities of our product candidates for use in clinical trials in a timely manner;</w:t>
      </w:r>
    </w:p>
    <w:p>
      <w:pPr>
        <w:spacing w:after="0" w:line="133" w:lineRule="exact"/>
        <w:rPr>
          <w:rFonts w:ascii="Arial" w:cs="Arial" w:eastAsia="Arial" w:hAnsi="Arial"/>
          <w:sz w:val="20"/>
          <w:szCs w:val="20"/>
          <w:color w:val="231F20"/>
        </w:rPr>
      </w:pPr>
    </w:p>
    <w:p>
      <w:pPr>
        <w:ind w:left="980" w:right="80" w:hanging="483"/>
        <w:spacing w:after="0" w:line="252"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87" w:lineRule="exact"/>
        <w:rPr>
          <w:rFonts w:ascii="Arial" w:cs="Arial" w:eastAsia="Arial" w:hAnsi="Arial"/>
          <w:sz w:val="20"/>
          <w:szCs w:val="20"/>
          <w:color w:val="231F20"/>
        </w:rPr>
      </w:pPr>
    </w:p>
    <w:p>
      <w:pPr>
        <w:ind w:left="980" w:right="580" w:hanging="483"/>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perform clinical trials in accordance with the FDA’s or any other regulatory authority’s good clinical practices (“GCP”) requirements, or regulatory guidelines in other countries;</w:t>
      </w:r>
    </w:p>
    <w:p>
      <w:pPr>
        <w:spacing w:after="0" w:line="64" w:lineRule="exact"/>
        <w:rPr>
          <w:rFonts w:ascii="Arial" w:cs="Arial" w:eastAsia="Arial" w:hAnsi="Arial"/>
          <w:sz w:val="20"/>
          <w:szCs w:val="20"/>
          <w:color w:val="231F20"/>
        </w:rPr>
      </w:pPr>
    </w:p>
    <w:p>
      <w:pPr>
        <w:ind w:left="980" w:right="800" w:hanging="483"/>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demonstrate to the satisfaction of the FDA or any comparable foreign regulatory authority that the applicable product candidate’s risk-benefit ratio for its proposed indication is acceptable;</w:t>
      </w:r>
    </w:p>
    <w:p>
      <w:pPr>
        <w:spacing w:after="0" w:line="64" w:lineRule="exact"/>
        <w:rPr>
          <w:rFonts w:ascii="Arial" w:cs="Arial" w:eastAsia="Arial" w:hAnsi="Arial"/>
          <w:sz w:val="20"/>
          <w:szCs w:val="20"/>
          <w:color w:val="231F20"/>
        </w:rPr>
      </w:pPr>
    </w:p>
    <w:p>
      <w:pPr>
        <w:ind w:left="980" w:hanging="483"/>
        <w:spacing w:after="0" w:line="258"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or approval of competing product candidates currently under investigation for the treatment of similar diseases or conditions, or competing clinical trials for similar product candidates, similar mechanisms of action or targeting patient populations meeting our patient eligibility criteria;</w:t>
      </w:r>
    </w:p>
    <w:p>
      <w:pPr>
        <w:spacing w:after="0" w:line="81"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regulatory requirements, policies and guidelines;</w:t>
      </w:r>
    </w:p>
    <w:p>
      <w:pPr>
        <w:spacing w:after="0" w:line="133" w:lineRule="exact"/>
        <w:rPr>
          <w:rFonts w:ascii="Arial" w:cs="Arial" w:eastAsia="Arial" w:hAnsi="Arial"/>
          <w:sz w:val="20"/>
          <w:szCs w:val="20"/>
          <w:color w:val="231F20"/>
        </w:rPr>
      </w:pPr>
    </w:p>
    <w:p>
      <w:pPr>
        <w:ind w:left="980" w:right="580" w:hanging="483"/>
        <w:spacing w:after="0" w:line="276"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our third-party research contractors to comply with regulatory requirements or meet their contractual obligations to us in a timely manner, or at all;</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establishing the appropriate dosage levels in clinical trials;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quality or stability of our product candidates falling below acceptable standards; and</w:t>
      </w:r>
    </w:p>
    <w:p>
      <w:pPr>
        <w:spacing w:after="0" w:line="133" w:lineRule="exact"/>
        <w:rPr>
          <w:rFonts w:ascii="Arial" w:cs="Arial" w:eastAsia="Arial" w:hAnsi="Arial"/>
          <w:sz w:val="20"/>
          <w:szCs w:val="20"/>
          <w:color w:val="231F20"/>
        </w:rPr>
      </w:pPr>
    </w:p>
    <w:p>
      <w:pPr>
        <w:ind w:left="980" w:right="320" w:hanging="483"/>
        <w:spacing w:after="0" w:line="258" w:lineRule="auto"/>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In addition, we could also encounter delays if a clinical trial is suspended or terminated by us, the IRBs or ethics committees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8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ectPr>
          <w:pgSz w:w="11880" w:h="15480" w:orient="portrait"/>
          <w:cols w:equalWidth="0" w:num="1">
            <w:col w:w="10420"/>
          </w:cols>
          <w:pgMar w:left="720" w:top="76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420"/>
          </w:cols>
          <w:pgMar w:left="720" w:top="764" w:right="740" w:bottom="0" w:gutter="0" w:footer="0" w:header="0"/>
          <w:type w:val="continuous"/>
        </w:sectPr>
      </w:pPr>
    </w:p>
    <w:bookmarkStart w:id="32" w:name="page33"/>
    <w:bookmarkEnd w:id="32"/>
    <w:p>
      <w:pPr>
        <w:jc w:val="both"/>
        <w:ind w:right="5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6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To obtain the requisite regulatory approvals to market and sell any of our product candidates, including TX45, TX2100 and any other future product candidates, we must demonstrate through extensive preclinical studies and clinical trials that our biologic products, including TX45 and TX2100, are safe and effective for use in each targeted indication. Clinical testing is expensive and can take many years to complete, and its outcome is inherently uncertain. For example, during clinical development our product candidates may fail to meet the expected shelf-life due to unforeseen stability or other technical issues at suppliers, which would prevent or delay or limit the scope of clinical development, regulatory approval, and commercialization.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TX2100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9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8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231F20"/>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TX2100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or comparable foreign regulatory approval. Any such setbacks in our clinical development could have a material adverse effect on our business, financial condition and results of operations.</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440"/>
          </w:cols>
          <w:pgMar w:left="720" w:top="750" w:right="720" w:bottom="0" w:gutter="0" w:footer="0" w:header="0"/>
          <w:type w:val="continuous"/>
        </w:sectPr>
      </w:pPr>
    </w:p>
    <w:bookmarkStart w:id="33" w:name="page34"/>
    <w:bookmarkEnd w:id="33"/>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7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231F20"/>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product candidate TX45 has been generally well tolerated in its preclinical studies, the Phase 1a healthy volunteer trial and our Phase 1b trial in patients with Group 2 PH to date, the results from future preclinical studies and clinical trials, including any of our other product candidates, may identify safety concerns or other undesirable properties of our product candidates.</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The results of our ongoing Phase 2 clinical trials of TX45 and/or our ongoing Phase 1a trial of TX2100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7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80"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0"/>
          <w:szCs w:val="20"/>
          <w:color w:val="231F20"/>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83" w:lineRule="exact"/>
        <w:rPr>
          <w:sz w:val="20"/>
          <w:szCs w:val="20"/>
          <w:color w:val="auto"/>
        </w:rPr>
      </w:pPr>
    </w:p>
    <w:p>
      <w:pPr>
        <w:ind w:left="980" w:right="60" w:hanging="483"/>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withdraw, vary or suspend approvals of such product and require us to take such approved product off the market;</w:t>
      </w:r>
    </w:p>
    <w:p>
      <w:pPr>
        <w:spacing w:after="0" w:line="64" w:lineRule="exact"/>
        <w:rPr>
          <w:rFonts w:ascii="Arial" w:cs="Arial" w:eastAsia="Arial" w:hAnsi="Arial"/>
          <w:sz w:val="20"/>
          <w:szCs w:val="20"/>
          <w:color w:val="231F20"/>
        </w:rPr>
      </w:pPr>
    </w:p>
    <w:p>
      <w:pPr>
        <w:ind w:left="980" w:right="240" w:hanging="483"/>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require the addition of labeling statements, specific warnings, a contraindication or field alerts to physicians and pharmacies;</w:t>
      </w:r>
    </w:p>
    <w:p>
      <w:pPr>
        <w:spacing w:after="0" w:line="64" w:lineRule="exact"/>
        <w:rPr>
          <w:rFonts w:ascii="Arial" w:cs="Arial" w:eastAsia="Arial" w:hAnsi="Arial"/>
          <w:sz w:val="20"/>
          <w:szCs w:val="20"/>
          <w:color w:val="231F20"/>
        </w:rPr>
      </w:pPr>
    </w:p>
    <w:p>
      <w:pPr>
        <w:ind w:left="980" w:right="140" w:hanging="483"/>
        <w:spacing w:after="0" w:line="258"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authorities may require a medication guide outlining the risks of such side effects for distribution to patients, or that we implement a risk evaluation and mitigation strategy (“REMS”) plan to ensure that the benefits of the product outweigh its risks or a comparable foreign plan;</w:t>
      </w:r>
    </w:p>
    <w:p>
      <w:pPr>
        <w:spacing w:after="0" w:line="81" w:lineRule="exact"/>
        <w:rPr>
          <w:rFonts w:ascii="Arial" w:cs="Arial" w:eastAsia="Arial" w:hAnsi="Arial"/>
          <w:sz w:val="20"/>
          <w:szCs w:val="20"/>
          <w:color w:val="231F20"/>
        </w:rPr>
      </w:pPr>
    </w:p>
    <w:p>
      <w:pPr>
        <w:ind w:left="980" w:right="340" w:hanging="483"/>
        <w:spacing w:after="0" w:line="276" w:lineRule="auto"/>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required to change the way the product is administered, conduct additional clinical trials or change the labeling of the product;</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subject to limitations on how we may promote the product;</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of the product may decrease significantly;</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subject to litigation or product liability claims;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reputation may suffer.</w:t>
      </w:r>
    </w:p>
    <w:p>
      <w:pPr>
        <w:spacing w:after="0" w:line="119"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color w:val="231F20"/>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440"/>
          </w:cols>
          <w:pgMar w:left="720" w:top="750" w:right="720" w:bottom="0" w:gutter="0" w:footer="0" w:header="0"/>
          <w:type w:val="continuous"/>
        </w:sectPr>
      </w:pPr>
    </w:p>
    <w:bookmarkStart w:id="34" w:name="page35"/>
    <w:bookmarkEnd w:id="34"/>
    <w:p>
      <w:pPr>
        <w:ind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find it difficult to enroll patients in our clinical trials, which could delay or prevent us from proceeding with, or otherwise adversely affect, clinical trials of our product candidates.</w:t>
      </w:r>
    </w:p>
    <w:p>
      <w:pPr>
        <w:spacing w:after="0" w:line="4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231F20"/>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100" w:lineRule="exact"/>
        <w:rPr>
          <w:sz w:val="20"/>
          <w:szCs w:val="20"/>
          <w:color w:val="auto"/>
        </w:rPr>
      </w:pPr>
    </w:p>
    <w:p>
      <w:pPr>
        <w:ind w:left="980" w:right="240" w:hanging="483"/>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location of trial sites in Eastern Europe for the Phase 2 TX45 trials, including active sites in the Ukraine, with their proximity to the conflict between Russia and the Ukraine;</w:t>
      </w:r>
    </w:p>
    <w:p>
      <w:pPr>
        <w:spacing w:after="0" w:line="64" w:lineRule="exact"/>
        <w:rPr>
          <w:rFonts w:ascii="Arial" w:cs="Arial" w:eastAsia="Arial" w:hAnsi="Arial"/>
          <w:sz w:val="20"/>
          <w:szCs w:val="20"/>
          <w:color w:val="231F20"/>
        </w:rPr>
      </w:pPr>
    </w:p>
    <w:p>
      <w:pPr>
        <w:ind w:left="980" w:right="320" w:hanging="483"/>
        <w:spacing w:after="0" w:line="258"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obtaining, or the inability to obtain, required approvals from institutional review boards (“IRBs”) and positive ethics committee opinions or other governing entities at clinical trial sites selected for participation in our clinical trials;</w:t>
      </w:r>
    </w:p>
    <w:p>
      <w:pPr>
        <w:spacing w:after="0" w:line="81" w:lineRule="exact"/>
        <w:rPr>
          <w:rFonts w:ascii="Arial" w:cs="Arial" w:eastAsia="Arial" w:hAnsi="Arial"/>
          <w:sz w:val="20"/>
          <w:szCs w:val="20"/>
          <w:color w:val="231F20"/>
        </w:rPr>
      </w:pPr>
    </w:p>
    <w:p>
      <w:pPr>
        <w:ind w:left="980" w:right="500" w:hanging="483"/>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delays in reaching agreement on acceptable terms with clinical trial sites on clinical budgets and/or clinical trial agreements;</w:t>
      </w:r>
    </w:p>
    <w:p>
      <w:pPr>
        <w:spacing w:after="0" w:line="64" w:lineRule="exact"/>
        <w:rPr>
          <w:rFonts w:ascii="Arial" w:cs="Arial" w:eastAsia="Arial" w:hAnsi="Arial"/>
          <w:sz w:val="20"/>
          <w:szCs w:val="20"/>
          <w:color w:val="231F20"/>
        </w:rPr>
      </w:pPr>
    </w:p>
    <w:p>
      <w:pPr>
        <w:ind w:left="980" w:right="80" w:hanging="483"/>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deviations from the trial protocol by clinical trial sites and investigators, or failures to conduct the trial in accordance with regulatory requirements;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size and nature of the patient population and process for identifying patients;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proximity and availability of clinical trial sites for prospective patients;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eligibility and exclusion criteria for the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design of the clinical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safety profile, to date, of the product candidate under study;</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perceived risks and benefits of the product candidate under study;</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perceived risks and benefits of our approach;</w:t>
      </w:r>
    </w:p>
    <w:p>
      <w:pPr>
        <w:spacing w:after="0" w:line="133" w:lineRule="exact"/>
        <w:rPr>
          <w:rFonts w:ascii="Arial" w:cs="Arial" w:eastAsia="Arial" w:hAnsi="Arial"/>
          <w:sz w:val="20"/>
          <w:szCs w:val="20"/>
          <w:color w:val="231F20"/>
        </w:rPr>
      </w:pPr>
    </w:p>
    <w:p>
      <w:pPr>
        <w:ind w:left="980" w:right="340" w:hanging="483"/>
        <w:spacing w:after="0" w:line="258"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81"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severity of the disease under investigation;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degree of progression of the patient’s disease at the time of enrollment;</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ability to obtain and maintain patient consent;</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risk that enrolled patients will drop out before completion of the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 referral practices of physicians;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ability to adequately monitor patients during and after treatment.</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8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231F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420"/>
          </w:cols>
          <w:pgMar w:left="720" w:top="750" w:right="740" w:bottom="0" w:gutter="0" w:footer="0" w:header="0"/>
          <w:type w:val="continuous"/>
        </w:sectPr>
      </w:pPr>
    </w:p>
    <w:bookmarkStart w:id="35" w:name="page36"/>
    <w:bookmarkEnd w:id="35"/>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8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29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In January 2026, we received clearance from Australia to commence the Phase 1a study with TX2100.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1a clinical trial for TX2100 and Phase 2 clinical trials for TX45,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such as TX2100, on the timelines we expect, if at all, and we cannot be sure that submission of INDs or similar applications will result in the FDA or comparable foreign regulatory authorities allowing clinical trials to begin.</w:t>
      </w:r>
    </w:p>
    <w:p>
      <w:pPr>
        <w:spacing w:after="0" w:line="196"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6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product candidates could fail to receive regulatory approval for many reasons, including the following:</w:t>
      </w:r>
    </w:p>
    <w:p>
      <w:pPr>
        <w:spacing w:after="0" w:line="134" w:lineRule="exact"/>
        <w:rPr>
          <w:sz w:val="20"/>
          <w:szCs w:val="20"/>
          <w:color w:val="auto"/>
        </w:rPr>
      </w:pPr>
    </w:p>
    <w:p>
      <w:pPr>
        <w:ind w:left="980" w:right="80" w:hanging="483"/>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disagree with the design or implementation of our clinical trials;</w:t>
      </w:r>
    </w:p>
    <w:p>
      <w:pPr>
        <w:spacing w:after="0" w:line="64" w:lineRule="exact"/>
        <w:rPr>
          <w:rFonts w:ascii="Arial" w:cs="Arial" w:eastAsia="Arial" w:hAnsi="Arial"/>
          <w:sz w:val="20"/>
          <w:szCs w:val="20"/>
          <w:color w:val="231F20"/>
        </w:rPr>
      </w:pPr>
    </w:p>
    <w:p>
      <w:pPr>
        <w:ind w:left="980" w:right="260" w:hanging="483"/>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demonstrate to the satisfaction of the FDA or comparable foreign regulatory authorities that a product candidate is safe, pure and potent for its proposed indication;</w:t>
      </w:r>
    </w:p>
    <w:p>
      <w:pPr>
        <w:spacing w:after="0" w:line="64" w:lineRule="exact"/>
        <w:rPr>
          <w:rFonts w:ascii="Arial" w:cs="Arial" w:eastAsia="Arial" w:hAnsi="Arial"/>
          <w:sz w:val="20"/>
          <w:szCs w:val="20"/>
          <w:color w:val="231F20"/>
        </w:rPr>
      </w:pPr>
    </w:p>
    <w:p>
      <w:pPr>
        <w:ind w:left="980" w:right="280" w:hanging="483"/>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population studied may not be sufficiently broad or representative to assure safety or efficacy in the population for which we seek approval;</w:t>
      </w:r>
    </w:p>
    <w:p>
      <w:pPr>
        <w:sectPr>
          <w:pgSz w:w="11880" w:h="15480" w:orient="portrait"/>
          <w:cols w:equalWidth="0" w:num="1">
            <w:col w:w="10440"/>
          </w:cols>
          <w:pgMar w:left="720" w:top="750" w:right="720" w:bottom="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440"/>
          </w:cols>
          <w:pgMar w:left="720" w:top="750" w:right="720" w:bottom="0" w:gutter="0" w:footer="0" w:header="0"/>
          <w:type w:val="continuous"/>
        </w:sectPr>
      </w:pPr>
    </w:p>
    <w:bookmarkStart w:id="36" w:name="page37"/>
    <w:bookmarkEnd w:id="36"/>
    <w:p>
      <w:pPr>
        <w:ind w:left="980" w:right="20" w:hanging="483"/>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results of clinical trials may not meet the level of clinical significance required by the FDA or comparable foreign regulatory authorities for approval;</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demonstrate that a product candidate’s clinical and other benefits outweigh its safety risks;</w:t>
      </w:r>
    </w:p>
    <w:p>
      <w:pPr>
        <w:spacing w:after="0" w:line="133" w:lineRule="exact"/>
        <w:rPr>
          <w:rFonts w:ascii="Arial" w:cs="Arial" w:eastAsia="Arial" w:hAnsi="Arial"/>
          <w:sz w:val="20"/>
          <w:szCs w:val="20"/>
          <w:color w:val="231F20"/>
        </w:rPr>
      </w:pPr>
    </w:p>
    <w:p>
      <w:pPr>
        <w:ind w:left="980" w:right="260" w:hanging="483"/>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231F20"/>
        </w:rPr>
      </w:pPr>
    </w:p>
    <w:p>
      <w:pPr>
        <w:ind w:left="980" w:right="480" w:hanging="483"/>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require additional preclinical studies or clinical trials beyond those that we currently anticipate;</w:t>
      </w:r>
    </w:p>
    <w:p>
      <w:pPr>
        <w:spacing w:after="0" w:line="64" w:lineRule="exact"/>
        <w:rPr>
          <w:rFonts w:ascii="Arial" w:cs="Arial" w:eastAsia="Arial" w:hAnsi="Arial"/>
          <w:sz w:val="20"/>
          <w:szCs w:val="20"/>
          <w:color w:val="231F20"/>
        </w:rPr>
      </w:pPr>
    </w:p>
    <w:p>
      <w:pPr>
        <w:ind w:left="980" w:right="220" w:hanging="483"/>
        <w:spacing w:after="0" w:line="258"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81" w:lineRule="exact"/>
        <w:rPr>
          <w:rFonts w:ascii="Arial" w:cs="Arial" w:eastAsia="Arial" w:hAnsi="Arial"/>
          <w:sz w:val="20"/>
          <w:szCs w:val="20"/>
          <w:color w:val="231F20"/>
        </w:rPr>
      </w:pPr>
    </w:p>
    <w:p>
      <w:pPr>
        <w:ind w:left="980" w:right="20" w:hanging="483"/>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4" w:lineRule="exact"/>
        <w:rPr>
          <w:rFonts w:ascii="Arial" w:cs="Arial" w:eastAsia="Arial" w:hAnsi="Arial"/>
          <w:sz w:val="20"/>
          <w:szCs w:val="20"/>
          <w:color w:val="231F20"/>
        </w:rPr>
      </w:pPr>
    </w:p>
    <w:p>
      <w:pPr>
        <w:ind w:left="980" w:right="400" w:hanging="483"/>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approval policies or regulations of the FDA or any comparable foreign regulatory authorities or the laws they enforce may significantly change in a manner rendering our clinical data insufficient for approval.</w:t>
      </w:r>
    </w:p>
    <w:p>
      <w:pPr>
        <w:spacing w:after="0" w:line="5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231F20"/>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8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231F20"/>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FDA and any comparable foreign regulatory authorities may not accept data from trials conducted in locations outside of their jurisdiction.</w:t>
      </w:r>
    </w:p>
    <w:p>
      <w:pPr>
        <w:spacing w:after="0" w:line="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w:t>
      </w:r>
    </w:p>
    <w:p>
      <w:pPr>
        <w:spacing w:after="0" w:line="1" w:lineRule="exact"/>
        <w:rPr>
          <w:sz w:val="20"/>
          <w:szCs w:val="20"/>
          <w:color w:val="auto"/>
        </w:rPr>
      </w:pPr>
    </w:p>
    <w:p>
      <w:pPr>
        <w:ind w:right="40" w:firstLine="7"/>
        <w:spacing w:after="0" w:line="241" w:lineRule="auto"/>
        <w:tabs>
          <w:tab w:leader="none" w:pos="35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FDA is able to validate the data through an on-site inspection or other appropriate mean. Additionally, the FDA’s clinical trial requirements, including the adequacy of the patient population studied and statistical powering, must be met. Similar requirements and considerations apply abroad.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w:t>
      </w:r>
    </w:p>
    <w:p>
      <w:pPr>
        <w:sectPr>
          <w:pgSz w:w="11880" w:h="15480" w:orient="portrait"/>
          <w:cols w:equalWidth="0" w:num="1">
            <w:col w:w="10420"/>
          </w:cols>
          <w:pgMar w:left="720" w:top="76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420"/>
          </w:cols>
          <w:pgMar w:left="720" w:top="764" w:right="740" w:bottom="0" w:gutter="0" w:footer="0" w:header="0"/>
          <w:type w:val="continuous"/>
        </w:sectPr>
      </w:pPr>
    </w:p>
    <w:bookmarkStart w:id="37" w:name="page38"/>
    <w:bookmarkEnd w:id="37"/>
    <w:p>
      <w:pPr>
        <w:spacing w:after="0" w:line="247" w:lineRule="auto"/>
        <w:rPr>
          <w:sz w:val="20"/>
          <w:szCs w:val="20"/>
          <w:color w:val="auto"/>
        </w:rPr>
      </w:pPr>
      <w:r>
        <w:rPr>
          <w:rFonts w:ascii="Times New Roman" w:cs="Times New Roman" w:eastAsia="Times New Roman" w:hAnsi="Times New Roman"/>
          <w:sz w:val="20"/>
          <w:szCs w:val="20"/>
          <w:color w:val="231F20"/>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231F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8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231F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Similar risks apply abroad as foreign regulatory authorities have comparable authority. Other potential consequences include, among other things:</w:t>
      </w:r>
    </w:p>
    <w:p>
      <w:pPr>
        <w:spacing w:after="0" w:line="94" w:lineRule="exact"/>
        <w:rPr>
          <w:sz w:val="20"/>
          <w:szCs w:val="20"/>
          <w:color w:val="auto"/>
        </w:rPr>
      </w:pPr>
    </w:p>
    <w:p>
      <w:pPr>
        <w:ind w:left="980" w:right="720" w:hanging="483"/>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the marketing or manufacturing of our products, withdrawal of the product from the market or voluntary or mandatory product recalls;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fines, warning letters or holds on clinical trials;</w:t>
      </w:r>
    </w:p>
    <w:p>
      <w:pPr>
        <w:spacing w:after="0" w:line="133" w:lineRule="exact"/>
        <w:rPr>
          <w:rFonts w:ascii="Arial" w:cs="Arial" w:eastAsia="Arial" w:hAnsi="Arial"/>
          <w:sz w:val="20"/>
          <w:szCs w:val="20"/>
          <w:color w:val="231F20"/>
        </w:rPr>
      </w:pPr>
    </w:p>
    <w:p>
      <w:pPr>
        <w:ind w:left="980" w:right="240" w:hanging="483"/>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by the FDA or comparable foreign regulatory authorities to approve pending applications or supplements to approved applications filed by us or suspension or revocation of license approvals;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seizure or detention or refusal to permit the import or export of our product candidates;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injunctions or the imposition of civil or criminal penalties.</w:t>
      </w:r>
    </w:p>
    <w:p>
      <w:pPr>
        <w:spacing w:after="0" w:line="11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231F20"/>
        </w:rPr>
        <w:t xml:space="preserve">The FDA and foreign regulatory authorities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Comparable rules apply in foreign countries. </w:t>
      </w:r>
      <w:r>
        <w:rPr>
          <w:rFonts w:ascii="Times New Roman" w:cs="Times New Roman" w:eastAsia="Times New Roman" w:hAnsi="Times New Roman"/>
          <w:sz w:val="20"/>
          <w:szCs w:val="20"/>
          <w:color w:val="191619"/>
        </w:rPr>
        <w:t>In the EU,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91619"/>
        </w:rPr>
        <w:t xml:space="preserve">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cs="Times New Roman" w:eastAsia="Times New Roman" w:hAnsi="Times New Roman"/>
          <w:sz w:val="20"/>
          <w:szCs w:val="20"/>
          <w:color w:val="231F20"/>
        </w:rPr>
        <w:t>Applicable laws require that promotional materials and advertising in relation to medicinal products</w:t>
      </w:r>
      <w:r>
        <w:rPr>
          <w:rFonts w:ascii="Times New Roman" w:cs="Times New Roman" w:eastAsia="Times New Roman" w:hAnsi="Times New Roman"/>
          <w:sz w:val="20"/>
          <w:szCs w:val="20"/>
          <w:color w:val="191619"/>
        </w:rPr>
        <w:t xml:space="preserve"> </w:t>
      </w:r>
      <w:r>
        <w:rPr>
          <w:rFonts w:ascii="Times New Roman" w:cs="Times New Roman" w:eastAsia="Times New Roman" w:hAnsi="Times New Roman"/>
          <w:sz w:val="20"/>
          <w:szCs w:val="20"/>
          <w:color w:val="231F20"/>
        </w:rPr>
        <w:t xml:space="preserve">comply with the product’s Summary of Product Characteristics (SmPC), which may require approval by the competent national authorities in connection with a marketing authorization. The SmPC is the document that provides information to physicians </w:t>
      </w:r>
      <w:r>
        <w:rPr>
          <w:rFonts w:ascii="Times New Roman" w:cs="Times New Roman" w:eastAsia="Times New Roman" w:hAnsi="Times New Roman"/>
          <w:sz w:val="20"/>
          <w:szCs w:val="20"/>
          <w:color w:val="191619"/>
        </w:rPr>
        <w:t>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191619"/>
        </w:rPr>
        <w:t xml:space="preserve">other healthcare professionals </w:t>
      </w:r>
      <w:r>
        <w:rPr>
          <w:rFonts w:ascii="Times New Roman" w:cs="Times New Roman" w:eastAsia="Times New Roman" w:hAnsi="Times New Roman"/>
          <w:sz w:val="20"/>
          <w:szCs w:val="20"/>
          <w:color w:val="231F20"/>
        </w:rPr>
        <w:t>concerning the safe and effective use of the product. Promotional activity that does not comply</w:t>
      </w:r>
      <w:r>
        <w:rPr>
          <w:rFonts w:ascii="Times New Roman" w:cs="Times New Roman" w:eastAsia="Times New Roman" w:hAnsi="Times New Roman"/>
          <w:sz w:val="20"/>
          <w:szCs w:val="20"/>
          <w:color w:val="191619"/>
        </w:rPr>
        <w:t xml:space="preserve"> </w:t>
      </w:r>
      <w:r>
        <w:rPr>
          <w:rFonts w:ascii="Times New Roman" w:cs="Times New Roman" w:eastAsia="Times New Roman" w:hAnsi="Times New Roman"/>
          <w:sz w:val="20"/>
          <w:szCs w:val="20"/>
          <w:color w:val="231F20"/>
        </w:rPr>
        <w:t>with the SmPC is considered off-label and is prohibited in the EU.</w:t>
      </w:r>
    </w:p>
    <w:p>
      <w:pPr>
        <w:spacing w:after="0" w:line="10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The holder of a BLA or a foreign marketing authorization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440"/>
          </w:cols>
          <w:pgMar w:left="720" w:top="750" w:right="720" w:bottom="0" w:gutter="0" w:footer="0" w:header="0"/>
          <w:type w:val="continuous"/>
        </w:sectPr>
      </w:pPr>
    </w:p>
    <w:bookmarkStart w:id="38" w:name="page39"/>
    <w:bookmarkEnd w:id="38"/>
    <w:p>
      <w:pPr>
        <w:ind w:right="200"/>
        <w:spacing w:after="0" w:line="277" w:lineRule="auto"/>
        <w:rPr>
          <w:sz w:val="20"/>
          <w:szCs w:val="20"/>
          <w:color w:val="auto"/>
        </w:rPr>
      </w:pPr>
      <w:r>
        <w:rPr>
          <w:rFonts w:ascii="Times New Roman" w:cs="Times New Roman" w:eastAsia="Times New Roman" w:hAnsi="Times New Roman"/>
          <w:sz w:val="20"/>
          <w:szCs w:val="20"/>
          <w:color w:val="231F20"/>
        </w:rPr>
        <w:t>marketing clinical trial to confirm clinical benefit for our products. An unsuccessful post-marketing study or failure to complete such a study could result in the withdrawal of marketing approval.</w:t>
      </w:r>
    </w:p>
    <w:p>
      <w:pPr>
        <w:spacing w:after="0" w:line="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instance, the regulatory landscape related to clinical trials in the EU evolved. The EU Clinical Trials Regulation ("CTR"), which was adopted in April 2014 and repeals the EU Clinical Trials Directive, became applicable on January 31, 2022. The CTR introduces, among other changes, a centralized application system, coordinated review procedures, expanded reporting and increased transparency obligations. The CTR foresaw a three-year transition period that ended on January 30, 2025. Since this date, all new or ongoing trials are subject to the provisions of the CTR. Compliance with the CTR requirements by us and our third-party service providers, such as CROs, may impact our development plans.</w:t>
      </w:r>
    </w:p>
    <w:p>
      <w:pPr>
        <w:spacing w:after="0" w:line="19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In addition, on December 11, 2025, the European Commission, the Parliament and the European Council reached a provisional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provisional agreement is still subject to formal approval by the European Parliament and Council. If approved in the form proposed, the Pharma Package will, among other changes, reduce the baseline market protection period by one year;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spacing w:after="0" w:line="20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approved, our investigational products may face competition from biosimilars approved through an abbreviated regulatory pathway.</w:t>
      </w:r>
    </w:p>
    <w:p>
      <w:pPr>
        <w:spacing w:after="0" w:line="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We are currently developing TX45 initially for the treatment of Group 2 Pulmonary Hypertension (“PH”) in HFpEF, and for the treatment of PH-ILD, which we anticipate will be regulated as a biological product. Once Phase 1 is complete we anticipate developing TX2100 for HHT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8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231F20"/>
        </w:rPr>
        <w:t>If competitors are able to obtain marketing approval for biosimilars referencing our products, our products may become subject to competition from such biosimilars, with the attendant competitive pressure and consequences.</w:t>
      </w:r>
    </w:p>
    <w:p>
      <w:pPr>
        <w:spacing w:after="0" w:line="16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become exposed to costly and damaging liability claims, either when testing our product candidates in the clinic or at the commercial stage, and our product liability insurance may not cover all damages from such claims.</w:t>
      </w:r>
    </w:p>
    <w:p>
      <w:pPr>
        <w:spacing w:after="0" w:line="4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9"/>
          <w:szCs w:val="19"/>
          <w:color w:val="231F20"/>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w:t>
      </w:r>
    </w:p>
    <w:p>
      <w:pPr>
        <w:sectPr>
          <w:pgSz w:w="11880" w:h="15480" w:orient="portrait"/>
          <w:cols w:equalWidth="0" w:num="1">
            <w:col w:w="10440"/>
          </w:cols>
          <w:pgMar w:left="720" w:top="750" w:right="720" w:bottom="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440"/>
          </w:cols>
          <w:pgMar w:left="720" w:top="750" w:right="720" w:bottom="0" w:gutter="0" w:footer="0" w:header="0"/>
          <w:type w:val="continuous"/>
        </w:sectPr>
      </w:pPr>
    </w:p>
    <w:bookmarkStart w:id="39" w:name="page40"/>
    <w:bookmarkEnd w:id="39"/>
    <w:p>
      <w:pPr>
        <w:spacing w:after="0" w:line="246" w:lineRule="auto"/>
        <w:rPr>
          <w:sz w:val="20"/>
          <w:szCs w:val="20"/>
          <w:color w:val="auto"/>
        </w:rPr>
      </w:pPr>
      <w:r>
        <w:rPr>
          <w:rFonts w:ascii="Times New Roman" w:cs="Times New Roman" w:eastAsia="Times New Roman" w:hAnsi="Times New Roman"/>
          <w:sz w:val="20"/>
          <w:szCs w:val="20"/>
          <w:color w:val="231F20"/>
        </w:rPr>
        <w:t>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94" w:lineRule="exact"/>
        <w:rPr>
          <w:sz w:val="20"/>
          <w:szCs w:val="20"/>
          <w:color w:val="auto"/>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decreased demand for our products due to negative public perception;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injury to our reputation;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withdrawal of clinical trial participants or difficulties in recruiting new trial participants;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initiation of investigations by regulators;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to defend or settle the related litigation;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a diversion of management’s time and our resources;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monetary awards to trial participants or patients;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recalls, withdrawals or labeling, marketing or promotional restrictions;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revenues from product sales;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to commercialize any of our product candidates, if approved.</w:t>
      </w:r>
    </w:p>
    <w:p>
      <w:pPr>
        <w:spacing w:after="0" w:line="11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8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231F20"/>
        </w:rPr>
        <w:t>Should any of the events described above occur, this could have a material adverse effect on our business, financial condition and results of operations.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portfolio,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candidates TX45 TX2100, our business, financial condition and results of operations could be materially adversely affected.</w:t>
      </w:r>
    </w:p>
    <w:p>
      <w:pPr>
        <w:spacing w:after="0" w:line="20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seek orphan drug designation for product candidates we develop, and we may be unsuccessful or may be unable to maintain the benefits associated with orphan drug designation, including the potential for market exclusivity.</w:t>
      </w:r>
    </w:p>
    <w:p>
      <w:pPr>
        <w:spacing w:after="0" w:line="4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231F20"/>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440"/>
          </w:cols>
          <w:pgMar w:left="720" w:top="750" w:right="720" w:bottom="0" w:gutter="0" w:footer="0" w:header="0"/>
          <w:type w:val="continuous"/>
        </w:sectPr>
      </w:pPr>
    </w:p>
    <w:bookmarkStart w:id="40" w:name="page41"/>
    <w:bookmarkEnd w:id="40"/>
    <w:p>
      <w:pPr>
        <w:ind w:right="200"/>
        <w:spacing w:after="0" w:line="258" w:lineRule="auto"/>
        <w:rPr>
          <w:sz w:val="20"/>
          <w:szCs w:val="20"/>
          <w:color w:val="auto"/>
        </w:rPr>
      </w:pPr>
      <w:r>
        <w:rPr>
          <w:rFonts w:ascii="Times New Roman" w:cs="Times New Roman" w:eastAsia="Times New Roman" w:hAnsi="Times New Roman"/>
          <w:sz w:val="20"/>
          <w:szCs w:val="20"/>
          <w:color w:val="231F20"/>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8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In the EU, the European Commission grants orphan designation after receiving the opinion of the EMA Committee for Orphan Medicinal Products on an orphan designation application. 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8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Orphan medicinal product designation entitles an applicant to incentives such as fee reductions or fee waivers, protocol assistance, and access to the centralized marketing authorization procedure. The period of market exclusivity is ten years during which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No extension to any supplementary protection certificate can be granted on the basis of pediatric studies for orphan indications.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Commercialization of Our Product Candidates</w:t>
      </w:r>
    </w:p>
    <w:p>
      <w:pPr>
        <w:spacing w:after="0" w:line="24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successfully commercialize any product candidate for which we receive regulatory approval, or experience significant delays in doing so, our business will be materially harmed.</w:t>
      </w:r>
    </w:p>
    <w:p>
      <w:pPr>
        <w:spacing w:after="0" w:line="4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20"/>
          <w:szCs w:val="20"/>
          <w:color w:val="231F20"/>
        </w:rPr>
        <w:t>If we are successful in obtaining marketing approval from applicable regulatory authorities for TX45, TX2100 or any other product candidate, our ability to generate revenues from any such products will depend on our success in:</w:t>
      </w:r>
    </w:p>
    <w:p>
      <w:pPr>
        <w:spacing w:after="0" w:line="64" w:lineRule="exact"/>
        <w:rPr>
          <w:sz w:val="20"/>
          <w:szCs w:val="20"/>
          <w:color w:val="auto"/>
        </w:rPr>
      </w:pPr>
    </w:p>
    <w:p>
      <w:pPr>
        <w:ind w:left="980" w:hanging="483"/>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launching commercial sales of such products, whether alone or in collaboration with others;</w:t>
      </w:r>
    </w:p>
    <w:p>
      <w:pPr>
        <w:spacing w:after="0" w:line="133" w:lineRule="exact"/>
        <w:rPr>
          <w:rFonts w:ascii="Arial" w:cs="Arial" w:eastAsia="Arial" w:hAnsi="Arial"/>
          <w:sz w:val="20"/>
          <w:szCs w:val="20"/>
          <w:color w:val="231F20"/>
        </w:rPr>
      </w:pPr>
    </w:p>
    <w:p>
      <w:pPr>
        <w:ind w:left="980" w:hanging="483"/>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receiving approved labels with claims that are necessary or desirable for successful marketing, and that do not contain safety or other limitations that would impede our ability to market such products;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creating market demand for such products through marketing, sales and promotion activities;</w:t>
      </w:r>
    </w:p>
    <w:p>
      <w:pPr>
        <w:spacing w:after="0" w:line="133" w:lineRule="exact"/>
        <w:rPr>
          <w:rFonts w:ascii="Arial" w:cs="Arial" w:eastAsia="Arial" w:hAnsi="Arial"/>
          <w:sz w:val="20"/>
          <w:szCs w:val="20"/>
          <w:color w:val="231F20"/>
        </w:rPr>
      </w:pPr>
    </w:p>
    <w:p>
      <w:pPr>
        <w:ind w:left="980" w:right="300" w:hanging="483"/>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hiring, training, and deploying a sales force or contracting with third parties to commercialize such products in the United States;</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440"/>
          </w:cols>
          <w:pgMar w:left="720" w:top="750" w:right="720" w:bottom="0" w:gutter="0" w:footer="0" w:header="0"/>
          <w:type w:val="continuous"/>
        </w:sectPr>
      </w:pPr>
    </w:p>
    <w:bookmarkStart w:id="41" w:name="page42"/>
    <w:bookmarkEnd w:id="41"/>
    <w:p>
      <w:pPr>
        <w:ind w:left="980" w:right="640" w:hanging="483"/>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creating strategic collaborations with, or offering licenses to, third parties to promote and sell such products in foreign markets where we receive marketing approval;</w:t>
      </w:r>
    </w:p>
    <w:p>
      <w:pPr>
        <w:spacing w:after="0" w:line="64" w:lineRule="exact"/>
        <w:rPr>
          <w:rFonts w:ascii="Arial" w:cs="Arial" w:eastAsia="Arial" w:hAnsi="Arial"/>
          <w:sz w:val="20"/>
          <w:szCs w:val="20"/>
          <w:color w:val="231F20"/>
        </w:rPr>
      </w:pPr>
    </w:p>
    <w:p>
      <w:pPr>
        <w:jc w:val="both"/>
        <w:ind w:left="980" w:right="240" w:hanging="483"/>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manufacturing such products (i) in sufficient quantities, (ii) at acceptable quality and cost and (iii) in a presentation that is practical and compatible with the intended clinical use to meet commercial demand at launch and thereafter;</w:t>
      </w:r>
    </w:p>
    <w:p>
      <w:pPr>
        <w:spacing w:after="0" w:line="64" w:lineRule="exact"/>
        <w:rPr>
          <w:rFonts w:ascii="Arial" w:cs="Arial" w:eastAsia="Arial" w:hAnsi="Arial"/>
          <w:sz w:val="20"/>
          <w:szCs w:val="20"/>
          <w:color w:val="231F20"/>
        </w:rPr>
      </w:pPr>
    </w:p>
    <w:p>
      <w:pPr>
        <w:ind w:left="980" w:right="560" w:hanging="483"/>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establishing and maintaining agreements with wholesalers, distributors, and group purchasing organizations on commercially reasonable terms;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maintaining patent and trade secret protection and regulatory exclusivity for such products;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achieving market acceptance of such products by patients, the medical community, and third-party payors;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achieving coverage and adequate reimbursement from third-party payors for such products;</w:t>
      </w:r>
    </w:p>
    <w:p>
      <w:pPr>
        <w:spacing w:after="0" w:line="133" w:lineRule="exact"/>
        <w:rPr>
          <w:rFonts w:ascii="Arial" w:cs="Arial" w:eastAsia="Arial" w:hAnsi="Arial"/>
          <w:sz w:val="20"/>
          <w:szCs w:val="20"/>
          <w:color w:val="231F20"/>
        </w:rPr>
      </w:pPr>
    </w:p>
    <w:p>
      <w:pPr>
        <w:ind w:left="980" w:right="240" w:hanging="483"/>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patients’ willingness to pay out-of-pocket in the absence of such coverage and adequate reimbursement from third-party payors;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effectively competing with other therapies;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maintaining a continued acceptable safety profile of such products following launch.</w:t>
      </w:r>
    </w:p>
    <w:p>
      <w:pPr>
        <w:spacing w:after="0" w:line="11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To the extent we are not able to do any of the foregoing, our business, financial condition, results of operations, stock price and prospects will be materially harmed.</w:t>
      </w:r>
    </w:p>
    <w:p>
      <w:pPr>
        <w:spacing w:after="0" w:line="16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face significant competition from other biotechnology and pharmaceutical companies, and our operating results will suffer if we fail to compete effectively.</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9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231F20"/>
        </w:rPr>
        <w:t>We compete in the segments of the biotechnology, pharmaceutical and other related industries that develop and market therapies for the treatment of Group 2 PH, Group 3 PH-ILD, and Hereditary Hemorrhagic Telangiectasia (“HHT”) disorders. Although there are no other companies who have commercialized therapies for Group 2 PH or HHT, there are many other companies, including large biotechnology and pharmaceutical companies, that are developing therapies for these therapeutic areas. For example, Merck and Tenax Therapeutics for the treatment of Group 2 PH and Diagonal Therapeutics, Atavistik, Terremoto, Vaderis Therapeutics and Alnylam Pharmaceuticals for the treatment of HHT. For PH-ILD, United Therapeutics and Liquidia have commercialized therapies, while Insmed, Gossamar, Pulmovant, Halo Biosciences and Foresee Pharmaceuticals are developing therapies for PH-ILD. In addition, in January 2025, Eli Lilly terminated its Phase 2 trial of volenrelaxin, and in February 2026 AstraZenca announced its Phase 2 clinical trial with AZD3427 for Group 2 PH was discontinued due to efficacy, which has affected investor perception of relaxin product candidates in general.</w:t>
      </w:r>
    </w:p>
    <w:p>
      <w:pPr>
        <w:spacing w:after="0" w:line="19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231F20"/>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ectPr>
          <w:pgSz w:w="11880" w:h="15480" w:orient="portrait"/>
          <w:cols w:equalWidth="0" w:num="1">
            <w:col w:w="10440"/>
          </w:cols>
          <w:pgMar w:left="720" w:top="764" w:right="720" w:bottom="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440"/>
          </w:cols>
          <w:pgMar w:left="720" w:top="764" w:right="720" w:bottom="0" w:gutter="0" w:footer="0" w:header="0"/>
          <w:type w:val="continuous"/>
        </w:sectPr>
      </w:pPr>
    </w:p>
    <w:bookmarkStart w:id="42" w:name="page43"/>
    <w:bookmarkEnd w:id="42"/>
    <w:p>
      <w:pPr>
        <w:jc w:val="both"/>
        <w:ind w:right="7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100" w:lineRule="exact"/>
        <w:rPr>
          <w:sz w:val="20"/>
          <w:szCs w:val="20"/>
          <w:color w:val="auto"/>
        </w:rPr>
      </w:pPr>
    </w:p>
    <w:p>
      <w:pPr>
        <w:ind w:left="980" w:hanging="483"/>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recruit, train and retain adequate numbers of effective sales and marketing personnel;</w:t>
      </w:r>
    </w:p>
    <w:p>
      <w:pPr>
        <w:spacing w:after="0" w:line="133" w:lineRule="exact"/>
        <w:rPr>
          <w:rFonts w:ascii="Arial" w:cs="Arial" w:eastAsia="Arial" w:hAnsi="Arial"/>
          <w:sz w:val="20"/>
          <w:szCs w:val="20"/>
          <w:color w:val="231F20"/>
        </w:rPr>
      </w:pPr>
    </w:p>
    <w:p>
      <w:pPr>
        <w:ind w:left="980" w:right="220" w:hanging="483"/>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inability of sales personnel to obtain access to or educate adequate numbers of physicians on the benefits of our products;</w:t>
      </w:r>
    </w:p>
    <w:p>
      <w:pPr>
        <w:spacing w:after="0" w:line="64" w:lineRule="exact"/>
        <w:rPr>
          <w:rFonts w:ascii="Arial" w:cs="Arial" w:eastAsia="Arial" w:hAnsi="Arial"/>
          <w:sz w:val="20"/>
          <w:szCs w:val="20"/>
          <w:color w:val="231F20"/>
        </w:rPr>
      </w:pPr>
    </w:p>
    <w:p>
      <w:pPr>
        <w:ind w:left="980" w:right="20" w:hanging="483"/>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lack of complementary products to be offered by sales personnel, which may put us at a competitive disadvantage relative to companies with more extensive product lines;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unforeseen costs and expenses associated with creating an independent sales and marketing organization;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of marketing and promotion above those anticipated by us.</w:t>
      </w:r>
    </w:p>
    <w:p>
      <w:pPr>
        <w:spacing w:after="0" w:line="11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231F20"/>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84"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0"/>
          <w:szCs w:val="20"/>
          <w:color w:val="231F20"/>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8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0"/>
          <w:szCs w:val="20"/>
          <w:b w:val="1"/>
          <w:bCs w:val="1"/>
          <w:i w:val="1"/>
          <w:iCs w:val="1"/>
          <w:color w:val="231F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231F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93" w:lineRule="exact"/>
        <w:rPr>
          <w:sz w:val="20"/>
          <w:szCs w:val="20"/>
          <w:color w:val="auto"/>
        </w:rPr>
      </w:pPr>
    </w:p>
    <w:p>
      <w:pPr>
        <w:ind w:left="980" w:hanging="483"/>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the clinical indications for which our product candidates are approved;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physicians, hospitals and patients considering our product candidates as a safe and effective treatment;</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and perceived advantages of our product candidates over alternative treatments;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prevalence and severity of any side effects;</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420"/>
          </w:cols>
          <w:pgMar w:left="720" w:top="750" w:right="740" w:bottom="0" w:gutter="0" w:footer="0" w:header="0"/>
          <w:type w:val="continuous"/>
        </w:sectPr>
      </w:pPr>
    </w:p>
    <w:bookmarkStart w:id="43" w:name="page44"/>
    <w:bookmarkEnd w:id="43"/>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labeling or product insert requirements of the FDA or comparable foreign regulatory authorities;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or warnings contained in the labeling approved by the FDA or comparable foreign regulatory authorities;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of market introduction of our product candidates in relation to other potentially competitive products;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our product candidates in relation to alternative treatments;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upfront costs or training required for physicians to administer our product candidates;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coverage and adequate reimbursement from third-party payors and government authorities;</w:t>
      </w:r>
    </w:p>
    <w:p>
      <w:pPr>
        <w:spacing w:after="0" w:line="133" w:lineRule="exact"/>
        <w:rPr>
          <w:rFonts w:ascii="Arial" w:cs="Arial" w:eastAsia="Arial" w:hAnsi="Arial"/>
          <w:sz w:val="20"/>
          <w:szCs w:val="20"/>
          <w:color w:val="231F20"/>
        </w:rPr>
      </w:pPr>
    </w:p>
    <w:p>
      <w:pPr>
        <w:ind w:left="980" w:right="380" w:hanging="483"/>
        <w:spacing w:after="0" w:line="276" w:lineRule="auto"/>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willingness of patients to pay out-of-pocket in the absence of comprehensive coverage and reimbursement by third-party payors and government authorities;</w:t>
      </w:r>
    </w:p>
    <w:p>
      <w:pPr>
        <w:spacing w:after="0" w:line="64" w:lineRule="exact"/>
        <w:rPr>
          <w:rFonts w:ascii="Arial" w:cs="Arial" w:eastAsia="Arial" w:hAnsi="Arial"/>
          <w:sz w:val="20"/>
          <w:szCs w:val="20"/>
          <w:color w:val="231F20"/>
        </w:rPr>
      </w:pPr>
    </w:p>
    <w:p>
      <w:pPr>
        <w:ind w:left="980" w:right="100" w:hanging="483"/>
        <w:spacing w:after="0" w:line="276" w:lineRule="auto"/>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relative convenience and ease of administration, including as compared to alternative treatments and competitive therapies;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our sales and marketing efforts and distribution support;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presence or perceived risk of potential product liability claims.</w:t>
      </w:r>
    </w:p>
    <w:p>
      <w:pPr>
        <w:spacing w:after="0" w:line="234"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20"/>
          <w:szCs w:val="20"/>
          <w:b w:val="1"/>
          <w:bCs w:val="1"/>
          <w:i w:val="1"/>
          <w:iCs w:val="1"/>
          <w:color w:val="231F20"/>
        </w:rPr>
        <w:t>Healthcare reform may negatively impact our ability to profitably sell TX45, TX2100 and any potential future product candidates, if approved.</w:t>
      </w:r>
    </w:p>
    <w:p>
      <w:pPr>
        <w:spacing w:after="0" w:line="4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TX2100 or any potential future product candidates, restrict or regulate post-approval activities and affect our ability to profitably sell any product for which we obtain marketing approval.</w:t>
      </w:r>
    </w:p>
    <w:p>
      <w:pPr>
        <w:spacing w:after="0" w:line="7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231F20"/>
        </w:rPr>
        <w:t>In March 2010, the Patient Protection and Affordable Care Act, as amended by the Health Care and Education Reconciliation Act (collectively,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8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231F20"/>
        </w:rPr>
        <w:t>The current administration is pursuing policies to reduce regulations and expenditures across government agencies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ectPr>
          <w:pgSz w:w="11880" w:h="15480" w:orient="portrait"/>
          <w:cols w:equalWidth="0" w:num="1">
            <w:col w:w="10420"/>
          </w:cols>
          <w:pgMar w:left="720" w:top="764" w:right="7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420"/>
          </w:cols>
          <w:pgMar w:left="720" w:top="764" w:right="740" w:bottom="0" w:gutter="0" w:footer="0" w:header="0"/>
          <w:type w:val="continuous"/>
        </w:sectPr>
      </w:pPr>
    </w:p>
    <w:bookmarkStart w:id="44" w:name="page45"/>
    <w:bookmarkEnd w:id="44"/>
    <w:p>
      <w:pPr>
        <w:ind w:right="660"/>
        <w:spacing w:after="0" w:line="258" w:lineRule="auto"/>
        <w:rPr>
          <w:sz w:val="20"/>
          <w:szCs w:val="20"/>
          <w:color w:val="auto"/>
        </w:rPr>
      </w:pPr>
      <w:r>
        <w:rPr>
          <w:rFonts w:ascii="Times New Roman" w:cs="Times New Roman" w:eastAsia="Times New Roman" w:hAnsi="Times New Roman"/>
          <w:sz w:val="20"/>
          <w:szCs w:val="20"/>
          <w:color w:val="231F20"/>
        </w:rPr>
        <w:t>Such reforms could have an adverse effect on anticipated revenue from TX45, TX2100 and any potential future product candidates that we may successfully develop and for which we may obtain regulatory approval and may affect our overall financial condition and ability to develop product candidates.</w:t>
      </w:r>
    </w:p>
    <w:p>
      <w:pPr>
        <w:spacing w:after="0" w:line="6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231F20"/>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the EU, Regulation (EU) 2021/2282 on Health Technology Assessment, entered into application on January 12, 2025, through a phrased implementation. The Regulation intended to increase cooperation among EU Member States in assessing clinical aspects of health technologies, including new medicinal products. The Regulation establishes a framework for joint clinical assessments, joint scientific consultations, and the early identification of emerging health technologies. The Regulation permits EU member states to use common HTA tools, methodologies and procedures and requires them to rely on EU</w:t>
      </w:r>
      <w:r>
        <w:rPr>
          <w:rFonts w:ascii="Arial" w:cs="Arial" w:eastAsia="Arial" w:hAnsi="Arial"/>
          <w:sz w:val="19"/>
          <w:szCs w:val="19"/>
          <w:color w:val="231F20"/>
        </w:rPr>
        <w:t>̻</w:t>
      </w:r>
      <w:r>
        <w:rPr>
          <w:rFonts w:ascii="Times New Roman" w:cs="Times New Roman" w:eastAsia="Times New Roman" w:hAnsi="Times New Roman"/>
          <w:sz w:val="19"/>
          <w:szCs w:val="19"/>
          <w:color w:val="231F20"/>
        </w:rPr>
        <w:t>level joint clinical assessment reports for the clinical components of their national HTA evaluations. Each EU member state will, however, remain exclusively competent for assessing non</w:t>
      </w:r>
      <w:r>
        <w:rPr>
          <w:rFonts w:ascii="Arial" w:cs="Arial" w:eastAsia="Arial" w:hAnsi="Arial"/>
          <w:sz w:val="19"/>
          <w:szCs w:val="19"/>
          <w:color w:val="231F20"/>
        </w:rPr>
        <w:t>̻</w:t>
      </w:r>
      <w:r>
        <w:rPr>
          <w:rFonts w:ascii="Times New Roman" w:cs="Times New Roman" w:eastAsia="Times New Roman" w:hAnsi="Times New Roman"/>
          <w:sz w:val="19"/>
          <w:szCs w:val="19"/>
          <w:color w:val="231F20"/>
        </w:rPr>
        <w:t>clinical aspects, such as economic, ethical, and social considerations, and for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continues or occurs in the future,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420"/>
          </w:cols>
          <w:pgMar w:left="720" w:top="750" w:right="740" w:bottom="0" w:gutter="0" w:footer="0" w:header="0"/>
          <w:type w:val="continuous"/>
        </w:sectPr>
      </w:pPr>
    </w:p>
    <w:bookmarkStart w:id="45" w:name="page46"/>
    <w:bookmarkEnd w:id="45"/>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7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94" w:lineRule="exact"/>
        <w:rPr>
          <w:sz w:val="20"/>
          <w:szCs w:val="20"/>
          <w:color w:val="auto"/>
        </w:rPr>
      </w:pPr>
    </w:p>
    <w:p>
      <w:pPr>
        <w:ind w:left="980" w:right="140" w:hanging="483"/>
        <w:spacing w:after="0" w:line="243"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102" w:lineRule="exact"/>
        <w:rPr>
          <w:rFonts w:ascii="Arial" w:cs="Arial" w:eastAsia="Arial" w:hAnsi="Arial"/>
          <w:sz w:val="20"/>
          <w:szCs w:val="20"/>
          <w:color w:val="231F20"/>
        </w:rPr>
      </w:pPr>
    </w:p>
    <w:p>
      <w:pPr>
        <w:ind w:left="980" w:right="80" w:hanging="483"/>
        <w:spacing w:after="0" w:line="24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3" w:lineRule="exact"/>
        <w:rPr>
          <w:rFonts w:ascii="Arial" w:cs="Arial" w:eastAsia="Arial" w:hAnsi="Arial"/>
          <w:sz w:val="20"/>
          <w:szCs w:val="20"/>
          <w:color w:val="231F20"/>
        </w:rPr>
      </w:pPr>
    </w:p>
    <w:p>
      <w:pPr>
        <w:ind w:left="980" w:right="240" w:hanging="483"/>
        <w:spacing w:after="0" w:line="247"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20"/>
          <w:szCs w:val="20"/>
          <w:color w:val="231F20"/>
        </w:rPr>
      </w:pPr>
    </w:p>
    <w:p>
      <w:pPr>
        <w:ind w:left="980" w:right="40" w:hanging="483"/>
        <w:spacing w:after="0" w:line="243"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9" w:lineRule="exact"/>
        <w:rPr>
          <w:rFonts w:ascii="Arial" w:cs="Arial" w:eastAsia="Arial" w:hAnsi="Arial"/>
          <w:sz w:val="20"/>
          <w:szCs w:val="20"/>
          <w:color w:val="231F20"/>
        </w:rPr>
      </w:pPr>
    </w:p>
    <w:p>
      <w:pPr>
        <w:ind w:left="980" w:right="80" w:hanging="483"/>
        <w:spacing w:after="0" w:line="24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3" w:lineRule="exact"/>
        <w:rPr>
          <w:rFonts w:ascii="Arial" w:cs="Arial" w:eastAsia="Arial" w:hAnsi="Arial"/>
          <w:sz w:val="20"/>
          <w:szCs w:val="20"/>
          <w:color w:val="231F20"/>
        </w:rPr>
      </w:pPr>
    </w:p>
    <w:p>
      <w:pPr>
        <w:ind w:left="980" w:hanging="483"/>
        <w:spacing w:after="0" w:line="27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analogous state and foreign laws and regulations, such as state and foreign anti-kickback and false claims laws, which may apply to sales or marketing arrangements and claims involving healthcare items or services reimbursed by non-</w:t>
      </w:r>
    </w:p>
    <w:p>
      <w:pPr>
        <w:sectPr>
          <w:pgSz w:w="11880" w:h="15480" w:orient="portrait"/>
          <w:cols w:equalWidth="0" w:num="1">
            <w:col w:w="10420"/>
          </w:cols>
          <w:pgMar w:left="720" w:top="750" w:right="740" w:bottom="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420"/>
          </w:cols>
          <w:pgMar w:left="720" w:top="750" w:right="740" w:bottom="0" w:gutter="0" w:footer="0" w:header="0"/>
          <w:type w:val="continuous"/>
        </w:sectPr>
      </w:pPr>
    </w:p>
    <w:bookmarkStart w:id="46" w:name="page47"/>
    <w:bookmarkEnd w:id="46"/>
    <w:p>
      <w:pPr>
        <w:ind w:left="980"/>
        <w:spacing w:after="0" w:line="244" w:lineRule="auto"/>
        <w:rPr>
          <w:sz w:val="20"/>
          <w:szCs w:val="20"/>
          <w:color w:val="auto"/>
        </w:rPr>
      </w:pPr>
      <w:r>
        <w:rPr>
          <w:rFonts w:ascii="Times New Roman" w:cs="Times New Roman" w:eastAsia="Times New Roman" w:hAnsi="Times New Roman"/>
          <w:sz w:val="20"/>
          <w:szCs w:val="20"/>
          <w:color w:val="231F20"/>
        </w:rPr>
        <w:t>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8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8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could be materially and adversely affected in the future by political unrest in China.</w:t>
      </w:r>
    </w:p>
    <w:p>
      <w:pPr>
        <w:spacing w:after="0" w:line="12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We are exposed to the possibility of product supply disruption and increased costs in the event of changes in the policies, laws, rules and regulations of the United States or Chinese governments, as well as political unrest or unstable economic conditions in China,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w:t>
      </w:r>
    </w:p>
    <w:p>
      <w:pPr>
        <w:spacing w:after="0" w:line="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231F20"/>
        </w:rPr>
        <w:t>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The BIOSECURE Act, and any other similar laws that may be passed, could severely restrict the ability of companies to work with certain Chinese biotechnology companies of concern without losing the ability to contract with, or otherwise receive funding</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440"/>
          </w:cols>
          <w:pgMar w:left="720" w:top="750" w:right="720" w:bottom="0" w:gutter="0" w:footer="0" w:header="0"/>
          <w:type w:val="continuous"/>
        </w:sectPr>
      </w:pPr>
    </w:p>
    <w:bookmarkStart w:id="47" w:name="page48"/>
    <w:bookmarkEnd w:id="47"/>
    <w:p>
      <w:pPr>
        <w:ind w:right="380"/>
        <w:spacing w:after="0" w:line="277" w:lineRule="auto"/>
        <w:rPr>
          <w:sz w:val="20"/>
          <w:szCs w:val="20"/>
          <w:color w:val="auto"/>
        </w:rPr>
      </w:pPr>
      <w:r>
        <w:rPr>
          <w:rFonts w:ascii="Times New Roman" w:cs="Times New Roman" w:eastAsia="Times New Roman" w:hAnsi="Times New Roman"/>
          <w:sz w:val="20"/>
          <w:szCs w:val="20"/>
          <w:color w:val="231F20"/>
        </w:rPr>
        <w:t>from, the U.S. government. Such disruption could have adverse effects on the development of our product candidates and our business operations.</w:t>
      </w:r>
    </w:p>
    <w:p>
      <w:pPr>
        <w:spacing w:after="0" w:line="159"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International trade policies, including tariffs, sanctions and trade barriers may adversely affect our business, financial condition, results of operations and prospects.</w:t>
      </w:r>
    </w:p>
    <w:p>
      <w:pPr>
        <w:spacing w:after="0" w:line="4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8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Phase 2 clinical trials. We currently have a sole source relationship with WuXi Biologics for our supply of TX45.</w:t>
      </w:r>
    </w:p>
    <w:p>
      <w:pPr>
        <w:spacing w:after="0" w:line="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8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231F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20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231F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spacing w:after="0" w:line="19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4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440"/>
          </w:cols>
          <w:pgMar w:left="720" w:top="750" w:right="720" w:bottom="0" w:gutter="0" w:footer="0" w:header="0"/>
          <w:type w:val="continuous"/>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20"/>
          <w:szCs w:val="20"/>
          <w:color w:val="231F20"/>
        </w:rPr>
        <w:t>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8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spacing w:after="0" w:line="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9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expectations or the treatment population is narrowed by competition, physician choice or treatment guidelines, we may not generate significant revenue from sales of such products, even if approved.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Even if we obtain approval to market TX45, TX2100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8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420"/>
          </w:cols>
          <w:pgMar w:left="720" w:top="750" w:right="740" w:bottom="0" w:gutter="0" w:footer="0" w:header="0"/>
          <w:type w:val="continuous"/>
        </w:sectPr>
      </w:pPr>
    </w:p>
    <w:bookmarkStart w:id="49" w:name="page50"/>
    <w:bookmarkEnd w:id="49"/>
    <w:p>
      <w:pPr>
        <w:spacing w:after="0" w:line="242" w:lineRule="auto"/>
        <w:rPr>
          <w:sz w:val="20"/>
          <w:szCs w:val="20"/>
          <w:color w:val="auto"/>
        </w:rPr>
      </w:pPr>
      <w:r>
        <w:rPr>
          <w:rFonts w:ascii="Times New Roman" w:cs="Times New Roman" w:eastAsia="Times New Roman" w:hAnsi="Times New Roman"/>
          <w:sz w:val="20"/>
          <w:szCs w:val="20"/>
          <w:color w:val="231F20"/>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244"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success depends in part on our ability to protect our intellectual property. It is difficult and costly to protect our proprietary rights and technology, and we may not be able to ensure their protection.</w:t>
      </w:r>
    </w:p>
    <w:p>
      <w:pPr>
        <w:spacing w:after="0" w:line="4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231F20"/>
        </w:rPr>
        <w:t>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w:t>
      </w:r>
    </w:p>
    <w:p>
      <w:pPr>
        <w:spacing w:after="0" w:line="9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8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231F20"/>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w:t>
      </w:r>
    </w:p>
    <w:p>
      <w:pPr>
        <w:sectPr>
          <w:pgSz w:w="11880" w:h="15480" w:orient="portrait"/>
          <w:cols w:equalWidth="0" w:num="1">
            <w:col w:w="10420"/>
          </w:cols>
          <w:pgMar w:left="720" w:top="750" w:right="740"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420"/>
          </w:cols>
          <w:pgMar w:left="720" w:top="750" w:right="740" w:bottom="0" w:gutter="0" w:footer="0" w:header="0"/>
          <w:type w:val="continuous"/>
        </w:sectPr>
      </w:pPr>
    </w:p>
    <w:bookmarkStart w:id="50" w:name="page51"/>
    <w:bookmarkEnd w:id="50"/>
    <w:p>
      <w:pPr>
        <w:spacing w:after="0" w:line="245" w:lineRule="auto"/>
        <w:rPr>
          <w:sz w:val="20"/>
          <w:szCs w:val="20"/>
          <w:color w:val="auto"/>
        </w:rPr>
      </w:pPr>
      <w:r>
        <w:rPr>
          <w:rFonts w:ascii="Times New Roman" w:cs="Times New Roman" w:eastAsia="Times New Roman" w:hAnsi="Times New Roman"/>
          <w:sz w:val="20"/>
          <w:szCs w:val="20"/>
          <w:color w:val="231F20"/>
        </w:rPr>
        <w:t>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our patents that cover our products.</w:t>
      </w:r>
    </w:p>
    <w:p>
      <w:pPr>
        <w:spacing w:after="0" w:line="8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the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0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231F20"/>
        </w:rPr>
        <w:t>The degree of future protection for our proprietary rights is uncertain because legal means afford only limited protection and may not adequately protect our rights or permit us to gain or keep our competitive advantage. For example:</w:t>
      </w:r>
    </w:p>
    <w:p>
      <w:pPr>
        <w:spacing w:after="0" w:line="64" w:lineRule="exact"/>
        <w:rPr>
          <w:sz w:val="20"/>
          <w:szCs w:val="20"/>
          <w:color w:val="auto"/>
        </w:rPr>
      </w:pPr>
    </w:p>
    <w:p>
      <w:pPr>
        <w:ind w:left="980" w:right="18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make or use compounds or cells that are similar to the biological compositions of our product candidates but that are not covered by the claims of our patents;</w:t>
      </w:r>
    </w:p>
    <w:p>
      <w:pPr>
        <w:spacing w:after="0" w:line="64" w:lineRule="exact"/>
        <w:rPr>
          <w:rFonts w:ascii="Arial" w:cs="Arial" w:eastAsia="Arial" w:hAnsi="Arial"/>
          <w:sz w:val="20"/>
          <w:szCs w:val="20"/>
          <w:color w:val="231F20"/>
        </w:rPr>
      </w:pPr>
    </w:p>
    <w:p>
      <w:pPr>
        <w:ind w:left="980" w:right="14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active biological ingredients in our current product candidates will eventually become commercially available in biosimilar drug products, and no patent protection may be available with regard to formulation or method of use;</w:t>
      </w:r>
    </w:p>
    <w:p>
      <w:pPr>
        <w:spacing w:after="0" w:line="64" w:lineRule="exact"/>
        <w:rPr>
          <w:rFonts w:ascii="Arial" w:cs="Arial" w:eastAsia="Arial" w:hAnsi="Arial"/>
          <w:sz w:val="20"/>
          <w:szCs w:val="20"/>
          <w:color w:val="231F20"/>
        </w:rPr>
      </w:pPr>
    </w:p>
    <w:p>
      <w:pPr>
        <w:ind w:left="980" w:right="8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as the case may be, may fail to meet our obligations to the U.S. government in regards to any in-licensed patents and patent applications funded by U.S. government grants, leading to the loss of patent rights;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licensors, as the case may be, might not have been the first to file patent applications for these inventions;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independently develop similar or alternative technologies or duplicate any of our technologies;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our pending patent applications will not result in issued patents;</w:t>
      </w:r>
    </w:p>
    <w:p>
      <w:pPr>
        <w:spacing w:after="0" w:line="133" w:lineRule="exact"/>
        <w:rPr>
          <w:rFonts w:ascii="Arial" w:cs="Arial" w:eastAsia="Arial" w:hAnsi="Arial"/>
          <w:sz w:val="20"/>
          <w:szCs w:val="20"/>
          <w:color w:val="231F20"/>
        </w:rPr>
      </w:pPr>
    </w:p>
    <w:p>
      <w:pPr>
        <w:ind w:left="980" w:right="12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there are prior public disclosures that could invalidate our licensors’ patents, as the case may be, or parts of our or their patents;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others may circumvent our owned or in-licensed patents;</w:t>
      </w:r>
    </w:p>
    <w:p>
      <w:pPr>
        <w:spacing w:after="0" w:line="133" w:lineRule="exact"/>
        <w:rPr>
          <w:rFonts w:ascii="Arial" w:cs="Arial" w:eastAsia="Arial" w:hAnsi="Arial"/>
          <w:sz w:val="20"/>
          <w:szCs w:val="20"/>
          <w:color w:val="231F20"/>
        </w:rPr>
      </w:pPr>
    </w:p>
    <w:p>
      <w:pPr>
        <w:ind w:left="980" w:right="12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there are unpublished applications or patent applications maintained in secrecy that may later issue with claims covering our products or technology similar to our own;</w:t>
      </w:r>
    </w:p>
    <w:p>
      <w:pPr>
        <w:spacing w:after="0" w:line="64" w:lineRule="exact"/>
        <w:rPr>
          <w:rFonts w:ascii="Arial" w:cs="Arial" w:eastAsia="Arial" w:hAnsi="Arial"/>
          <w:sz w:val="20"/>
          <w:szCs w:val="20"/>
          <w:color w:val="231F20"/>
        </w:rPr>
      </w:pPr>
    </w:p>
    <w:p>
      <w:pPr>
        <w:ind w:left="980" w:right="12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laws of foreign countries may not protect our or our licensors’, as the case may be, proprietary rights to the same extent as the laws of the United States;</w:t>
      </w:r>
    </w:p>
    <w:p>
      <w:pPr>
        <w:spacing w:after="0" w:line="64" w:lineRule="exact"/>
        <w:rPr>
          <w:rFonts w:ascii="Arial" w:cs="Arial" w:eastAsia="Arial" w:hAnsi="Arial"/>
          <w:sz w:val="20"/>
          <w:szCs w:val="20"/>
          <w:color w:val="231F20"/>
        </w:rPr>
      </w:pPr>
    </w:p>
    <w:p>
      <w:pPr>
        <w:ind w:left="980" w:right="26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claims of our owned or in-licensed issued patents or patent applications, if and when issued, may not cover our product candidates;</w:t>
      </w:r>
    </w:p>
    <w:p>
      <w:pPr>
        <w:spacing w:after="0" w:line="64" w:lineRule="exact"/>
        <w:rPr>
          <w:rFonts w:ascii="Arial" w:cs="Arial" w:eastAsia="Arial" w:hAnsi="Arial"/>
          <w:sz w:val="20"/>
          <w:szCs w:val="20"/>
          <w:color w:val="231F20"/>
        </w:rPr>
      </w:pPr>
    </w:p>
    <w:p>
      <w:pPr>
        <w:ind w:left="980" w:right="320" w:hanging="483"/>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our owned or in-licensed issued patents may not provide us with any competitive advantages, may be narrowed in scope, or be held invalid or unenforceable as a result of legal challenges by third parties;</w:t>
      </w:r>
    </w:p>
    <w:p>
      <w:pPr>
        <w:sectPr>
          <w:pgSz w:w="11880" w:h="15480" w:orient="portrait"/>
          <w:cols w:equalWidth="0" w:num="1">
            <w:col w:w="10420"/>
          </w:cols>
          <w:pgMar w:left="720" w:top="750" w:right="740" w:bottom="0"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420"/>
          </w:cols>
          <w:pgMar w:left="720" w:top="750" w:right="740" w:bottom="0" w:gutter="0" w:footer="0" w:header="0"/>
          <w:type w:val="continuous"/>
        </w:sectPr>
      </w:pPr>
    </w:p>
    <w:bookmarkStart w:id="51" w:name="page52"/>
    <w:bookmarkEnd w:id="51"/>
    <w:p>
      <w:pPr>
        <w:jc w:val="both"/>
        <w:ind w:left="980" w:right="500" w:hanging="483"/>
        <w:spacing w:after="0" w:line="258"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1" w:lineRule="exact"/>
        <w:rPr>
          <w:rFonts w:ascii="Arial" w:cs="Arial" w:eastAsia="Arial" w:hAnsi="Arial"/>
          <w:sz w:val="20"/>
          <w:szCs w:val="20"/>
          <w:color w:val="231F20"/>
        </w:rPr>
      </w:pPr>
    </w:p>
    <w:p>
      <w:pPr>
        <w:ind w:left="980" w:right="160" w:hanging="483"/>
        <w:spacing w:after="0" w:line="258"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Arial" w:cs="Arial" w:eastAsia="Arial" w:hAnsi="Arial"/>
          <w:sz w:val="20"/>
          <w:szCs w:val="20"/>
          <w:color w:val="231F20"/>
        </w:rPr>
      </w:pPr>
    </w:p>
    <w:p>
      <w:pPr>
        <w:ind w:left="980" w:right="240" w:hanging="483"/>
        <w:spacing w:after="0" w:line="276"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engaged in scientific collaborations in the past, and will continue to do so in the future. Such collaborators may develop adjacent or competing products to ours that are outside the scope of our patents;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additional proprietary technologies for which we can obtain patent protection;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product candidates we develop may be covered by third parties’ patents or other exclusive rights; or</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of others may have an adverse effect on our business.</w:t>
      </w:r>
    </w:p>
    <w:p>
      <w:pPr>
        <w:spacing w:after="0" w:line="23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Disputes may also arise between us and our licensors regarding intellectual property subject to a license agreement, including:</w:t>
      </w:r>
    </w:p>
    <w:p>
      <w:pPr>
        <w:spacing w:after="0" w:line="134" w:lineRule="exact"/>
        <w:rPr>
          <w:sz w:val="20"/>
          <w:szCs w:val="20"/>
          <w:color w:val="auto"/>
        </w:rPr>
      </w:pPr>
    </w:p>
    <w:p>
      <w:pPr>
        <w:ind w:left="980" w:right="60" w:hanging="483"/>
        <w:spacing w:after="0" w:line="258"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81" w:lineRule="exact"/>
        <w:rPr>
          <w:rFonts w:ascii="Arial" w:cs="Arial" w:eastAsia="Arial" w:hAnsi="Arial"/>
          <w:sz w:val="20"/>
          <w:szCs w:val="20"/>
          <w:color w:val="231F20"/>
        </w:rPr>
      </w:pPr>
    </w:p>
    <w:p>
      <w:pPr>
        <w:ind w:left="980" w:hanging="483"/>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right to sublicense patent and other rights to third parties under collaborative development relationships;</w:t>
      </w:r>
    </w:p>
    <w:p>
      <w:pPr>
        <w:spacing w:after="0" w:line="133" w:lineRule="exact"/>
        <w:rPr>
          <w:rFonts w:ascii="Arial" w:cs="Arial" w:eastAsia="Arial" w:hAnsi="Arial"/>
          <w:sz w:val="20"/>
          <w:szCs w:val="20"/>
          <w:color w:val="231F20"/>
        </w:rPr>
      </w:pPr>
    </w:p>
    <w:p>
      <w:pPr>
        <w:ind w:left="980" w:right="660" w:hanging="483"/>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diligence obligations with respect to the use of the licensed technology in relation to our development and commercialization of our product candidates, and what activities satisfy those diligence obligations; and</w:t>
      </w:r>
    </w:p>
    <w:p>
      <w:pPr>
        <w:spacing w:after="0" w:line="64" w:lineRule="exact"/>
        <w:rPr>
          <w:rFonts w:ascii="Arial" w:cs="Arial" w:eastAsia="Arial" w:hAnsi="Arial"/>
          <w:sz w:val="20"/>
          <w:szCs w:val="20"/>
          <w:color w:val="231F20"/>
        </w:rPr>
      </w:pPr>
    </w:p>
    <w:p>
      <w:pPr>
        <w:ind w:left="980" w:right="440" w:hanging="483"/>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inventorship or ownership of inventions and know-how resulting from the joint creation or use of intellectual property by our licensors and us and our partners.</w:t>
      </w:r>
    </w:p>
    <w:p>
      <w:pPr>
        <w:spacing w:after="0" w:line="5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206"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our obligations under our patent licenses with a third party, we could lose license rights that are important to our business.</w:t>
      </w:r>
    </w:p>
    <w:p>
      <w:pPr>
        <w:spacing w:after="0" w:line="4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are a party to license agreements pursuant to which we in-license key patents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ectPr>
          <w:pgSz w:w="11880" w:h="15480" w:orient="portrait"/>
          <w:cols w:equalWidth="0" w:num="1">
            <w:col w:w="10440"/>
          </w:cols>
          <w:pgMar w:left="720" w:top="76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440"/>
          </w:cols>
          <w:pgMar w:left="720" w:top="764" w:right="720" w:bottom="0" w:gutter="0" w:footer="0" w:header="0"/>
          <w:type w:val="continuous"/>
        </w:sectPr>
      </w:pPr>
    </w:p>
    <w:bookmarkStart w:id="52" w:name="page53"/>
    <w:bookmarkEnd w:id="52"/>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proprietary information, our business and competitive position would be harmed.</w:t>
      </w:r>
    </w:p>
    <w:p>
      <w:pPr>
        <w:spacing w:after="0" w:line="4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231F20"/>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8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31F20"/>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 including through contractual means with our employees and consultants, third parties may independently develop substantially equivalent proprietary information or otherwise gain access to, or disclose, our technology.</w:t>
      </w:r>
    </w:p>
    <w:p>
      <w:pPr>
        <w:spacing w:after="0" w:line="7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Third-party claims of intellectual property infringement may prevent or delay our product discovery and development efforts.</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9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231F20"/>
        </w:rPr>
        <w:t>If a third-party claims that we infringe its intellectual property rights, we may face a number of issues, including, but not limited to:</w:t>
      </w:r>
    </w:p>
    <w:p>
      <w:pPr>
        <w:spacing w:after="0" w:line="64" w:lineRule="exact"/>
        <w:rPr>
          <w:sz w:val="20"/>
          <w:szCs w:val="20"/>
          <w:color w:val="auto"/>
        </w:rPr>
      </w:pPr>
    </w:p>
    <w:p>
      <w:pPr>
        <w:ind w:left="980" w:hanging="483"/>
        <w:spacing w:after="0" w:line="276" w:lineRule="auto"/>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infringement and other intellectual property claims which, regardless of merit, may be expensive and time-consuming to litigate and may divert our management’s attention from our core business;</w:t>
      </w:r>
    </w:p>
    <w:p>
      <w:pPr>
        <w:spacing w:after="0" w:line="64" w:lineRule="exact"/>
        <w:rPr>
          <w:rFonts w:ascii="Arial" w:cs="Arial" w:eastAsia="Arial" w:hAnsi="Arial"/>
          <w:sz w:val="20"/>
          <w:szCs w:val="20"/>
          <w:color w:val="231F20"/>
        </w:rPr>
      </w:pPr>
    </w:p>
    <w:p>
      <w:pPr>
        <w:ind w:left="980" w:right="260" w:hanging="483"/>
        <w:spacing w:after="0" w:line="258" w:lineRule="auto"/>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420"/>
          </w:cols>
          <w:pgMar w:left="720" w:top="750" w:right="740" w:bottom="0" w:gutter="0" w:footer="0" w:header="0"/>
          <w:type w:val="continuous"/>
        </w:sectPr>
      </w:pPr>
    </w:p>
    <w:bookmarkStart w:id="53" w:name="page54"/>
    <w:bookmarkEnd w:id="53"/>
    <w:p>
      <w:pPr>
        <w:ind w:left="980" w:right="300" w:hanging="483"/>
        <w:spacing w:after="0" w:line="258"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a court prohibiting us from developing, manufacturing, marketing or selling our product candidates, or from using our proprietary technologies, unless the third party licenses its intellectual property rights to us, which it is not required to do;</w:t>
      </w:r>
    </w:p>
    <w:p>
      <w:pPr>
        <w:spacing w:after="0" w:line="81" w:lineRule="exact"/>
        <w:rPr>
          <w:rFonts w:ascii="Arial" w:cs="Arial" w:eastAsia="Arial" w:hAnsi="Arial"/>
          <w:sz w:val="20"/>
          <w:szCs w:val="20"/>
          <w:color w:val="231F20"/>
        </w:rPr>
      </w:pPr>
    </w:p>
    <w:p>
      <w:pPr>
        <w:ind w:left="980" w:right="160" w:hanging="483"/>
        <w:spacing w:after="0" w:line="276"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if a license is available from a third party, we may have to pay substantial royalties, upfront fees and other amounts, and/or grant cross-licenses to intellectual property rights for its products;</w:t>
      </w:r>
    </w:p>
    <w:p>
      <w:pPr>
        <w:spacing w:after="0" w:line="64" w:lineRule="exact"/>
        <w:rPr>
          <w:rFonts w:ascii="Arial" w:cs="Arial" w:eastAsia="Arial" w:hAnsi="Arial"/>
          <w:sz w:val="20"/>
          <w:szCs w:val="20"/>
          <w:color w:val="231F20"/>
        </w:rPr>
      </w:pPr>
    </w:p>
    <w:p>
      <w:pPr>
        <w:ind w:left="980" w:right="280" w:hanging="483"/>
        <w:spacing w:after="0" w:line="276"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redesigning our product candidates or processes so they do not infringe, which may not be possible or may require substantial monetary expenditures and time; and</w:t>
      </w:r>
    </w:p>
    <w:p>
      <w:pPr>
        <w:spacing w:after="0" w:line="64" w:lineRule="exact"/>
        <w:rPr>
          <w:rFonts w:ascii="Arial" w:cs="Arial" w:eastAsia="Arial" w:hAnsi="Arial"/>
          <w:sz w:val="20"/>
          <w:szCs w:val="20"/>
          <w:color w:val="231F20"/>
        </w:rPr>
      </w:pPr>
    </w:p>
    <w:p>
      <w:pPr>
        <w:ind w:left="980" w:right="280" w:hanging="483"/>
        <w:spacing w:after="0" w:line="249"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231F20"/>
        </w:rPr>
        <w:t>Third parties may assert that we are employing their proprietary technology without authorization. Generally, conducting clinical trials and other development activities in the United States is protected under the Safe Harbor exemption as set forth in 35 U.S.C.</w:t>
      </w:r>
    </w:p>
    <w:p>
      <w:pPr>
        <w:spacing w:after="0" w:line="1" w:lineRule="exact"/>
        <w:rPr>
          <w:sz w:val="20"/>
          <w:szCs w:val="20"/>
          <w:color w:val="auto"/>
        </w:rPr>
      </w:pPr>
    </w:p>
    <w:p>
      <w:pPr>
        <w:ind w:firstLine="7"/>
        <w:spacing w:after="0"/>
        <w:tabs>
          <w:tab w:leader="none" w:pos="15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271. If and when TX45, TX2100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8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Lastly, we may need to indemnify our customers and distributors against claims relating to the infringement of intellectual property rights of third parties related to our product candidates, including TX45 and TX2100.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ectPr>
          <w:pgSz w:w="11880" w:h="15480" w:orient="portrait"/>
          <w:cols w:equalWidth="0" w:num="1">
            <w:col w:w="10420"/>
          </w:cols>
          <w:pgMar w:left="720" w:top="764" w:right="740" w:bottom="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420"/>
          </w:cols>
          <w:pgMar w:left="720" w:top="764" w:right="740" w:bottom="0" w:gutter="0" w:footer="0" w:header="0"/>
          <w:type w:val="continuous"/>
        </w:sectPr>
      </w:pPr>
    </w:p>
    <w:bookmarkStart w:id="54" w:name="page55"/>
    <w:bookmarkEnd w:id="54"/>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Third parties may assert that our employees or consultants have wrongfully used or disclosed confidential information or misappropriated proprietary information.</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231F20"/>
        </w:rPr>
        <w:t>Uncertainties resulting from the initiation and continuation of patent litigation or other intellectual property related proceedings could adversely affect our ability to compete in the marketplace.</w:t>
      </w:r>
    </w:p>
    <w:p>
      <w:pPr>
        <w:spacing w:after="0" w:line="16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successful in obtaining or maintaining necessary rights to develop any future product candidates on acceptable terms.</w:t>
      </w:r>
    </w:p>
    <w:p>
      <w:pPr>
        <w:spacing w:after="0" w:line="49"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231F20"/>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4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231F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231F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440"/>
          </w:cols>
          <w:pgMar w:left="720" w:top="750" w:right="720" w:bottom="0" w:gutter="0" w:footer="0" w:header="0"/>
          <w:type w:val="continuous"/>
        </w:sectPr>
      </w:pPr>
    </w:p>
    <w:bookmarkStart w:id="55" w:name="page56"/>
    <w:bookmarkEnd w:id="55"/>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involved in lawsuits related to our patents or the patents of our licensors, which could be expensive, time-consuming and unsuccessful.</w:t>
      </w:r>
    </w:p>
    <w:p>
      <w:pPr>
        <w:spacing w:after="0" w:line="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231F20"/>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8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Issued patents covering our product candidates could be found invalid or unenforceable if challenged in court or the USPTO.</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w:t>
      </w:r>
    </w:p>
    <w:p>
      <w:pPr>
        <w:sectPr>
          <w:pgSz w:w="11880" w:h="15480" w:orient="portrait"/>
          <w:cols w:equalWidth="0" w:num="1">
            <w:col w:w="10420"/>
          </w:cols>
          <w:pgMar w:left="720" w:top="750" w:right="740" w:bottom="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420"/>
          </w:cols>
          <w:pgMar w:left="720" w:top="750" w:right="740" w:bottom="0" w:gutter="0" w:footer="0" w:header="0"/>
          <w:type w:val="continuous"/>
        </w:sectPr>
      </w:pPr>
    </w:p>
    <w:bookmarkStart w:id="56" w:name="page57"/>
    <w:bookmarkEnd w:id="56"/>
    <w:p>
      <w:pPr>
        <w:ind w:right="160"/>
        <w:spacing w:after="0" w:line="247" w:lineRule="auto"/>
        <w:rPr>
          <w:sz w:val="20"/>
          <w:szCs w:val="20"/>
          <w:color w:val="auto"/>
        </w:rPr>
      </w:pPr>
      <w:r>
        <w:rPr>
          <w:rFonts w:ascii="Times New Roman" w:cs="Times New Roman" w:eastAsia="Times New Roman" w:hAnsi="Times New Roman"/>
          <w:sz w:val="20"/>
          <w:szCs w:val="20"/>
          <w:color w:val="231F20"/>
        </w:rPr>
        <w:t>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8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2045, without taking into account any possible patent term adjustments or extensions. However, we cannot be assured that the USPTO or relevant foreign patent offices will grant any of these patent applications.</w:t>
      </w:r>
    </w:p>
    <w:p>
      <w:pPr>
        <w:spacing w:after="0" w:line="200"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patent law in the U.S. and in ex-U.S. jurisdictions could diminish the value of patents in general, thereby impairing our ability to protect our products.</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its 2023 decision in </w:t>
      </w:r>
      <w:r>
        <w:rPr>
          <w:rFonts w:ascii="Times New Roman" w:cs="Times New Roman" w:eastAsia="Times New Roman" w:hAnsi="Times New Roman"/>
          <w:sz w:val="20"/>
          <w:szCs w:val="20"/>
          <w:i w:val="1"/>
          <w:iCs w:val="1"/>
          <w:color w:val="231F20"/>
        </w:rPr>
        <w:t>Amgen v. Sanofi</w:t>
      </w:r>
      <w:r>
        <w:rPr>
          <w:rFonts w:ascii="Times New Roman" w:cs="Times New Roman" w:eastAsia="Times New Roman" w:hAnsi="Times New Roman"/>
          <w:sz w:val="20"/>
          <w:szCs w:val="20"/>
          <w:color w:val="231F20"/>
        </w:rPr>
        <w:t>, the Supreme Court held that a functionally-claimed genus was invalid for failing to comply with the enablement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requirement; and in the case of </w:t>
      </w:r>
      <w:r>
        <w:rPr>
          <w:rFonts w:ascii="Times New Roman" w:cs="Times New Roman" w:eastAsia="Times New Roman" w:hAnsi="Times New Roman"/>
          <w:sz w:val="20"/>
          <w:szCs w:val="20"/>
          <w:i w:val="1"/>
          <w:iCs w:val="1"/>
          <w:color w:val="231F20"/>
        </w:rPr>
        <w:t>Assoc. for Molecular Pathology v. Myriad Genetics, Inc.,</w:t>
      </w:r>
      <w:r>
        <w:rPr>
          <w:rFonts w:ascii="Times New Roman" w:cs="Times New Roman" w:eastAsia="Times New Roman" w:hAnsi="Times New Roman"/>
          <w:sz w:val="20"/>
          <w:szCs w:val="20"/>
          <w:color w:val="231F20"/>
        </w:rPr>
        <w:t xml:space="preserve"> 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w:t>
      </w:r>
    </w:p>
    <w:p>
      <w:pPr>
        <w:spacing w:after="0" w:line="1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231F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w:t>
      </w:r>
    </w:p>
    <w:p>
      <w:pPr>
        <w:sectPr>
          <w:pgSz w:w="11880" w:h="15480" w:orient="portrait"/>
          <w:cols w:equalWidth="0" w:num="1">
            <w:col w:w="10440"/>
          </w:cols>
          <w:pgMar w:left="720" w:top="750" w:right="720" w:bottom="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440"/>
          </w:cols>
          <w:pgMar w:left="720" w:top="750" w:right="720" w:bottom="0" w:gutter="0" w:footer="0" w:header="0"/>
          <w:type w:val="continuous"/>
        </w:sectPr>
      </w:pPr>
    </w:p>
    <w:bookmarkStart w:id="57" w:name="page58"/>
    <w:bookmarkEnd w:id="57"/>
    <w:p>
      <w:pPr>
        <w:ind w:right="320"/>
        <w:spacing w:after="0" w:line="252" w:lineRule="auto"/>
        <w:rPr>
          <w:sz w:val="20"/>
          <w:szCs w:val="20"/>
          <w:color w:val="auto"/>
        </w:rPr>
      </w:pPr>
      <w:r>
        <w:rPr>
          <w:rFonts w:ascii="Times New Roman" w:cs="Times New Roman" w:eastAsia="Times New Roman" w:hAnsi="Times New Roman"/>
          <w:sz w:val="20"/>
          <w:szCs w:val="20"/>
          <w:color w:val="231F20"/>
        </w:rPr>
        <w:t>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incur substantial costs as a result of litigation or other proceedings relating to patents, and we may be unable to protect our rights to our products and technology.</w:t>
      </w:r>
    </w:p>
    <w:p>
      <w:pPr>
        <w:spacing w:after="0" w:line="4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7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w:t>
      </w:r>
      <w:r>
        <w:rPr>
          <w:rFonts w:ascii="Times New Roman" w:cs="Times New Roman" w:eastAsia="Times New Roman" w:hAnsi="Times New Roman"/>
          <w:sz w:val="20"/>
          <w:szCs w:val="20"/>
          <w:i w:val="1"/>
          <w:iCs w:val="1"/>
          <w:color w:val="231F20"/>
        </w:rPr>
        <w:t>ex parte</w:t>
      </w:r>
      <w:r>
        <w:rPr>
          <w:rFonts w:ascii="Times New Roman" w:cs="Times New Roman" w:eastAsia="Times New Roman" w:hAnsi="Times New Roman"/>
          <w:sz w:val="20"/>
          <w:szCs w:val="20"/>
          <w:color w:val="231F20"/>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cs="Times New Roman" w:eastAsia="Times New Roman" w:hAnsi="Times New Roman"/>
          <w:sz w:val="20"/>
          <w:szCs w:val="20"/>
          <w:i w:val="1"/>
          <w:iCs w:val="1"/>
          <w:color w:val="231F20"/>
        </w:rPr>
        <w:t>ex-parte</w:t>
      </w:r>
      <w:r>
        <w:rPr>
          <w:rFonts w:ascii="Times New Roman" w:cs="Times New Roman" w:eastAsia="Times New Roman" w:hAnsi="Times New Roman"/>
          <w:sz w:val="20"/>
          <w:szCs w:val="20"/>
          <w:color w:val="231F20"/>
        </w:rPr>
        <w:t xml:space="preserve"> re-exam,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on our product candidates for an adequate amount of time.</w:t>
      </w:r>
    </w:p>
    <w:p>
      <w:pPr>
        <w:spacing w:after="0" w:line="12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231F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420"/>
          </w:cols>
          <w:pgMar w:left="720" w:top="750" w:right="740" w:bottom="0" w:gutter="0" w:footer="0" w:header="0"/>
          <w:type w:val="continuous"/>
        </w:sectPr>
      </w:pPr>
    </w:p>
    <w:bookmarkStart w:id="58" w:name="page59"/>
    <w:bookmarkEnd w:id="58"/>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do not obtain patent term extension and data exclusivity for any product candidates we may develop, our business may be materially harmed.</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21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Reliance on Third Parties</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231F20"/>
        </w:rPr>
        <w:t>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2 clinical trial.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440"/>
          </w:cols>
          <w:pgMar w:left="720" w:top="750" w:right="720" w:bottom="0" w:gutter="0" w:footer="0" w:header="0"/>
          <w:type w:val="continuous"/>
        </w:sectPr>
      </w:pPr>
    </w:p>
    <w:bookmarkStart w:id="59" w:name="page60"/>
    <w:bookmarkEnd w:id="59"/>
    <w:p>
      <w:pPr>
        <w:ind w:right="80"/>
        <w:spacing w:after="0" w:line="242" w:lineRule="auto"/>
        <w:rPr>
          <w:sz w:val="20"/>
          <w:szCs w:val="20"/>
          <w:color w:val="auto"/>
        </w:rPr>
      </w:pPr>
      <w:r>
        <w:rPr>
          <w:rFonts w:ascii="Times New Roman" w:cs="Times New Roman" w:eastAsia="Times New Roman" w:hAnsi="Times New Roman"/>
          <w:sz w:val="20"/>
          <w:szCs w:val="20"/>
          <w:color w:val="231F20"/>
        </w:rPr>
        <w:t>Moreover, our CDMOs may experience manufacturing difficulties due to resource constraints, governmental restrictions or as a result of labor disputes or unstable political environments. Supply chain issues, including those resulting from the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21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w:t>
      </w:r>
    </w:p>
    <w:p>
      <w:pPr>
        <w:sectPr>
          <w:pgSz w:w="11880" w:h="15480" w:orient="portrait"/>
          <w:cols w:equalWidth="0" w:num="1">
            <w:col w:w="10440"/>
          </w:cols>
          <w:pgMar w:left="720" w:top="750" w:right="720" w:bottom="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440"/>
          </w:cols>
          <w:pgMar w:left="720" w:top="750" w:right="720" w:bottom="0" w:gutter="0" w:footer="0" w:header="0"/>
          <w:type w:val="continuous"/>
        </w:sectPr>
      </w:pPr>
    </w:p>
    <w:bookmarkStart w:id="60" w:name="page61"/>
    <w:bookmarkEnd w:id="60"/>
    <w:p>
      <w:pPr>
        <w:spacing w:after="0" w:line="249" w:lineRule="auto"/>
        <w:rPr>
          <w:sz w:val="20"/>
          <w:szCs w:val="20"/>
          <w:color w:val="auto"/>
        </w:rPr>
      </w:pPr>
      <w:r>
        <w:rPr>
          <w:rFonts w:ascii="Times New Roman" w:cs="Times New Roman" w:eastAsia="Times New Roman" w:hAnsi="Times New Roman"/>
          <w:sz w:val="20"/>
          <w:szCs w:val="20"/>
          <w:color w:val="231F20"/>
        </w:rPr>
        <w:t>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7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8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231F20"/>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a comparable foreign regulatory authority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or a comparable foreign regulatory authority. Any such delay or rejection could prevent us from commercializing our clinical-stage product candidate or any future product candidates.</w:t>
      </w:r>
    </w:p>
    <w:p>
      <w:pPr>
        <w:spacing w:after="0" w:line="20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future collaborations will be important to our business. If we are unable to enter into new collaborations, or if these collaborations are not successful, our business could be adversely affected.</w:t>
      </w:r>
    </w:p>
    <w:p>
      <w:pPr>
        <w:spacing w:after="0" w:line="4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Any future collaborations we enter into may pose a number of risks, including, but not limited to, the following:</w:t>
      </w:r>
    </w:p>
    <w:p>
      <w:pPr>
        <w:spacing w:after="0" w:line="134" w:lineRule="exact"/>
        <w:rPr>
          <w:sz w:val="20"/>
          <w:szCs w:val="20"/>
          <w:color w:val="auto"/>
        </w:rPr>
      </w:pPr>
    </w:p>
    <w:p>
      <w:pPr>
        <w:ind w:left="980" w:hanging="483"/>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have significant discretion in determining the efforts and resources that they will apply;</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perform their obligations as expected;</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420"/>
          </w:cols>
          <w:pgMar w:left="720" w:top="750" w:right="740" w:bottom="0" w:gutter="0" w:footer="0" w:header="0"/>
          <w:type w:val="continuous"/>
        </w:sectPr>
      </w:pPr>
    </w:p>
    <w:bookmarkStart w:id="61" w:name="page62"/>
    <w:bookmarkEnd w:id="61"/>
    <w:p>
      <w:pPr>
        <w:ind w:left="980" w:right="100" w:hanging="483"/>
        <w:spacing w:after="0" w:line="252"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7" w:lineRule="exact"/>
        <w:rPr>
          <w:rFonts w:ascii="Arial" w:cs="Arial" w:eastAsia="Arial" w:hAnsi="Arial"/>
          <w:sz w:val="20"/>
          <w:szCs w:val="20"/>
          <w:color w:val="231F20"/>
        </w:rPr>
      </w:pPr>
    </w:p>
    <w:p>
      <w:pPr>
        <w:ind w:left="980" w:hanging="483"/>
        <w:spacing w:after="0" w:line="258"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231F20"/>
        </w:rPr>
      </w:pPr>
    </w:p>
    <w:p>
      <w:pPr>
        <w:jc w:val="both"/>
        <w:ind w:left="980" w:right="100" w:hanging="483"/>
        <w:spacing w:after="0" w:line="258"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Arial" w:cs="Arial" w:eastAsia="Arial" w:hAnsi="Arial"/>
          <w:sz w:val="20"/>
          <w:szCs w:val="20"/>
          <w:color w:val="231F20"/>
        </w:rPr>
      </w:pPr>
    </w:p>
    <w:p>
      <w:pPr>
        <w:ind w:left="980" w:right="360" w:hanging="483"/>
        <w:spacing w:after="0" w:line="258"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81" w:lineRule="exact"/>
        <w:rPr>
          <w:rFonts w:ascii="Arial" w:cs="Arial" w:eastAsia="Arial" w:hAnsi="Arial"/>
          <w:sz w:val="20"/>
          <w:szCs w:val="20"/>
          <w:color w:val="231F20"/>
        </w:rPr>
      </w:pPr>
    </w:p>
    <w:p>
      <w:pPr>
        <w:ind w:left="980" w:right="240" w:hanging="483"/>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fail to comply with applicable regulatory requirements regarding the development, manufacture, distribution or marketing of a product candidate or product;</w:t>
      </w:r>
    </w:p>
    <w:p>
      <w:pPr>
        <w:spacing w:after="0" w:line="64" w:lineRule="exact"/>
        <w:rPr>
          <w:rFonts w:ascii="Arial" w:cs="Arial" w:eastAsia="Arial" w:hAnsi="Arial"/>
          <w:sz w:val="20"/>
          <w:szCs w:val="20"/>
          <w:color w:val="231F20"/>
        </w:rPr>
      </w:pPr>
    </w:p>
    <w:p>
      <w:pPr>
        <w:ind w:left="980" w:right="120" w:hanging="483"/>
        <w:spacing w:after="0" w:line="304" w:lineRule="auto"/>
        <w:tabs>
          <w:tab w:leader="none" w:pos="980" w:val="left"/>
        </w:tabs>
        <w:numPr>
          <w:ilvl w:val="0"/>
          <w:numId w:val="39"/>
        </w:numPr>
        <w:rPr>
          <w:rFonts w:ascii="Arial" w:cs="Arial" w:eastAsia="Arial" w:hAnsi="Arial"/>
          <w:sz w:val="19"/>
          <w:szCs w:val="19"/>
          <w:color w:val="231F20"/>
        </w:rPr>
      </w:pPr>
      <w:r>
        <w:rPr>
          <w:rFonts w:ascii="Times New Roman" w:cs="Times New Roman" w:eastAsia="Times New Roman" w:hAnsi="Times New Roman"/>
          <w:sz w:val="19"/>
          <w:szCs w:val="19"/>
          <w:color w:val="231F20"/>
        </w:rPr>
        <w:t>collaborators with marketing and distribution rights to one or more of our product candidates that achieve regulatory approval may not commit sufficient resources to the marketing and distribution of such product or products;</w:t>
      </w:r>
    </w:p>
    <w:p>
      <w:pPr>
        <w:spacing w:after="0" w:line="39" w:lineRule="exact"/>
        <w:rPr>
          <w:rFonts w:ascii="Arial" w:cs="Arial" w:eastAsia="Arial" w:hAnsi="Arial"/>
          <w:sz w:val="19"/>
          <w:szCs w:val="19"/>
          <w:color w:val="231F20"/>
        </w:rPr>
      </w:pPr>
    </w:p>
    <w:p>
      <w:pPr>
        <w:ind w:left="980" w:right="500" w:hanging="483"/>
        <w:spacing w:after="0" w:line="252"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7" w:lineRule="exact"/>
        <w:rPr>
          <w:rFonts w:ascii="Arial" w:cs="Arial" w:eastAsia="Arial" w:hAnsi="Arial"/>
          <w:sz w:val="20"/>
          <w:szCs w:val="20"/>
          <w:color w:val="231F20"/>
        </w:rPr>
      </w:pPr>
    </w:p>
    <w:p>
      <w:pPr>
        <w:jc w:val="both"/>
        <w:ind w:left="980" w:right="660" w:hanging="483"/>
        <w:spacing w:after="0" w:line="258"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Arial" w:cs="Arial" w:eastAsia="Arial" w:hAnsi="Arial"/>
          <w:sz w:val="20"/>
          <w:szCs w:val="20"/>
          <w:color w:val="231F20"/>
        </w:rPr>
      </w:pPr>
    </w:p>
    <w:p>
      <w:pPr>
        <w:ind w:left="980" w:right="480" w:hanging="483"/>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collaborators may infringe the intellectual property rights of third parties, which may expose us to litigation and potential liability;</w:t>
      </w:r>
    </w:p>
    <w:p>
      <w:pPr>
        <w:spacing w:after="0" w:line="64" w:lineRule="exact"/>
        <w:rPr>
          <w:rFonts w:ascii="Arial" w:cs="Arial" w:eastAsia="Arial" w:hAnsi="Arial"/>
          <w:sz w:val="20"/>
          <w:szCs w:val="20"/>
          <w:color w:val="231F20"/>
        </w:rPr>
      </w:pPr>
    </w:p>
    <w:p>
      <w:pPr>
        <w:ind w:left="980" w:right="220" w:hanging="483"/>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if a collaborator of ours is involved in a business combination, the collaborator might deemphasize or terminate the development or commercialization of any product candidate licensed to it by us; and</w:t>
      </w:r>
    </w:p>
    <w:p>
      <w:pPr>
        <w:spacing w:after="0" w:line="64" w:lineRule="exact"/>
        <w:rPr>
          <w:rFonts w:ascii="Arial" w:cs="Arial" w:eastAsia="Arial" w:hAnsi="Arial"/>
          <w:sz w:val="20"/>
          <w:szCs w:val="20"/>
          <w:color w:val="231F20"/>
        </w:rPr>
      </w:pPr>
    </w:p>
    <w:p>
      <w:pPr>
        <w:ind w:left="980" w:right="420" w:hanging="483"/>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collaborations may be terminated by the collaborator, and, if terminated, we could be required to raise additional capital to pursue further development or commercialization of the applicable product candidates.</w:t>
      </w:r>
    </w:p>
    <w:p>
      <w:pPr>
        <w:spacing w:after="0" w:line="5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74" w:lineRule="exact"/>
        <w:rPr>
          <w:sz w:val="20"/>
          <w:szCs w:val="20"/>
          <w:color w:val="auto"/>
        </w:rPr>
      </w:pPr>
    </w:p>
    <w:p>
      <w:pPr>
        <w:ind w:right="1020"/>
        <w:spacing w:after="0" w:line="277" w:lineRule="auto"/>
        <w:rPr>
          <w:sz w:val="20"/>
          <w:szCs w:val="20"/>
          <w:color w:val="auto"/>
        </w:rPr>
      </w:pPr>
      <w:r>
        <w:rPr>
          <w:rFonts w:ascii="Times New Roman" w:cs="Times New Roman" w:eastAsia="Times New Roman" w:hAnsi="Times New Roman"/>
          <w:sz w:val="20"/>
          <w:szCs w:val="20"/>
          <w:color w:val="231F20"/>
        </w:rPr>
        <w:t>Additionally, if one of our collaborators terminates its agreement with us, we may find it more difficult to attract new collaborators and our perception in the business and financial communities could be adversely affected.</w:t>
      </w:r>
    </w:p>
    <w:p>
      <w:pPr>
        <w:spacing w:after="0" w:line="4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231F20"/>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w:t>
      </w:r>
    </w:p>
    <w:p>
      <w:pPr>
        <w:sectPr>
          <w:pgSz w:w="11880" w:h="15480" w:orient="portrait"/>
          <w:cols w:equalWidth="0" w:num="1">
            <w:col w:w="10420"/>
          </w:cols>
          <w:pgMar w:left="720" w:top="764" w:right="74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420"/>
          </w:cols>
          <w:pgMar w:left="720" w:top="764" w:right="740" w:bottom="0" w:gutter="0" w:footer="0" w:header="0"/>
          <w:type w:val="continuous"/>
        </w:sectPr>
      </w:pPr>
    </w:p>
    <w:bookmarkStart w:id="62" w:name="page63"/>
    <w:bookmarkEnd w:id="62"/>
    <w:p>
      <w:pPr>
        <w:ind w:right="120"/>
        <w:spacing w:after="0" w:line="277" w:lineRule="auto"/>
        <w:rPr>
          <w:sz w:val="20"/>
          <w:szCs w:val="20"/>
          <w:color w:val="auto"/>
        </w:rPr>
      </w:pPr>
      <w:r>
        <w:rPr>
          <w:rFonts w:ascii="Times New Roman" w:cs="Times New Roman" w:eastAsia="Times New Roman" w:hAnsi="Times New Roman"/>
          <w:sz w:val="20"/>
          <w:szCs w:val="20"/>
          <w:color w:val="231F20"/>
        </w:rPr>
        <w:t>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69"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Nonclinical research requires the use of Non-Human Primates (“NHP”), the supply of which could delay or prevent development of product candidates.</w:t>
      </w:r>
    </w:p>
    <w:p>
      <w:pPr>
        <w:spacing w:after="0" w:line="4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Operations, Employee Matters and Managing Growth</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future success depends on our ability to retain key executives and to attract, retain and motivate qualified personnel.</w:t>
      </w:r>
    </w:p>
    <w:p>
      <w:pPr>
        <w:spacing w:after="0" w:line="12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7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231F20"/>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1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spacing w:after="0" w:line="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420"/>
          </w:cols>
          <w:pgMar w:left="720" w:top="750" w:right="740" w:bottom="0" w:gutter="0" w:footer="0" w:header="0"/>
          <w:type w:val="continuous"/>
        </w:sectPr>
      </w:pPr>
    </w:p>
    <w:bookmarkStart w:id="63" w:name="page64"/>
    <w:bookmarkEnd w:id="63"/>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become exposed to costly and damaging liability claims, either when testing a product candidate in the clinical or at the commercial stage, and our product liability insurance may not cover all damages from such claims.</w:t>
      </w:r>
    </w:p>
    <w:p>
      <w:pPr>
        <w:spacing w:after="0" w:line="4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231F20"/>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disruptions could seriously harm our future revenue and financial condition and increase our costs and expenses.</w:t>
      </w:r>
    </w:p>
    <w:p>
      <w:pPr>
        <w:spacing w:after="0" w:line="12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health-related data protection laws and regulations could lead to government enforcement actions, including civil or criminal penalties, private litigation, and adverse publicity and could negatively affect our operating results and business.</w:t>
      </w:r>
    </w:p>
    <w:p>
      <w:pPr>
        <w:spacing w:after="0" w:line="6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231F20"/>
        </w:rPr>
        <w:t>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8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employees, principal investigators, consultants, and commercial partners may engage in misconduct or other improper activities, including non-compliance with regulatory standards and requirements and insider trading.</w:t>
      </w:r>
    </w:p>
    <w:p>
      <w:pPr>
        <w:spacing w:after="0" w:line="4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231F20"/>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w:t>
      </w:r>
    </w:p>
    <w:p>
      <w:pPr>
        <w:sectPr>
          <w:pgSz w:w="11880" w:h="15480" w:orient="portrait"/>
          <w:cols w:equalWidth="0" w:num="1">
            <w:col w:w="10440"/>
          </w:cols>
          <w:pgMar w:left="720" w:top="750" w:right="720" w:bottom="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440"/>
          </w:cols>
          <w:pgMar w:left="720" w:top="750" w:right="720" w:bottom="0" w:gutter="0" w:footer="0" w:header="0"/>
          <w:type w:val="continuous"/>
        </w:sectPr>
      </w:pPr>
    </w:p>
    <w:bookmarkStart w:id="64" w:name="page65"/>
    <w:bookmarkEnd w:id="64"/>
    <w:p>
      <w:pPr>
        <w:spacing w:after="0" w:line="233" w:lineRule="auto"/>
        <w:rPr>
          <w:sz w:val="20"/>
          <w:szCs w:val="20"/>
          <w:color w:val="auto"/>
        </w:rPr>
      </w:pPr>
      <w:r>
        <w:rPr>
          <w:rFonts w:ascii="Times New Roman" w:cs="Times New Roman" w:eastAsia="Times New Roman" w:hAnsi="Times New Roman"/>
          <w:sz w:val="20"/>
          <w:szCs w:val="20"/>
          <w:color w:val="231F20"/>
        </w:rPr>
        <w:t>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97"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b w:val="1"/>
          <w:bCs w:val="1"/>
          <w:i w:val="1"/>
          <w:iCs w:val="1"/>
          <w:color w:val="231F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p>
    <w:p>
      <w:pPr>
        <w:spacing w:after="0" w:line="7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231F20"/>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w:t>
      </w:r>
    </w:p>
    <w:p>
      <w:pPr>
        <w:spacing w:after="0" w:line="7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231F20"/>
        </w:rPr>
        <w:t>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231F20"/>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spacing w:after="0" w:line="61"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231F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0"/>
          <w:szCs w:val="20"/>
          <w:color w:val="231F20"/>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Also,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231F20"/>
        </w:rPr>
        <w:t>Certain functional areas of our workforce work remotely on a full - or part-time basis or otherwise utilize network connections, computers and devices outside of our premises or network, which imposes additional risks to our business.</w:t>
      </w:r>
    </w:p>
    <w:p>
      <w:pPr>
        <w:sectPr>
          <w:pgSz w:w="11880" w:h="15480" w:orient="portrait"/>
          <w:cols w:equalWidth="0" w:num="1">
            <w:col w:w="10420"/>
          </w:cols>
          <w:pgMar w:left="720" w:top="741" w:right="74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420"/>
          </w:cols>
          <w:pgMar w:left="720" w:top="741" w:right="740" w:bottom="0" w:gutter="0" w:footer="0" w:header="0"/>
          <w:type w:val="continuous"/>
        </w:sectPr>
      </w:pPr>
    </w:p>
    <w:bookmarkStart w:id="65" w:name="page66"/>
    <w:bookmarkEnd w:id="65"/>
    <w:p>
      <w:pPr>
        <w:ind w:right="20"/>
        <w:spacing w:after="0" w:line="244" w:lineRule="auto"/>
        <w:rPr>
          <w:sz w:val="20"/>
          <w:szCs w:val="20"/>
          <w:color w:val="auto"/>
        </w:rPr>
      </w:pPr>
      <w:r>
        <w:rPr>
          <w:rFonts w:ascii="Times New Roman" w:cs="Times New Roman" w:eastAsia="Times New Roman" w:hAnsi="Times New Roman"/>
          <w:sz w:val="20"/>
          <w:szCs w:val="20"/>
          <w:color w:val="231F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w:t>
      </w:r>
    </w:p>
    <w:p>
      <w:pPr>
        <w:spacing w:after="0" w:line="8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231F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spacing w:after="0" w:line="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Likewise, we rely on third parties for the manufacture of TX45 and TX2100,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8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Our contracts may not contain relevant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7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9"/>
          <w:szCs w:val="19"/>
          <w:color w:val="231F20"/>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77"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8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231F20"/>
        </w:rPr>
        <w:t>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7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231F20"/>
        </w:rPr>
        <w:t>Outside the United States, an increasing number of laws, regulations, and industry standards govern data privacy and security. For example, the European Union’s General Data Protection Regulation, (“EU GDPR”) and the United Kingdom’s GDPR (“UK</w:t>
      </w:r>
    </w:p>
    <w:p>
      <w:pPr>
        <w:sectPr>
          <w:pgSz w:w="11880" w:h="15480" w:orient="portrait"/>
          <w:cols w:equalWidth="0" w:num="1">
            <w:col w:w="10440"/>
          </w:cols>
          <w:pgMar w:left="720" w:top="750" w:right="720" w:bottom="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440"/>
          </w:cols>
          <w:pgMar w:left="720" w:top="750" w:right="720" w:bottom="0" w:gutter="0" w:footer="0" w:header="0"/>
          <w:type w:val="continuous"/>
        </w:sectPr>
      </w:pPr>
    </w:p>
    <w:bookmarkStart w:id="66" w:name="page67"/>
    <w:bookmarkEnd w:id="66"/>
    <w:p>
      <w:pPr>
        <w:spacing w:after="0" w:line="241" w:lineRule="auto"/>
        <w:rPr>
          <w:sz w:val="20"/>
          <w:szCs w:val="20"/>
          <w:color w:val="auto"/>
        </w:rPr>
      </w:pPr>
      <w:r>
        <w:rPr>
          <w:rFonts w:ascii="Times New Roman" w:cs="Times New Roman" w:eastAsia="Times New Roman" w:hAnsi="Times New Roman"/>
          <w:sz w:val="20"/>
          <w:szCs w:val="20"/>
          <w:color w:val="231F20"/>
        </w:rPr>
        <w:t>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w:t>
      </w:r>
    </w:p>
    <w:p>
      <w:pPr>
        <w:spacing w:after="0" w:line="9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231F20"/>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8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For example,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420"/>
          </w:cols>
          <w:pgMar w:left="720" w:top="750" w:right="740" w:bottom="0" w:gutter="0" w:footer="0" w:header="0"/>
          <w:type w:val="continuous"/>
        </w:sectPr>
      </w:pPr>
    </w:p>
    <w:bookmarkStart w:id="67" w:name="page68"/>
    <w:bookmarkEnd w:id="67"/>
    <w:p>
      <w:pPr>
        <w:ind w:right="260"/>
        <w:spacing w:after="0" w:line="249" w:lineRule="auto"/>
        <w:rPr>
          <w:sz w:val="20"/>
          <w:szCs w:val="20"/>
          <w:color w:val="auto"/>
        </w:rPr>
      </w:pPr>
      <w:r>
        <w:rPr>
          <w:rFonts w:ascii="Times New Roman" w:cs="Times New Roman" w:eastAsia="Times New Roman" w:hAnsi="Times New Roman"/>
          <w:sz w:val="20"/>
          <w:szCs w:val="20"/>
          <w:color w:val="231F20"/>
        </w:rPr>
        <w:t>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Our obligations related to data privacy and security (and individuals’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8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8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U.S. and certain foreign anti-corruption laws and regulations, export and import controls, sanctions and embargoes. We could face liability and other serious consequences for violations which can harm our business.</w:t>
      </w:r>
    </w:p>
    <w:p>
      <w:pPr>
        <w:spacing w:after="0" w:line="4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231F20"/>
        </w:rPr>
        <w:t>We are subject to anti-corruption laws and regulations, including the Foreign Corrupt Practices Act of 1977, as amended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ectPr>
          <w:pgSz w:w="11880" w:h="15480" w:orient="portrait"/>
          <w:cols w:equalWidth="0" w:num="1">
            <w:col w:w="10400"/>
          </w:cols>
          <w:pgMar w:left="720" w:top="75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400"/>
          </w:cols>
          <w:pgMar w:left="720" w:top="750" w:right="760" w:bottom="0" w:gutter="0" w:footer="0" w:header="0"/>
          <w:type w:val="continuous"/>
        </w:sectPr>
      </w:pPr>
    </w:p>
    <w:bookmarkStart w:id="68" w:name="page69"/>
    <w:bookmarkEnd w:id="68"/>
    <w:p>
      <w:pPr>
        <w:ind w:right="60"/>
        <w:spacing w:after="0" w:line="247" w:lineRule="auto"/>
        <w:rPr>
          <w:sz w:val="20"/>
          <w:szCs w:val="20"/>
          <w:color w:val="auto"/>
        </w:rPr>
      </w:pPr>
      <w:r>
        <w:rPr>
          <w:rFonts w:ascii="Times New Roman" w:cs="Times New Roman" w:eastAsia="Times New Roman" w:hAnsi="Times New Roman"/>
          <w:sz w:val="20"/>
          <w:szCs w:val="20"/>
          <w:color w:val="231F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0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or the third parties upon whom we depend may be adversely affected by earthquakes, fires or other natural disasters and our business continuity and disaster recovery plans may not adequately protect us from a serious disaster.</w:t>
      </w:r>
    </w:p>
    <w:p>
      <w:pPr>
        <w:spacing w:after="0" w:line="4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Legislation or other changes in U.S. tax law could adversely affect our business and financial condition.</w:t>
      </w:r>
    </w:p>
    <w:p>
      <w:pPr>
        <w:spacing w:after="0" w:line="1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use our U.S. net operating loss carryforwards and certain other U.S. tax attributes may be limited.</w:t>
      </w:r>
    </w:p>
    <w:p>
      <w:pPr>
        <w:spacing w:after="0" w:line="1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231F20"/>
        </w:rPr>
        <w:t xml:space="preserve">As of December 31, 2025, we had U.S. federal net operating loss carryforwards of </w:t>
      </w:r>
      <w:r>
        <w:rPr>
          <w:rFonts w:ascii="Times New Roman" w:cs="Times New Roman" w:eastAsia="Times New Roman" w:hAnsi="Times New Roman"/>
          <w:sz w:val="19"/>
          <w:szCs w:val="19"/>
          <w:color w:val="231F20"/>
        </w:rPr>
        <w:t>$453.3</w:t>
      </w:r>
      <w:r>
        <w:rPr>
          <w:rFonts w:ascii="Times New Roman" w:cs="Times New Roman" w:eastAsia="Times New Roman" w:hAnsi="Times New Roman"/>
          <w:sz w:val="20"/>
          <w:szCs w:val="20"/>
          <w:color w:val="231F20"/>
        </w:rPr>
        <w:t xml:space="preserve">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Internal Revenue Code of 1986,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8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231F20"/>
        </w:rPr>
        <w:t>Our ability to utilize our net operating loss carryforwards could be limited by an “ownership change” as described above, which could result in increased tax liability to us.</w:t>
      </w:r>
    </w:p>
    <w:p>
      <w:pPr>
        <w:spacing w:after="0" w:line="16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Unstable market and economic conditions may have serious adverse consequences on our business, financial condition and stock price.</w:t>
      </w:r>
    </w:p>
    <w:p>
      <w:pPr>
        <w:spacing w:after="0" w:line="4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The global credit and financial markets have experienced extreme volatility and disruptions, including severely diminished liquidity and credit availability, declines in consumer confidence, declines in economic growth, increases in unemployment rates</w:t>
      </w:r>
    </w:p>
    <w:p>
      <w:pPr>
        <w:sectPr>
          <w:pgSz w:w="11880" w:h="15480" w:orient="portrait"/>
          <w:cols w:equalWidth="0" w:num="1">
            <w:col w:w="10420"/>
          </w:cols>
          <w:pgMar w:left="720" w:top="750" w:right="740" w:bottom="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420"/>
          </w:cols>
          <w:pgMar w:left="720" w:top="750" w:right="740" w:bottom="0" w:gutter="0" w:footer="0" w:header="0"/>
          <w:type w:val="continuous"/>
        </w:sectPr>
      </w:pPr>
    </w:p>
    <w:bookmarkStart w:id="69" w:name="page70"/>
    <w:bookmarkEnd w:id="69"/>
    <w:p>
      <w:pPr>
        <w:ind w:right="20"/>
        <w:spacing w:after="0" w:line="244" w:lineRule="auto"/>
        <w:rPr>
          <w:sz w:val="20"/>
          <w:szCs w:val="20"/>
          <w:color w:val="auto"/>
        </w:rPr>
      </w:pPr>
      <w:r>
        <w:rPr>
          <w:rFonts w:ascii="Times New Roman" w:cs="Times New Roman" w:eastAsia="Times New Roman" w:hAnsi="Times New Roman"/>
          <w:sz w:val="20"/>
          <w:szCs w:val="20"/>
          <w:color w:val="231F20"/>
        </w:rPr>
        <w:t>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6"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231F20"/>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19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Future changes in financial accounting standards or practices may cause adverse and unexpected revenue fluctuations and adversely affect our reported results of operations.</w:t>
      </w:r>
    </w:p>
    <w:p>
      <w:pPr>
        <w:spacing w:after="0" w:line="4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or any CDMOs and suppliers we engage fail to comply with environmental, health and safety laws and regulations, we could become subject to fines or penalties or incur costs that could have a material adverse effect on the success of our business.</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8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420"/>
          </w:cols>
          <w:pgMar w:left="720" w:top="750" w:right="740" w:bottom="0" w:gutter="0" w:footer="0" w:header="0"/>
          <w:type w:val="continuous"/>
        </w:sectPr>
      </w:pPr>
    </w:p>
    <w:bookmarkStart w:id="70" w:name="page71"/>
    <w:bookmarkEnd w:id="70"/>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incur significantly increased costs as a result of operating as a public company, and our management will be required to devote substantial time to new compliance initiatives.</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 consuming and costlier.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0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03"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build our finance infrastructure and improve our accounting systems and controls could impair our ability to comply with the financial reporting and internal controls requirements for publicly traded companies.</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12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231F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ectPr>
          <w:pgSz w:w="11880" w:h="15480" w:orient="portrait"/>
          <w:cols w:equalWidth="0" w:num="1">
            <w:col w:w="10420"/>
          </w:cols>
          <w:pgMar w:left="720" w:top="750" w:right="740" w:bottom="0" w:gutter="0" w:footer="0" w:header="0"/>
        </w:sect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420"/>
          </w:cols>
          <w:pgMar w:left="720" w:top="750" w:right="740" w:bottom="0" w:gutter="0" w:footer="0" w:header="0"/>
          <w:type w:val="continuous"/>
        </w:sectPr>
      </w:pPr>
    </w:p>
    <w:bookmarkStart w:id="71" w:name="page72"/>
    <w:bookmarkEnd w:id="71"/>
    <w:p>
      <w:pPr>
        <w:ind w:right="220"/>
        <w:spacing w:after="0" w:line="247" w:lineRule="auto"/>
        <w:rPr>
          <w:sz w:val="20"/>
          <w:szCs w:val="20"/>
          <w:color w:val="auto"/>
        </w:rPr>
      </w:pPr>
      <w:r>
        <w:rPr>
          <w:rFonts w:ascii="Times New Roman" w:cs="Times New Roman" w:eastAsia="Times New Roman" w:hAnsi="Times New Roman"/>
          <w:sz w:val="20"/>
          <w:szCs w:val="20"/>
          <w:color w:val="231F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Stockholders previously filed lawsuits, which were subsequently dismissed, relating to the Merger; however, additional lawsuits could be filed.</w:t>
      </w:r>
    </w:p>
    <w:p>
      <w:pPr>
        <w:spacing w:after="0" w:line="4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20"/>
          <w:szCs w:val="20"/>
          <w:i w:val="1"/>
          <w:iCs w:val="1"/>
          <w:color w:val="231F20"/>
        </w:rPr>
        <w:t>Garofalo v. Avrobio, Inc. et al.</w:t>
      </w:r>
      <w:r>
        <w:rPr>
          <w:rFonts w:ascii="Times New Roman" w:cs="Times New Roman" w:eastAsia="Times New Roman" w:hAnsi="Times New Roman"/>
          <w:sz w:val="20"/>
          <w:szCs w:val="20"/>
          <w:color w:val="231F20"/>
        </w:rPr>
        <w:t xml:space="preserve">, 24-cv-1493 (filed February 27, 2024). Two actions have been filed in the Supreme Court of New York, captioned </w:t>
      </w:r>
      <w:r>
        <w:rPr>
          <w:rFonts w:ascii="Times New Roman" w:cs="Times New Roman" w:eastAsia="Times New Roman" w:hAnsi="Times New Roman"/>
          <w:sz w:val="20"/>
          <w:szCs w:val="20"/>
          <w:i w:val="1"/>
          <w:iCs w:val="1"/>
          <w:color w:val="231F20"/>
        </w:rPr>
        <w:t>Price v.</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Avrobio, Inc., et al.</w:t>
      </w:r>
      <w:r>
        <w:rPr>
          <w:rFonts w:ascii="Times New Roman" w:cs="Times New Roman" w:eastAsia="Times New Roman" w:hAnsi="Times New Roman"/>
          <w:sz w:val="20"/>
          <w:szCs w:val="20"/>
          <w:color w:val="231F20"/>
        </w:rPr>
        <w:t>, No. 652555/2024 (filed May 17, 2024) and</w:t>
      </w:r>
      <w:r>
        <w:rPr>
          <w:rFonts w:ascii="Times New Roman" w:cs="Times New Roman" w:eastAsia="Times New Roman" w:hAnsi="Times New Roman"/>
          <w:sz w:val="20"/>
          <w:szCs w:val="20"/>
          <w:i w:val="1"/>
          <w:iCs w:val="1"/>
          <w:color w:val="231F20"/>
        </w:rPr>
        <w:t xml:space="preserve"> Keller v. Avrobio, Inc., et al.</w:t>
      </w:r>
      <w:r>
        <w:rPr>
          <w:rFonts w:ascii="Times New Roman" w:cs="Times New Roman" w:eastAsia="Times New Roman" w:hAnsi="Times New Roman"/>
          <w:sz w:val="20"/>
          <w:szCs w:val="20"/>
          <w:color w:val="231F20"/>
        </w:rPr>
        <w:t>, No. 652597/2024 (filed May 21,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2024). The foregoing actions are referred to as the “Merger Actions.”</w:t>
      </w:r>
    </w:p>
    <w:p>
      <w:pPr>
        <w:spacing w:after="0" w:line="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(as defined below). The </w:t>
      </w:r>
      <w:r>
        <w:rPr>
          <w:rFonts w:ascii="Times New Roman" w:cs="Times New Roman" w:eastAsia="Times New Roman" w:hAnsi="Times New Roman"/>
          <w:sz w:val="20"/>
          <w:szCs w:val="20"/>
          <w:i w:val="1"/>
          <w:iCs w:val="1"/>
          <w:color w:val="231F20"/>
        </w:rPr>
        <w:t>Price</w:t>
      </w:r>
      <w:r>
        <w:rPr>
          <w:rFonts w:ascii="Times New Roman" w:cs="Times New Roman" w:eastAsia="Times New Roman" w:hAnsi="Times New Roman"/>
          <w:sz w:val="20"/>
          <w:szCs w:val="20"/>
          <w:color w:val="231F20"/>
        </w:rPr>
        <w:t xml:space="preserve"> and </w:t>
      </w:r>
      <w:r>
        <w:rPr>
          <w:rFonts w:ascii="Times New Roman" w:cs="Times New Roman" w:eastAsia="Times New Roman" w:hAnsi="Times New Roman"/>
          <w:sz w:val="20"/>
          <w:szCs w:val="20"/>
          <w:i w:val="1"/>
          <w:iCs w:val="1"/>
          <w:color w:val="231F20"/>
        </w:rPr>
        <w:t>Keller</w:t>
      </w:r>
      <w:r>
        <w:rPr>
          <w:rFonts w:ascii="Times New Roman" w:cs="Times New Roman" w:eastAsia="Times New Roman" w:hAnsi="Times New Roman"/>
          <w:sz w:val="20"/>
          <w:szCs w:val="20"/>
          <w:color w:val="231F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231F20"/>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spacing w:after="0" w:line="8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market price of our common stock has been and is likely to continue to be volatile and fluctuate substantially.</w:t>
      </w:r>
    </w:p>
    <w:p>
      <w:pPr>
        <w:spacing w:after="0" w:line="12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91" w:lineRule="exact"/>
        <w:rPr>
          <w:sz w:val="20"/>
          <w:szCs w:val="20"/>
          <w:color w:val="auto"/>
        </w:rPr>
      </w:pPr>
    </w:p>
    <w:p>
      <w:pPr>
        <w:ind w:left="980" w:right="300" w:hanging="483"/>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results of clinical trials and preclinical studies of our product candidates, or those of our competitors or existing or future collaborators;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meet or exceed financial and development projections we may provide to the public;</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meet or exceed the financial and development projections of the investment community;</w:t>
      </w:r>
    </w:p>
    <w:p>
      <w:pPr>
        <w:spacing w:after="0" w:line="133" w:lineRule="exact"/>
        <w:rPr>
          <w:rFonts w:ascii="Arial" w:cs="Arial" w:eastAsia="Arial" w:hAnsi="Arial"/>
          <w:sz w:val="20"/>
          <w:szCs w:val="20"/>
          <w:color w:val="231F20"/>
        </w:rPr>
      </w:pPr>
    </w:p>
    <w:p>
      <w:pPr>
        <w:ind w:left="980" w:right="620" w:hanging="483"/>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do not achieve the perceived benefits of the Merger as rapidly or to the extent anticipated by financial or industry analysts;</w:t>
      </w:r>
    </w:p>
    <w:p>
      <w:pPr>
        <w:spacing w:after="0" w:line="64" w:lineRule="exact"/>
        <w:rPr>
          <w:rFonts w:ascii="Arial" w:cs="Arial" w:eastAsia="Arial" w:hAnsi="Arial"/>
          <w:sz w:val="20"/>
          <w:szCs w:val="20"/>
          <w:color w:val="231F20"/>
        </w:rPr>
      </w:pPr>
    </w:p>
    <w:p>
      <w:pPr>
        <w:ind w:left="980" w:right="280" w:hanging="483"/>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of significant acquisitions, strategic collaborations, joint ventures or capital commitments by us or our competitors;</w:t>
      </w:r>
    </w:p>
    <w:p>
      <w:pPr>
        <w:sectPr>
          <w:pgSz w:w="11880" w:h="15480" w:orient="portrait"/>
          <w:cols w:equalWidth="0" w:num="1">
            <w:col w:w="10420"/>
          </w:cols>
          <w:pgMar w:left="720" w:top="750" w:right="740" w:bottom="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420"/>
          </w:cols>
          <w:pgMar w:left="720" w:top="750" w:right="740" w:bottom="0" w:gutter="0" w:footer="0" w:header="0"/>
          <w:type w:val="continuous"/>
        </w:sectPr>
      </w:pPr>
    </w:p>
    <w:bookmarkStart w:id="72" w:name="page73"/>
    <w:bookmarkEnd w:id="72"/>
    <w:p>
      <w:pPr>
        <w:ind w:left="980" w:hanging="483"/>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actions taken by regulatory agencies with respect to our product candidates, clinical studies, manufacturing process or sales and marketing terms;</w:t>
      </w:r>
    </w:p>
    <w:p>
      <w:pPr>
        <w:spacing w:after="0" w:line="64" w:lineRule="exact"/>
        <w:rPr>
          <w:rFonts w:ascii="Arial" w:cs="Arial" w:eastAsia="Arial" w:hAnsi="Arial"/>
          <w:sz w:val="20"/>
          <w:szCs w:val="20"/>
          <w:color w:val="231F20"/>
        </w:rPr>
      </w:pPr>
    </w:p>
    <w:p>
      <w:pPr>
        <w:ind w:left="980" w:right="220" w:hanging="483"/>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or other developments relating to proprietary rights, including patents, litigation matters, and our ability to obtain patent protection for our technologies;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additions or departures of key personnel;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lawsuits, including patent or stockholder litigation;</w:t>
      </w:r>
    </w:p>
    <w:p>
      <w:pPr>
        <w:spacing w:after="0" w:line="133" w:lineRule="exact"/>
        <w:rPr>
          <w:rFonts w:ascii="Arial" w:cs="Arial" w:eastAsia="Arial" w:hAnsi="Arial"/>
          <w:sz w:val="20"/>
          <w:szCs w:val="20"/>
          <w:color w:val="231F20"/>
        </w:rPr>
      </w:pPr>
    </w:p>
    <w:p>
      <w:pPr>
        <w:ind w:left="980" w:right="460" w:hanging="483"/>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if securities or industry analysts do not publish research or reports about our business, or if they issue adverse or misleading opinions regarding our business and stock;</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market valuations of similar companies;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market or macroeconomic conditions or market conditions in the pharmaceutical and biotechnology sectors;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of securities by us, the selling stockholders or other securityholders in the future;</w:t>
      </w:r>
    </w:p>
    <w:p>
      <w:pPr>
        <w:spacing w:after="0" w:line="133" w:lineRule="exact"/>
        <w:rPr>
          <w:rFonts w:ascii="Arial" w:cs="Arial" w:eastAsia="Arial" w:hAnsi="Arial"/>
          <w:sz w:val="20"/>
          <w:szCs w:val="20"/>
          <w:color w:val="231F20"/>
        </w:rPr>
      </w:pPr>
    </w:p>
    <w:p>
      <w:pPr>
        <w:ind w:left="980" w:right="480" w:hanging="483"/>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fail to raise an adequate amount of capital to fund our operations or continued development of our product candidates;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trading volume of our common stock;</w:t>
      </w:r>
    </w:p>
    <w:p>
      <w:pPr>
        <w:spacing w:after="0" w:line="133" w:lineRule="exact"/>
        <w:rPr>
          <w:rFonts w:ascii="Arial" w:cs="Arial" w:eastAsia="Arial" w:hAnsi="Arial"/>
          <w:sz w:val="20"/>
          <w:szCs w:val="20"/>
          <w:color w:val="231F20"/>
        </w:rPr>
      </w:pPr>
    </w:p>
    <w:p>
      <w:pPr>
        <w:ind w:left="980" w:right="220" w:hanging="483"/>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by competitors of new commercial products, clinical progress or lack thereof, significant contracts, commercial relationships or capital commitments;</w:t>
      </w:r>
    </w:p>
    <w:p>
      <w:pPr>
        <w:spacing w:after="0" w:line="64" w:lineRule="exact"/>
        <w:rPr>
          <w:rFonts w:ascii="Arial" w:cs="Arial" w:eastAsia="Arial" w:hAnsi="Arial"/>
          <w:sz w:val="20"/>
          <w:szCs w:val="20"/>
          <w:color w:val="231F20"/>
        </w:rPr>
      </w:pPr>
    </w:p>
    <w:p>
      <w:pPr>
        <w:ind w:left="980" w:right="160" w:hanging="483"/>
        <w:spacing w:after="0" w:line="276"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publicity relating to precision medicine product candidates, including with respect to other products in such markets;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introduction of technological innovations or new therapies that compete with our product candidates;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period-to-period fluctuations in our financial results;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the other factors described in this “Risk Factors” section.</w:t>
      </w:r>
    </w:p>
    <w:p>
      <w:pPr>
        <w:spacing w:after="0" w:line="1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p>
    <w:p>
      <w:pPr>
        <w:spacing w:after="0" w:line="7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In connection with a private placement we completed in February 2025, we filed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w:t>
      </w:r>
    </w:p>
    <w:p>
      <w:pPr>
        <w:sectPr>
          <w:pgSz w:w="11880" w:h="15480" w:orient="portrait"/>
          <w:cols w:equalWidth="0" w:num="1">
            <w:col w:w="10420"/>
          </w:cols>
          <w:pgMar w:left="720" w:top="764"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420"/>
          </w:cols>
          <w:pgMar w:left="720" w:top="764" w:right="740" w:bottom="0" w:gutter="0" w:footer="0" w:header="0"/>
          <w:type w:val="continuous"/>
        </w:sectPr>
      </w:pPr>
    </w:p>
    <w:bookmarkStart w:id="73" w:name="page74"/>
    <w:bookmarkEnd w:id="73"/>
    <w:p>
      <w:pPr>
        <w:spacing w:after="0" w:line="252" w:lineRule="auto"/>
        <w:rPr>
          <w:sz w:val="20"/>
          <w:szCs w:val="20"/>
          <w:color w:val="auto"/>
        </w:rPr>
      </w:pPr>
      <w:r>
        <w:rPr>
          <w:rFonts w:ascii="Times New Roman" w:cs="Times New Roman" w:eastAsia="Times New Roman" w:hAnsi="Times New Roman"/>
          <w:sz w:val="20"/>
          <w:szCs w:val="20"/>
          <w:color w:val="231F20"/>
        </w:rPr>
        <w:t>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19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executive officers, directors and principal stockholders have the ability to control or significantly influence all matters submitted to our stockholders for approval.</w:t>
      </w:r>
    </w:p>
    <w:p>
      <w:pPr>
        <w:spacing w:after="0" w:line="4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Based on the number of shares outstanding as of December 31, 2025, our executive officers, directors and principal stockholders, in the aggregate, beneficially own approximately 60%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00"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4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00"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broad discretion in the use of our cash and cash equivalents and may invest or spend the proceeds in ways with which you do not agree and in ways that may not increase the value of your investment.</w:t>
      </w:r>
    </w:p>
    <w:p>
      <w:pPr>
        <w:spacing w:after="0" w:line="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19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Because we do not anticipate paying any cash dividends on our share capital in the foreseeable future, capital appreciation, if any, will be your sole source of gain.</w:t>
      </w:r>
    </w:p>
    <w:p>
      <w:pPr>
        <w:spacing w:after="0" w:line="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9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68"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color w:val="231F20"/>
        </w:rPr>
        <w:t>Our charter and bylaws and Delaware law contain provisions that may have the effect of delaying or preventing a change in control of the Company or changes in our management. Our charter and bylaws, include provisions that:</w:t>
      </w:r>
    </w:p>
    <w:p>
      <w:pPr>
        <w:spacing w:after="0" w:line="64" w:lineRule="exact"/>
        <w:rPr>
          <w:sz w:val="20"/>
          <w:szCs w:val="20"/>
          <w:color w:val="auto"/>
        </w:rPr>
      </w:pPr>
    </w:p>
    <w:p>
      <w:pPr>
        <w:ind w:left="980" w:right="180" w:hanging="483"/>
        <w:spacing w:after="0" w:line="276" w:lineRule="auto"/>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authorize “blank check” preferred stock, which could be issued by the Board without stockholder approval and may contain voting, liquidation, dividend and other rights superior to our common stock;</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create a classified board of directors whose members serve staggered three-year terms;</w:t>
      </w:r>
    </w:p>
    <w:p>
      <w:pPr>
        <w:spacing w:after="0" w:line="133" w:lineRule="exact"/>
        <w:rPr>
          <w:rFonts w:ascii="Arial" w:cs="Arial" w:eastAsia="Arial" w:hAnsi="Arial"/>
          <w:sz w:val="20"/>
          <w:szCs w:val="20"/>
          <w:color w:val="231F20"/>
        </w:rPr>
      </w:pPr>
    </w:p>
    <w:p>
      <w:pPr>
        <w:ind w:left="980" w:right="220" w:hanging="483"/>
        <w:spacing w:after="0" w:line="276" w:lineRule="auto"/>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specify that special meetings of our stockholders can be called only by the Board, the chairperson of the Board, our Chief Executive Officer or our President;</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prohibit stockholder action by written consent;</w:t>
      </w:r>
    </w:p>
    <w:p>
      <w:pPr>
        <w:spacing w:after="0" w:line="133" w:lineRule="exact"/>
        <w:rPr>
          <w:rFonts w:ascii="Arial" w:cs="Arial" w:eastAsia="Arial" w:hAnsi="Arial"/>
          <w:sz w:val="20"/>
          <w:szCs w:val="20"/>
          <w:color w:val="231F20"/>
        </w:rPr>
      </w:pPr>
    </w:p>
    <w:p>
      <w:pPr>
        <w:ind w:left="980" w:right="600" w:hanging="483"/>
        <w:spacing w:after="0" w:line="276" w:lineRule="auto"/>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an advance notice procedure for stockholder approvals to be brought before an annual meeting of our stockholders, including proposed nominations of persons for election to the Board;</w:t>
      </w:r>
    </w:p>
    <w:p>
      <w:pPr>
        <w:sectPr>
          <w:pgSz w:w="11880" w:h="15480" w:orient="portrait"/>
          <w:cols w:equalWidth="0" w:num="1">
            <w:col w:w="10440"/>
          </w:cols>
          <w:pgMar w:left="720" w:top="750" w:right="720" w:bottom="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440"/>
          </w:cols>
          <w:pgMar w:left="720" w:top="750" w:right="720" w:bottom="0" w:gutter="0" w:footer="0" w:header="0"/>
          <w:type w:val="continuous"/>
        </w:sectPr>
      </w:pPr>
    </w:p>
    <w:bookmarkStart w:id="74" w:name="page75"/>
    <w:bookmarkEnd w:id="74"/>
    <w:p>
      <w:pPr>
        <w:ind w:left="980" w:hanging="483"/>
        <w:spacing w:after="0"/>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our directors may be removed only for cause;</w:t>
      </w:r>
    </w:p>
    <w:p>
      <w:pPr>
        <w:spacing w:after="0" w:line="133" w:lineRule="exact"/>
        <w:rPr>
          <w:rFonts w:ascii="Arial" w:cs="Arial" w:eastAsia="Arial" w:hAnsi="Arial"/>
          <w:sz w:val="20"/>
          <w:szCs w:val="20"/>
          <w:color w:val="231F20"/>
        </w:rPr>
      </w:pPr>
    </w:p>
    <w:p>
      <w:pPr>
        <w:ind w:left="980" w:hanging="483"/>
        <w:spacing w:after="0" w:line="276" w:lineRule="auto"/>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vacancies on the Board may be filled only by a majority of directors then in office, even though less than a quorum;</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specify that no stockholder is permitted to cumulate votes at any election of directors;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expressly authorize the Board to modify, alter or repeal our amended and restated by-laws; and</w:t>
      </w:r>
    </w:p>
    <w:p>
      <w:pPr>
        <w:spacing w:after="0" w:line="133" w:lineRule="exact"/>
        <w:rPr>
          <w:rFonts w:ascii="Arial" w:cs="Arial" w:eastAsia="Arial" w:hAnsi="Arial"/>
          <w:sz w:val="20"/>
          <w:szCs w:val="20"/>
          <w:color w:val="231F20"/>
        </w:rPr>
      </w:pPr>
    </w:p>
    <w:p>
      <w:pPr>
        <w:ind w:left="980" w:right="380" w:hanging="483"/>
        <w:spacing w:after="0" w:line="276" w:lineRule="auto"/>
        <w:tabs>
          <w:tab w:leader="none" w:pos="98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supermajority votes of the holders of our common stock to amend specified provisions of our charter and bylaws.</w:t>
      </w:r>
    </w:p>
    <w:p>
      <w:pPr>
        <w:spacing w:after="0" w:line="50" w:lineRule="exact"/>
        <w:rPr>
          <w:sz w:val="20"/>
          <w:szCs w:val="20"/>
          <w:color w:val="auto"/>
        </w:rPr>
      </w:pPr>
    </w:p>
    <w:p>
      <w:pPr>
        <w:ind w:right="1000"/>
        <w:spacing w:after="0" w:line="277" w:lineRule="auto"/>
        <w:rPr>
          <w:sz w:val="20"/>
          <w:szCs w:val="20"/>
          <w:color w:val="auto"/>
        </w:rPr>
      </w:pPr>
      <w:r>
        <w:rPr>
          <w:rFonts w:ascii="Times New Roman" w:cs="Times New Roman" w:eastAsia="Times New Roman" w:hAnsi="Times New Roman"/>
          <w:sz w:val="20"/>
          <w:szCs w:val="20"/>
          <w:color w:val="231F20"/>
        </w:rPr>
        <w:t>These provisions, alone or together, could delay or prevent hostile takeovers and changes in control or changes in our management.</w:t>
      </w:r>
    </w:p>
    <w:p>
      <w:pPr>
        <w:spacing w:after="0" w:line="4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231F20"/>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4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231F20"/>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bylaws contain exclusive forum provisions, which may limit a stockholder’s ability to bring a claim in a judicial forum it finds favorable and may discourage lawsuits with respect to such claims.</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9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400"/>
          </w:cols>
          <w:pgMar w:left="720" w:top="76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400"/>
          </w:cols>
          <w:pgMar w:left="720" w:top="764" w:right="7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 and development of therapeutic proteins and antibodies (“Information Systems and Data”).</w:t>
      </w:r>
    </w:p>
    <w:p>
      <w:pPr>
        <w:spacing w:after="0" w:line="7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Our Information Technology (“IT”) Department, led by our Vice President of IT, helps identify, assess and manage the Company’s cybersecurity threats and risks. Our IT Department identifies and assesses risks from cybersecurity threats by monitoring and evaluating our threat environment using various methods including, for example manual and automated tools, subscribing to reports and services that identify cybersecurity threats, analyzing reports of threats and threat actors, conducting scans of the threat environment, evaluating and assessing threats reported to us, coordinating with law enforcement about certain threats as may be appropriate, conducting internal and external audits and conducting risk and threat assessments.</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our incident response plan, incident detection and response procedures, disaster recovery and business continuity plans, encryption of certain data, network security controls, data segmentation, access and physical security controls, asset management and disposal, monitoring of our systems, employee training, and maintaining cybersecurity insurance.</w:t>
      </w:r>
    </w:p>
    <w:p>
      <w:pPr>
        <w:spacing w:after="0" w:line="7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231F20"/>
        </w:rPr>
        <w:t>Our assessment and management of material risks from cybersecurity threats are integrated into the Company’s overall risk management processes. For example, cybersecurity risk is addressed as a component of the Company’s enterprise risk management program and the IT Department works with management to prioritize our risk management processes and mitigate cybersecurity threats that are more likely to lead to a material impact to our business.</w:t>
      </w:r>
    </w:p>
    <w:p>
      <w:pPr>
        <w:spacing w:after="0" w:line="74" w:lineRule="exact"/>
        <w:rPr>
          <w:sz w:val="20"/>
          <w:szCs w:val="20"/>
          <w:color w:val="auto"/>
        </w:rPr>
      </w:pPr>
    </w:p>
    <w:p>
      <w:pPr>
        <w:ind w:right="1020"/>
        <w:spacing w:after="0" w:line="277" w:lineRule="auto"/>
        <w:rPr>
          <w:sz w:val="20"/>
          <w:szCs w:val="20"/>
          <w:color w:val="auto"/>
        </w:rPr>
      </w:pPr>
      <w:r>
        <w:rPr>
          <w:rFonts w:ascii="Times New Roman" w:cs="Times New Roman" w:eastAsia="Times New Roman" w:hAnsi="Times New Roman"/>
          <w:sz w:val="20"/>
          <w:szCs w:val="20"/>
          <w:color w:val="231F20"/>
        </w:rPr>
        <w:t>We use third-party service providers to assist us from time to time to identify, assess, and manage material risks from cybersecurity threats, including for example cybersecurity consultants and managed cybersecurity providers.</w:t>
      </w:r>
    </w:p>
    <w:p>
      <w:pPr>
        <w:spacing w:after="0" w:line="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231F20"/>
        </w:rPr>
        <w:t>We use third-party service providers to perform a variety of functions throughout our business, such as application providers, hosting companies, and third parties associated with our clinical trial development, such as contract research organizations and contract manufacturing organizations.</w:t>
      </w:r>
    </w:p>
    <w:p>
      <w:pPr>
        <w:spacing w:after="0" w:line="6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We have vendor management processes to manage cybersecurity risks associated with our use of certain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7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For a description of the risks from cybersecurity threats that may materially affect the Company and how they may do so, see our risk factors under Part 1. Item 1A. Risk Factors in this Annual Report on Form 10-K, including if our information technology systems, or the information technology systems of our CROs, our CDMOs, service providers, our current and potential future partners or other third parties with whom we work were compromised, we could experience adverse consequences, including but not limited to material disruptions to our business operations, regulatory investigations or actions, litigation, fines and penalties, reputational harm, loss of revenue or profits, or other adverse consequences.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2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231F20"/>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Our cybersecurity risk assessment and management processes are implemented and maintained by certain Company management, including our VP of IT, who has over 25 years of IT experience and 10 years of cybersecurity management expertise.</w:t>
      </w:r>
    </w:p>
    <w:p>
      <w:pPr>
        <w:spacing w:after="0" w:line="4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Our VP of IT is responsible for hiring appropriate personnel, helping to integrate cybersecurity risk considerations into the Company’s overall risk management strategy, and communicating key priorities to relevant personnel. Our Chief Financial Officer is responsible for approving budgets, helping prepare for cybersecurity incidents, approving cybersecurity processes, and reviewing security assessments and other security-related reports.</w:t>
      </w:r>
    </w:p>
    <w:p>
      <w:pPr>
        <w:spacing w:after="0" w:line="7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Our cybersecurity incident response plan is designed to escalate certain cybersecurity incidents to members of management depending on the circumstances. Management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 as appropriate.</w:t>
      </w:r>
    </w:p>
    <w:p>
      <w:pPr>
        <w:sectPr>
          <w:pgSz w:w="11880" w:h="15480" w:orient="portrait"/>
          <w:cols w:equalWidth="0" w:num="1">
            <w:col w:w="10420"/>
          </w:cols>
          <w:pgMar w:left="720" w:top="746" w:right="7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420"/>
          </w:cols>
          <w:pgMar w:left="720" w:top="746" w:right="740" w:bottom="0" w:gutter="0" w:footer="0" w:header="0"/>
          <w:type w:val="continuous"/>
        </w:sectPr>
      </w:pPr>
    </w:p>
    <w:bookmarkStart w:id="76" w:name="page77"/>
    <w:bookmarkEnd w:id="76"/>
    <w:p>
      <w:pPr>
        <w:ind w:right="80"/>
        <w:spacing w:after="0" w:line="258" w:lineRule="auto"/>
        <w:rPr>
          <w:sz w:val="20"/>
          <w:szCs w:val="20"/>
          <w:color w:val="auto"/>
        </w:rPr>
      </w:pPr>
      <w:r>
        <w:rPr>
          <w:rFonts w:ascii="Times New Roman" w:cs="Times New Roman" w:eastAsia="Times New Roman" w:hAnsi="Times New Roman"/>
          <w:sz w:val="20"/>
          <w:szCs w:val="20"/>
          <w:color w:val="231F20"/>
        </w:rPr>
        <w:t>The audit committee receives periodic reports our VP of IT concerning the Company’s significant cybersecurity threats and risk and the processes the Company has implemented to address them. The audit committee also can request access to various reports, summaries or presentations related to cybersecurity threats, risk and mitigation.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corporate headquarters are currently located in Watertown, Massachusetts, where we lease approximately 33,000 square feet of research laboratory and office space under a lease that expires in 2029. We believe our current facilities are adequate to meet our present operational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340"/>
          </w:cols>
          <w:pgMar w:left="720" w:top="7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340"/>
          </w:cols>
          <w:pgMar w:left="720" w:top="750" w:right="820" w:bottom="0" w:gutter="0" w:footer="0" w:header="0"/>
          <w:type w:val="continuous"/>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23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0"/>
          <w:szCs w:val="20"/>
          <w:color w:val="231F20"/>
        </w:rPr>
        <w:t>Our common stock is traded on the Nasdaq Global Market under the symbol “TECX”. Public trading of our common stock began on June 21,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 of Common Stock</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As of February 16, 2026, there were 30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23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20"/>
          <w:szCs w:val="20"/>
          <w:color w:val="231F20"/>
        </w:rPr>
        <w:t>We have never declared or paid any cash dividends on our common stock and do not anticipate paying cash dividends in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10380"/>
          </w:cols>
          <w:pgMar w:left="720" w:top="74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380"/>
          </w:cols>
          <w:pgMar w:left="720" w:top="746" w:right="7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2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83"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i w:val="1"/>
          <w:iCs w:val="1"/>
          <w:color w:val="231F20"/>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subsibdiaries prior to the Merger, and the business and operations of Tectonic Therapeutic, Inc. (previously AVROBIO, Inc., referred to as “AVROBIO”) and its consolidated subsidiaries following the Merger.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We are a clinical- 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8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Our lead product candidates are TX45, an Fc-relaxin fusion molecule that activates the RXFP1 receptor, the GPCR target of the hormone relaxin, and TX2100, a VHH-Fc fusion antagonist antibody that binds to the APJ receptor (“APLNR”).</w:t>
      </w:r>
    </w:p>
    <w:p>
      <w:pPr>
        <w:spacing w:after="0" w:line="49"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231F20"/>
        </w:rPr>
        <w:t>In September 2024, we announced favorable results from a Phase 1a clinical trial evaluating safety, tolerability and pharmacokinetic (“PK”) and pharmacodynamic (“PD”) properties for TX45. In this clinical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clinical trial.</w:t>
      </w:r>
    </w:p>
    <w:p>
      <w:pPr>
        <w:spacing w:after="0" w:line="7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231F20"/>
        </w:rPr>
        <w:t>In May 2025, we announced the complete results from Part A of the Phase 1b hemodynamic clinical trial of TX45 in subjects with Group 2 Pulmonary Hypertension (“PH”) in Heart Failure with Preserved Ejection Fraction (“HFpEF”), known as PH-HFpEF. Part A of the TX45 Phase 1b clinical trial was a single dose IV, open-label clinical trial evaluating the safety, tolerability and hemodynamic effects of TX45 over an 8-hour period in subjects with PH-HFpEF. The complete data from Part A confirmed the tolerability and hemodynamic effects of TX45 in subjects with PH-HFpEF previously reported in the interim data in January 2025. Based on the complete dataset, TX45 was well-tolerated in subjects with PH-HFpEF with no serious or severe adverse events. In the overall study population of the complete dataset, TX45 achieved a 19.0% reduction in pulmonary capillary wedge pressure (“PCWP”), an endpoint reported to correlate with exercise capacity, morbidity and mortality in patients with heart failure, and an 18.5% improvement in cardiac output. In the subpopulation with combined pre- and post-capillary pulmonary hypertension (“CpcPH”) who have an elevated Pulmonary Vascular Resistance (“PVR”) and more severe disease, TX45 demonstrated &gt;30% reduction in PVR, which along with PCWP is correlated to exercise capacity and mortality in this patient population.</w:t>
      </w:r>
    </w:p>
    <w:p>
      <w:pPr>
        <w:spacing w:after="0" w:line="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In October 2025, we announced the topline results from Part B of the Phase 1b hemodynamic clinical trial of TX45 in subjects with Group 2 PH in Heart Failure with Reduced Ejection Fraction (“PH-HFrEF”). Part B of the TX45 Phase 1b clinical trial had a similar design as the Phase 1b Part A, assessing hemodynamic effects of TX45 but was conducted in subjects with PH-HFrEF. Based on the topline results, TX45 was well-tolerated in subjects with PH-HFrEF with no serious or severe adverse events. In the overall study population, TX45 achieved a 29.2% reduction in PCWP, an endpoint reported to correlate with exercise capacity, morbidity and mortality in patients with heart failure, and a 17.3% improvement in cardiac output. In the subpopulation with CpcPH who have an elevated PVR and more severe disease, TX45 demonstrated a 19.7% reduction in PVR in patients with a PVR equal to or greater than 3 Wood Units and a 10.3% reduction in PVR in patients with a PVR equal to or greater than 2 Wood Units. PVR along with PCWP is correlated to exercise capacity and mortality in this patient population.</w:t>
      </w:r>
    </w:p>
    <w:p>
      <w:pPr>
        <w:spacing w:after="0" w:line="8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231F20"/>
        </w:rPr>
        <w:t>The ongoing APEX Phase 2 clinical trial is a global, 24-week, placebo-controlled trial designed to evaluate the safety and efficacy of TX45 administered subcutaneously (“SC”) in subjects with PH-HFpEF, enriched for CpcPH. We dosed our first subject in the APEX Phase 2 clinical trial in October 2024. Subjects are being randomized to 300 mg SC (2 ml injection) once monthly of TX45, 300 mg SC once every other week of TX45, or placebo. Change from baseline in PVR in the PVR</w:t>
      </w:r>
      <w:r>
        <w:rPr>
          <w:rFonts w:ascii="Times New Roman" w:cs="Times New Roman" w:eastAsia="Times New Roman" w:hAnsi="Times New Roman"/>
          <w:sz w:val="20"/>
          <w:szCs w:val="20"/>
          <w:u w:val="single" w:color="auto"/>
          <w:color w:val="231F20"/>
        </w:rPr>
        <w:t>&gt;</w:t>
      </w:r>
      <w:r>
        <w:rPr>
          <w:rFonts w:ascii="Times New Roman" w:cs="Times New Roman" w:eastAsia="Times New Roman" w:hAnsi="Times New Roman"/>
          <w:sz w:val="20"/>
          <w:szCs w:val="20"/>
          <w:color w:val="231F20"/>
        </w:rPr>
        <w:t>3 population is the primary endpoint of the trial. The trial is designed to enrich patients with a PVR</w:t>
      </w:r>
      <w:r>
        <w:rPr>
          <w:rFonts w:ascii="Times New Roman" w:cs="Times New Roman" w:eastAsia="Times New Roman" w:hAnsi="Times New Roman"/>
          <w:sz w:val="20"/>
          <w:szCs w:val="20"/>
          <w:u w:val="single" w:color="auto"/>
          <w:color w:val="231F20"/>
        </w:rPr>
        <w:t>&gt;</w:t>
      </w:r>
      <w:r>
        <w:rPr>
          <w:rFonts w:ascii="Times New Roman" w:cs="Times New Roman" w:eastAsia="Times New Roman" w:hAnsi="Times New Roman"/>
          <w:sz w:val="20"/>
          <w:szCs w:val="20"/>
          <w:color w:val="231F20"/>
        </w:rPr>
        <w:t>3 aiming for 70% of patients enrolled. We expect topline results from the APEX clinical trial in 2026.</w:t>
      </w:r>
    </w:p>
    <w:p>
      <w:pPr>
        <w:sectPr>
          <w:pgSz w:w="11880" w:h="15480" w:orient="portrait"/>
          <w:cols w:equalWidth="0" w:num="1">
            <w:col w:w="10420"/>
          </w:cols>
          <w:pgMar w:left="720" w:top="746" w:right="74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420"/>
          </w:cols>
          <w:pgMar w:left="720" w:top="746" w:right="740" w:bottom="0" w:gutter="0" w:footer="0" w:header="0"/>
          <w:type w:val="continuous"/>
        </w:sectPr>
      </w:pPr>
    </w:p>
    <w:bookmarkStart w:id="79" w:name="page80"/>
    <w:bookmarkEnd w:id="79"/>
    <w:p>
      <w:pPr>
        <w:ind w:right="20"/>
        <w:spacing w:after="0" w:line="244" w:lineRule="auto"/>
        <w:rPr>
          <w:sz w:val="20"/>
          <w:szCs w:val="20"/>
          <w:color w:val="auto"/>
        </w:rPr>
      </w:pPr>
      <w:r>
        <w:rPr>
          <w:rFonts w:ascii="Times New Roman" w:cs="Times New Roman" w:eastAsia="Times New Roman" w:hAnsi="Times New Roman"/>
          <w:sz w:val="20"/>
          <w:szCs w:val="20"/>
          <w:color w:val="231F20"/>
        </w:rPr>
        <w:t>In February 2026, the first site was activated and opened for screening in the 16-week, open label, repeat dose, Phase 2 clinical trial to evaluate TX45’s safety and hemodynamic effects in up to 25 subjects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remodeling and anti-fibrotic activity. In patients with PH-ILD, elevation in PVR and mean pulmonary arterial pressure (“mPAP”) has been associated with increased mortality. In the Phase 1b trial in both CpcPH-HFpEF and CpcPH-HFrEF, TX45 resulted in significant reductions in mPAP and PVR as well as improvements in other hemodynamic endpoints. The TX45 PH-ILD Phase 2 trial will initiate at a dose of TX45 300 mg every four weeks administered SC with a primary efficacy endpoint of change from baseline in PVR at Week 16.</w:t>
      </w:r>
    </w:p>
    <w:p>
      <w:pPr>
        <w:spacing w:after="0" w:line="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Our lead product candidate, TX2100, is being evaluated for the treatment of Hereditary Hemorrhagic Telangiectasia (“HHT”), the second most common genetic bleeding disorder with no approved therapy. TX2100 is a VHH-Fc fusion antagonist antibody that binds to APJ (also known as the apelin receptor; APLNR), a GPCR that mediates signaling by the pro-angiogenic peptide hormone apelin. A rodent surrogate of TX2100 demonstrated reductions in arteriovenous malformation (“AVM”) formation, bleeding, and anemia across the neonatal anti-BMP9/10 immunoblocked model and the more severe, adult inducible ALK1 knockout mouse model of HHT, supporting disease-modifying activity through APJ antagonism. TX2100 was further evaluated in non-human primates in IND-enabling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(“GMP”) have been completed to support initiation of a Phase 1a clinical trial. In February 2026, we randomized the first subject in the Phase 1a healthy volunteer clinical trial for TX2100. We are also planning a Phase 1b clinical trial to explore the safety and efficacy (epistaxis, anemia, and hematological support) of TX2100 in patients with severe HHT. In addition, subject to positive Phase 1a results, we plan to initiate a Phase 2 clinical trial for TX2100 in early 2027.</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Private Placement</w:t>
      </w:r>
    </w:p>
    <w:p>
      <w:pPr>
        <w:spacing w:after="0" w:line="1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In February 2025, we entered into a securities purchase agreement (the “Private Placement”) pursuant to which we issued an aggregate of 3,689,465 shares of common stock, at a price of $50.00 per share to institutional accredited investors and $ 54.14 per share to individual accredited investors that are either an officer or director of the Company. The net proceeds from the Private Placement were approximately $173.1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Merger with AVROBIO</w:t>
      </w:r>
    </w:p>
    <w:p>
      <w:pPr>
        <w:spacing w:after="0" w:line="120"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231F20"/>
        </w:rPr>
        <w:t>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Components of our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Research and Development Expenses</w:t>
      </w:r>
    </w:p>
    <w:p>
      <w:pPr>
        <w:spacing w:after="0" w:line="11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231F20"/>
        </w:rPr>
        <w:t>Research and development expenses consist of costs incurred in connection with our research activities, including discovery efforts and the preclinical and clinical development of our programs, product candidates, and platform. These expenses include:</w:t>
      </w:r>
    </w:p>
    <w:p>
      <w:pPr>
        <w:spacing w:after="0" w:line="64" w:lineRule="exact"/>
        <w:rPr>
          <w:sz w:val="20"/>
          <w:szCs w:val="20"/>
          <w:color w:val="auto"/>
        </w:rPr>
      </w:pPr>
    </w:p>
    <w:p>
      <w:pPr>
        <w:ind w:left="980" w:right="560" w:hanging="483"/>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employee-related expenses, including salaries, bonuses, benefits and stock-based compensation, for employees engaged in research and development functions;</w:t>
      </w:r>
    </w:p>
    <w:p>
      <w:pPr>
        <w:spacing w:after="0" w:line="64" w:lineRule="exact"/>
        <w:rPr>
          <w:rFonts w:ascii="Arial" w:cs="Arial" w:eastAsia="Arial" w:hAnsi="Arial"/>
          <w:sz w:val="20"/>
          <w:szCs w:val="20"/>
          <w:color w:val="231F20"/>
        </w:rPr>
      </w:pPr>
    </w:p>
    <w:p>
      <w:pPr>
        <w:ind w:left="980" w:right="160" w:hanging="483"/>
        <w:spacing w:after="0" w:line="276"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incurred in connection with research and the preclinical and clinical development of our programs and our product candidates, including fees paid to contract research organizations (“CROs”);</w:t>
      </w:r>
    </w:p>
    <w:p>
      <w:pPr>
        <w:sectPr>
          <w:pgSz w:w="11880" w:h="15480" w:orient="portrait"/>
          <w:cols w:equalWidth="0" w:num="1">
            <w:col w:w="10420"/>
          </w:cols>
          <w:pgMar w:left="720" w:top="750" w:right="74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420"/>
          </w:cols>
          <w:pgMar w:left="720" w:top="750" w:right="740" w:bottom="0" w:gutter="0" w:footer="0" w:header="0"/>
          <w:type w:val="continuous"/>
        </w:sectPr>
      </w:pPr>
    </w:p>
    <w:bookmarkStart w:id="80" w:name="page81"/>
    <w:bookmarkEnd w:id="80"/>
    <w:p>
      <w:pPr>
        <w:ind w:left="980" w:right="160" w:hanging="483"/>
        <w:spacing w:after="0" w:line="276"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related to manufacturing materials for our preclinical studies and clinical trials, including fees paid to contract development and manufacturing organizations (“CDMOs”);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laboratory supplies, consumables and other research materials;</w:t>
      </w:r>
    </w:p>
    <w:p>
      <w:pPr>
        <w:spacing w:after="0" w:line="133" w:lineRule="exact"/>
        <w:rPr>
          <w:rFonts w:ascii="Arial" w:cs="Arial" w:eastAsia="Arial" w:hAnsi="Arial"/>
          <w:sz w:val="20"/>
          <w:szCs w:val="20"/>
          <w:color w:val="231F20"/>
        </w:rPr>
      </w:pPr>
    </w:p>
    <w:p>
      <w:pPr>
        <w:ind w:left="980" w:right="360" w:hanging="483"/>
        <w:spacing w:after="0" w:line="276"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facilities, depreciation, and other expenses related to research and development activities, which include direct or allocated expenses for rent, utilities, and facility maintenance;</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related to compliance with regulatory requirements; and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payments made under third-party licensing agreements.</w:t>
      </w:r>
    </w:p>
    <w:p>
      <w:pPr>
        <w:spacing w:after="0" w:line="11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231F20"/>
        </w:rPr>
        <w:t>We expense all research and development costs as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Upfront payments under license agreements are expensed upon receipt of the license.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7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Costs that are deployed across multiple programs or platform activities and not directly attributable to any single program are recorded as platform development and unallocated research and development expenses, which include multi-program employee-related costs, cross-program licensing payments, laboratory supplies and related expenses, contract research, manufacturing and consulting services, facility-related and other expenses, including depreciation, and discovery efforts.</w:t>
      </w:r>
    </w:p>
    <w:p>
      <w:pPr>
        <w:spacing w:after="0" w:line="7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Research and development activities are central to our business. Later-stage clinical programs generally incur higher costs than early-stage programs due to the increased size and duration of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will continue to evaluate which product candidates to pursue and the allocation of funding based on preclinical and clinical results, regulatory developments, and commercial potential. We expect our research and development expenses to increase significantly as we advance our product candidates through clinical development and initiate additional clinical trials. Our future expenses may vary significantly each period based on factors such as:</w:t>
      </w:r>
    </w:p>
    <w:p>
      <w:pPr>
        <w:spacing w:after="0" w:line="100" w:lineRule="exact"/>
        <w:rPr>
          <w:sz w:val="20"/>
          <w:szCs w:val="20"/>
          <w:color w:val="auto"/>
        </w:rPr>
      </w:pPr>
    </w:p>
    <w:p>
      <w:pPr>
        <w:ind w:left="980" w:right="1080" w:hanging="483"/>
        <w:spacing w:after="0" w:line="276" w:lineRule="auto"/>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expenses incurred to conduct preclinical studies required to advance our product candidates into clinical development;</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per patient trial costs, based on the number of doses that patients receive;</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patients who enroll in each trial;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trials required for approval;</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of sites included in the trials;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countries in which the trials are conducted;</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length of time required to enroll eligible patients;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drop-out or discontinuation rates of patients;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additional safety monitoring requested by regulatory agencies;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duration of patient participation in the trials and follow-up;</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phase of development of the product candidate;</w:t>
      </w:r>
    </w:p>
    <w:p>
      <w:pPr>
        <w:spacing w:after="0" w:line="133" w:lineRule="exact"/>
        <w:rPr>
          <w:rFonts w:ascii="Arial" w:cs="Arial" w:eastAsia="Arial" w:hAnsi="Arial"/>
          <w:sz w:val="20"/>
          <w:szCs w:val="20"/>
          <w:color w:val="231F20"/>
        </w:rPr>
      </w:pPr>
    </w:p>
    <w:p>
      <w:pPr>
        <w:ind w:left="980" w:right="100" w:hanging="483"/>
        <w:spacing w:after="0" w:line="276" w:lineRule="auto"/>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contractors failing to comply with regulatory requirements or meet their contractual obligations to us in a timely manner, or at all;</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ability to manufacture our product candidates;</w:t>
      </w:r>
    </w:p>
    <w:p>
      <w:pPr>
        <w:sectPr>
          <w:pgSz w:w="11880" w:h="15480" w:orient="portrait"/>
          <w:cols w:equalWidth="0" w:num="1">
            <w:col w:w="10400"/>
          </w:cols>
          <w:pgMar w:left="720" w:top="76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400"/>
          </w:cols>
          <w:pgMar w:left="720" w:top="764" w:right="760" w:bottom="0" w:gutter="0" w:footer="0" w:header="0"/>
          <w:type w:val="continuous"/>
        </w:sectPr>
      </w:pPr>
    </w:p>
    <w:bookmarkStart w:id="81" w:name="page82"/>
    <w:bookmarkEnd w:id="81"/>
    <w:p>
      <w:pPr>
        <w:ind w:left="980" w:right="660" w:hanging="483"/>
        <w:spacing w:after="0" w:line="258"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81" w:lineRule="exact"/>
        <w:rPr>
          <w:rFonts w:ascii="Arial" w:cs="Arial" w:eastAsia="Arial" w:hAnsi="Arial"/>
          <w:sz w:val="20"/>
          <w:szCs w:val="20"/>
          <w:color w:val="231F20"/>
        </w:rPr>
      </w:pPr>
    </w:p>
    <w:p>
      <w:pPr>
        <w:ind w:left="980" w:hanging="483"/>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efficacy and safety profile of our product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General and Administrative Expenses</w:t>
      </w:r>
    </w:p>
    <w:p>
      <w:pPr>
        <w:spacing w:after="0" w:line="1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General and administrative expenses consist primarily of employee-related costs, including salaries, bonuses, benefits and stock-based compensation, for our personnel in executive, finance and information technology, and other administrative functions. General and administrative expenses also include professional fees for legal, accounting, and consulting services, insurance costs, facilities and information technology expenses, investor relations and public company compliance costs, and other general corporate overhead. As a clinical-stage company, our general and administrative expenses are driven in part by the costs required to support our research and development activities and to operate as a public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Income</w:t>
      </w:r>
    </w:p>
    <w:p>
      <w:pPr>
        <w:spacing w:after="0" w:line="11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Interest income primarily consists of interest earned on money market funds, which are included in cash and cash equivalents on the Consolidated Balance Sheet.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Loss on Issuance of SAFE Liabilities and Change in Fair Value of SAFE Liabilities</w:t>
      </w:r>
    </w:p>
    <w:p>
      <w:pPr>
        <w:spacing w:after="0" w:line="118" w:lineRule="exact"/>
        <w:rPr>
          <w:sz w:val="20"/>
          <w:szCs w:val="20"/>
          <w:color w:val="auto"/>
        </w:rPr>
      </w:pPr>
    </w:p>
    <w:p>
      <w:pPr>
        <w:jc w:val="both"/>
        <w:ind w:right="280"/>
        <w:spacing w:after="0" w:line="252" w:lineRule="auto"/>
        <w:rPr>
          <w:sz w:val="20"/>
          <w:szCs w:val="20"/>
          <w:color w:val="auto"/>
        </w:rPr>
      </w:pPr>
      <w:r>
        <w:rPr>
          <w:rFonts w:ascii="Times New Roman" w:cs="Times New Roman" w:eastAsia="Times New Roman" w:hAnsi="Times New Roman"/>
          <w:sz w:val="20"/>
          <w:szCs w:val="20"/>
          <w:color w:val="231F20"/>
        </w:rPr>
        <w:t>In October and December 2023, Legacy Tectonic issued SAFEs for proceeds of $34.1 million. The SAFEs were recorded as liabilities in the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12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During the year ended December 31, 2025, we recorded income tax expense of approximately $1.2 million related to the dissolution of our wholly owned Australian subsidiary, Tectonic Therapeutic Pty Ltd. This entity is being dissolved as part of a broader corporate initiative intended to streamline operations and reduce administrative costs. The dissolution triggered a taxable event under Australian tax law due to the deemed disposition of certain assets at fair market value. As a result, we recognized a tax liability based on the difference between the carrying amount of these assets for financial reporting purposes and their tax basis. The dissolution does not have a significant impact on our effective tax rate for the period, but it did result in a discrete item within the period. We do not expect material ongoing tax consequences from this dissolution.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2025 and 2024</w:t>
      </w:r>
    </w:p>
    <w:p>
      <w:pPr>
        <w:spacing w:after="0" w:line="1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 xml:space="preserve">The following tables summarize our results of operations for the years ended December 31, 2025 and 2024 </w:t>
      </w:r>
      <w:r>
        <w:rPr>
          <w:rFonts w:ascii="Times New Roman" w:cs="Times New Roman" w:eastAsia="Times New Roman" w:hAnsi="Times New Roman"/>
          <w:sz w:val="19"/>
          <w:szCs w:val="19"/>
          <w:color w:val="231F20"/>
        </w:rPr>
        <w:t>(in thousands, except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percentages)</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13" w:lineRule="exact"/>
        <w:rPr>
          <w:sz w:val="20"/>
          <w:szCs w:val="20"/>
          <w:color w:val="auto"/>
        </w:rPr>
      </w:pPr>
    </w:p>
    <w:tbl>
      <w:tblPr>
        <w:tblLayout w:type="fixed"/>
        <w:tblInd w:w="74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40" w:type="dxa"/>
            <w:vAlign w:val="bottom"/>
          </w:tcPr>
          <w:p>
            <w:pPr>
              <w:spacing w:after="0"/>
              <w:rPr>
                <w:sz w:val="17"/>
                <w:szCs w:val="17"/>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 Change</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 Change</w:t>
            </w:r>
          </w:p>
        </w:tc>
        <w:tc>
          <w:tcPr>
            <w:tcW w:w="0" w:type="dxa"/>
            <w:vAlign w:val="bottom"/>
          </w:tcPr>
          <w:p>
            <w:pPr>
              <w:spacing w:after="0"/>
              <w:rPr>
                <w:sz w:val="1"/>
                <w:szCs w:val="1"/>
                <w:color w:val="auto"/>
              </w:rPr>
            </w:pPr>
          </w:p>
        </w:tc>
      </w:tr>
      <w:tr>
        <w:trPr>
          <w:trHeight w:val="193"/>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6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Borders>
              <w:top w:val="single" w:sz="8" w:color="231F20"/>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22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vMerge w:val="continue"/>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63,489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41,364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22,125</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53%</w:t>
            </w:r>
          </w:p>
        </w:tc>
        <w:tc>
          <w:tcPr>
            <w:tcW w:w="0" w:type="dxa"/>
            <w:vAlign w:val="bottom"/>
          </w:tcPr>
          <w:p>
            <w:pPr>
              <w:spacing w:after="0"/>
              <w:rPr>
                <w:sz w:val="1"/>
                <w:szCs w:val="1"/>
                <w:color w:val="auto"/>
              </w:rPr>
            </w:pPr>
          </w:p>
        </w:tc>
      </w:tr>
      <w:tr>
        <w:trPr>
          <w:trHeight w:val="249"/>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20,547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16,651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3,896</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0"/>
        </w:trPr>
        <w:tc>
          <w:tcPr>
            <w:tcW w:w="4860" w:type="dxa"/>
            <w:vAlign w:val="bottom"/>
            <w:vMerge w:val="restart"/>
          </w:tcPr>
          <w:p>
            <w:pPr>
              <w:jc w:val="right"/>
              <w:ind w:right="236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6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6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84,036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26,021</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16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6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(84,036)</w:t>
            </w:r>
          </w:p>
        </w:tc>
        <w:tc>
          <w:tcPr>
            <w:tcW w:w="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(58,015)</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(26,021)</w:t>
            </w:r>
          </w:p>
        </w:tc>
        <w:tc>
          <w:tcPr>
            <w:tcW w:w="220" w:type="dxa"/>
            <w:vAlign w:val="bottom"/>
            <w:vMerge w:val="continue"/>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160" w:type="dxa"/>
            <w:vAlign w:val="bottom"/>
            <w:tcBorders>
              <w:top w:val="single" w:sz="8" w:color="231F20"/>
            </w:tcBorders>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Interest income .................................................................</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11,297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7,036</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165%</w:t>
            </w:r>
          </w:p>
        </w:tc>
        <w:tc>
          <w:tcPr>
            <w:tcW w:w="0" w:type="dxa"/>
            <w:vAlign w:val="bottom"/>
          </w:tcPr>
          <w:p>
            <w:pPr>
              <w:spacing w:after="0"/>
              <w:rPr>
                <w:sz w:val="1"/>
                <w:szCs w:val="1"/>
                <w:color w:val="auto"/>
              </w:rPr>
            </w:pPr>
          </w:p>
        </w:tc>
      </w:tr>
      <w:tr>
        <w:trPr>
          <w:trHeight w:val="244"/>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Interest expense ................................................................</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(63)</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(107)</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44"/>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Change in fair value of the SAFE liabilities.....................</w:t>
            </w: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(3,610)</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3,610</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49"/>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Other expense...................................................................</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(119)</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(511)</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392</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0" w:type="dxa"/>
            <w:vAlign w:val="bottom"/>
          </w:tcPr>
          <w:p>
            <w:pPr>
              <w:spacing w:after="0"/>
              <w:rPr>
                <w:sz w:val="1"/>
                <w:szCs w:val="1"/>
                <w:color w:val="auto"/>
              </w:rPr>
            </w:pPr>
          </w:p>
        </w:tc>
      </w:tr>
      <w:tr>
        <w:trPr>
          <w:trHeight w:val="239"/>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.................................................Totalotherincome,net</w:t>
            </w:r>
          </w:p>
        </w:tc>
        <w:tc>
          <w:tcPr>
            <w:tcW w:w="16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11,115</w:t>
            </w:r>
          </w:p>
        </w:tc>
        <w:tc>
          <w:tcPr>
            <w:tcW w:w="20" w:type="dxa"/>
            <w:vAlign w:val="bottom"/>
            <w:tcBorders>
              <w:top w:val="single" w:sz="8" w:color="231F20"/>
              <w:bottom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231F20"/>
              <w:bottom w:val="single" w:sz="8" w:color="231F20"/>
            </w:tcBorders>
          </w:tcPr>
          <w:p>
            <w:pPr>
              <w:spacing w:after="0"/>
              <w:rPr>
                <w:sz w:val="20"/>
                <w:szCs w:val="20"/>
                <w:color w:val="auto"/>
              </w:rPr>
            </w:pPr>
          </w:p>
        </w:tc>
        <w:tc>
          <w:tcPr>
            <w:tcW w:w="8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22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11,082</w:t>
            </w:r>
          </w:p>
        </w:tc>
        <w:tc>
          <w:tcPr>
            <w:tcW w:w="220" w:type="dxa"/>
            <w:vAlign w:val="bottom"/>
          </w:tcPr>
          <w:p>
            <w:pPr>
              <w:spacing w:after="0"/>
              <w:rPr>
                <w:sz w:val="20"/>
                <w:szCs w:val="20"/>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33,582%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.........................................................Lossbeforeincometax</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(72,921)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(57,982)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(14,939)</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49"/>
        </w:trPr>
        <w:tc>
          <w:tcPr>
            <w:tcW w:w="4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9"/>
              </w:rPr>
              <w:t>Income tax expense ..............................................................</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(1,230)</w:t>
            </w:r>
          </w:p>
        </w:tc>
        <w:tc>
          <w:tcPr>
            <w:tcW w:w="2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(1,230)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w:t>
            </w:r>
          </w:p>
        </w:tc>
        <w:tc>
          <w:tcPr>
            <w:tcW w:w="16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6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(74,151)</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(57,982)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(16,169)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231F20"/>
              </w:rPr>
              <w:t>28%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380"/>
          </w:cols>
          <w:pgMar w:left="720" w:top="764" w:right="780" w:bottom="0" w:gutter="0" w:footer="0" w:header="0"/>
        </w:sect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380"/>
          </w:cols>
          <w:pgMar w:left="720" w:top="764" w:right="7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i w:val="1"/>
          <w:iCs w:val="1"/>
          <w:color w:val="231F20"/>
        </w:rPr>
        <w:t>Research and Development Expenses</w:t>
      </w:r>
    </w:p>
    <w:p>
      <w:pPr>
        <w:spacing w:after="0" w:line="252" w:lineRule="exact"/>
        <w:rPr>
          <w:sz w:val="20"/>
          <w:szCs w:val="20"/>
          <w:color w:val="auto"/>
        </w:rPr>
      </w:pPr>
    </w:p>
    <w:tbl>
      <w:tblPr>
        <w:tblLayout w:type="fixed"/>
        <w:tblInd w:w="74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100" w:type="dxa"/>
            <w:vAlign w:val="bottom"/>
            <w:tcBorders>
              <w:bottom w:val="single" w:sz="8" w:color="231F20"/>
            </w:tcBorders>
            <w:gridSpan w:val="4"/>
          </w:tcPr>
          <w:p>
            <w:pPr>
              <w:jc w:val="right"/>
              <w:ind w:right="14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w:t>
            </w: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w w:val="99"/>
              </w:rPr>
              <w:t>Change</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 Change</w:t>
            </w:r>
          </w:p>
        </w:tc>
        <w:tc>
          <w:tcPr>
            <w:tcW w:w="0" w:type="dxa"/>
            <w:vAlign w:val="bottom"/>
          </w:tcPr>
          <w:p>
            <w:pPr>
              <w:spacing w:after="0"/>
              <w:rPr>
                <w:sz w:val="1"/>
                <w:szCs w:val="1"/>
                <w:color w:val="auto"/>
              </w:rPr>
            </w:pPr>
          </w:p>
        </w:tc>
      </w:tr>
      <w:tr>
        <w:trPr>
          <w:trHeight w:val="193"/>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Direct research and development expenses by program:</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880" w:type="dxa"/>
            <w:vAlign w:val="bottom"/>
            <w:tcBorders>
              <w:top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80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231F20"/>
            </w:tcBorders>
          </w:tcPr>
          <w:p>
            <w:pPr>
              <w:spacing w:after="0"/>
              <w:rPr>
                <w:sz w:val="20"/>
                <w:szCs w:val="20"/>
                <w:color w:val="auto"/>
              </w:rPr>
            </w:pPr>
          </w:p>
        </w:tc>
        <w:tc>
          <w:tcPr>
            <w:tcW w:w="72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TX45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24,327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15,324</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9,003</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59%</w:t>
            </w:r>
          </w:p>
        </w:tc>
        <w:tc>
          <w:tcPr>
            <w:tcW w:w="0" w:type="dxa"/>
            <w:vAlign w:val="bottom"/>
          </w:tcPr>
          <w:p>
            <w:pPr>
              <w:spacing w:after="0"/>
              <w:rPr>
                <w:sz w:val="1"/>
                <w:szCs w:val="1"/>
                <w:color w:val="auto"/>
              </w:rPr>
            </w:pPr>
          </w:p>
        </w:tc>
      </w:tr>
      <w:tr>
        <w:trPr>
          <w:trHeight w:val="244"/>
        </w:trPr>
        <w:tc>
          <w:tcPr>
            <w:tcW w:w="48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TX2100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12,494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8,077</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183%</w:t>
            </w:r>
          </w:p>
        </w:tc>
        <w:tc>
          <w:tcPr>
            <w:tcW w:w="0" w:type="dxa"/>
            <w:vAlign w:val="bottom"/>
          </w:tcPr>
          <w:p>
            <w:pPr>
              <w:spacing w:after="0"/>
              <w:rPr>
                <w:sz w:val="1"/>
                <w:szCs w:val="1"/>
                <w:color w:val="auto"/>
              </w:rPr>
            </w:pP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Platform development and unallocated expenses: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Employee-related expenses, including stock-based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compensation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17,455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5,138</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Contract research, manufacturing and consulting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services.............................................................................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r>
        <w:trPr>
          <w:trHeight w:val="244"/>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Laboratory supplies and related expenses........................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3,274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(379)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30"/>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Facility related and other expenses, including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4,776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4,494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Total platform development and unallocated expenses</w:t>
            </w:r>
          </w:p>
        </w:tc>
        <w:tc>
          <w:tcPr>
            <w:tcW w:w="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4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26,668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5,045</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231F20"/>
              </w:rPr>
              <w:t>Total research and development expenses</w:t>
            </w:r>
          </w:p>
        </w:tc>
        <w:tc>
          <w:tcPr>
            <w:tcW w:w="20" w:type="dxa"/>
            <w:vAlign w:val="bottom"/>
            <w:vMerge w:val="restart"/>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4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63,489</w:t>
            </w:r>
          </w:p>
        </w:tc>
        <w:tc>
          <w:tcPr>
            <w:tcW w:w="200" w:type="dxa"/>
            <w:vAlign w:val="bottom"/>
            <w:vMerge w:val="continue"/>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41,364</w:t>
            </w:r>
          </w:p>
        </w:tc>
        <w:tc>
          <w:tcPr>
            <w:tcW w:w="220" w:type="dxa"/>
            <w:vAlign w:val="bottom"/>
            <w:vMerge w:val="continue"/>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22,125</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231F20"/>
        </w:rPr>
        <w:t>Total research and development expenses increased by $22.1 million for the year ended December 31, 2025 compared to the year ended December 31, 2024.</w:t>
      </w:r>
    </w:p>
    <w:p>
      <w:pPr>
        <w:spacing w:after="0" w:line="4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Direct research and development program expenses increased primarily due to advancement of our preclinical and clinical programs. TX45 expenses increased by $9.0 million, primarily attributable to CRO costs related to the ongoing Phase 2 clinical trial. TX2100 expenses increased by $8.1 million, as the program progressed further through discovery and development.</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Platform development and unallocated expenses increased by $5.0 million, primarily driven by higher employee-related expenses. The increase in employee-related expenses was primarily due to an increase in stock-based compensation expense related to the ongoing issuance of equity awards and increase in the weighted-average fair value of the awards granted. In addition, we expanded our research and development team to support our programs, resulting in higher payroll and related costs.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General and Administrative Expenses</w:t>
      </w:r>
    </w:p>
    <w:p>
      <w:pPr>
        <w:spacing w:after="0" w:line="132" w:lineRule="exact"/>
        <w:rPr>
          <w:sz w:val="20"/>
          <w:szCs w:val="20"/>
          <w:color w:val="auto"/>
        </w:rPr>
      </w:pPr>
    </w:p>
    <w:tbl>
      <w:tblPr>
        <w:tblLayout w:type="fixed"/>
        <w:tblInd w:w="74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080" w:type="dxa"/>
            <w:vAlign w:val="bottom"/>
            <w:tcBorders>
              <w:bottom w:val="single" w:sz="8" w:color="231F20"/>
            </w:tcBorders>
            <w:gridSpan w:val="4"/>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 Change</w:t>
            </w: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 Change</w:t>
            </w:r>
          </w:p>
        </w:tc>
        <w:tc>
          <w:tcPr>
            <w:tcW w:w="0" w:type="dxa"/>
            <w:vAlign w:val="bottom"/>
          </w:tcPr>
          <w:p>
            <w:pPr>
              <w:spacing w:after="0"/>
              <w:rPr>
                <w:sz w:val="1"/>
                <w:szCs w:val="1"/>
                <w:color w:val="auto"/>
              </w:rPr>
            </w:pPr>
          </w:p>
        </w:tc>
      </w:tr>
      <w:tr>
        <w:trPr>
          <w:trHeight w:val="193"/>
        </w:trPr>
        <w:tc>
          <w:tcPr>
            <w:tcW w:w="4820" w:type="dxa"/>
            <w:vAlign w:val="bottom"/>
            <w:vMerge w:val="restart"/>
          </w:tcPr>
          <w:p>
            <w:pPr>
              <w:jc w:val="right"/>
              <w:ind w:right="680"/>
              <w:spacing w:after="0"/>
              <w:rPr>
                <w:sz w:val="20"/>
                <w:szCs w:val="20"/>
                <w:color w:val="auto"/>
              </w:rPr>
            </w:pPr>
            <w:r>
              <w:rPr>
                <w:rFonts w:ascii="Times New Roman" w:cs="Times New Roman" w:eastAsia="Times New Roman" w:hAnsi="Times New Roman"/>
                <w:sz w:val="20"/>
                <w:szCs w:val="20"/>
                <w:color w:val="231F20"/>
                <w:w w:val="99"/>
              </w:rPr>
              <w:t>Employee-related expenses, including stock-based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6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231F20"/>
            </w:tcBorders>
          </w:tcPr>
          <w:p>
            <w:pPr>
              <w:spacing w:after="0"/>
              <w:rPr>
                <w:sz w:val="19"/>
                <w:szCs w:val="19"/>
                <w:color w:val="auto"/>
              </w:rPr>
            </w:pPr>
          </w:p>
        </w:tc>
        <w:tc>
          <w:tcPr>
            <w:tcW w:w="880" w:type="dxa"/>
            <w:vAlign w:val="bottom"/>
            <w:tcBorders>
              <w:top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compensation.......................................................................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11,550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3,688</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44"/>
        </w:trPr>
        <w:tc>
          <w:tcPr>
            <w:tcW w:w="4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9"/>
              </w:rPr>
              <w:t>Professional and consulting expenses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30"/>
        </w:trPr>
        <w:tc>
          <w:tcPr>
            <w:tcW w:w="4820" w:type="dxa"/>
            <w:vAlign w:val="bottom"/>
          </w:tcPr>
          <w:p>
            <w:pPr>
              <w:jc w:val="right"/>
              <w:ind w:right="1040"/>
              <w:spacing w:after="0"/>
              <w:rPr>
                <w:sz w:val="20"/>
                <w:szCs w:val="20"/>
                <w:color w:val="auto"/>
              </w:rPr>
            </w:pPr>
            <w:r>
              <w:rPr>
                <w:rFonts w:ascii="Times New Roman" w:cs="Times New Roman" w:eastAsia="Times New Roman" w:hAnsi="Times New Roman"/>
                <w:sz w:val="20"/>
                <w:szCs w:val="20"/>
                <w:color w:val="231F20"/>
              </w:rPr>
              <w:t>Facility related and other expenses, including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98"/>
              </w:rPr>
              <w:t>depreciation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0"/>
        </w:trPr>
        <w:tc>
          <w:tcPr>
            <w:tcW w:w="4820" w:type="dxa"/>
            <w:vAlign w:val="bottom"/>
            <w:vMerge w:val="restart"/>
          </w:tcPr>
          <w:p>
            <w:pPr>
              <w:jc w:val="right"/>
              <w:ind w:right="1160"/>
              <w:spacing w:after="0"/>
              <w:rPr>
                <w:sz w:val="20"/>
                <w:szCs w:val="20"/>
                <w:color w:val="auto"/>
              </w:rPr>
            </w:pPr>
            <w:r>
              <w:rPr>
                <w:rFonts w:ascii="Times New Roman" w:cs="Times New Roman" w:eastAsia="Times New Roman" w:hAnsi="Times New Roman"/>
                <w:sz w:val="20"/>
                <w:szCs w:val="20"/>
                <w:color w:val="231F20"/>
              </w:rPr>
              <w:t>Total general and administrative expenses</w:t>
            </w:r>
          </w:p>
        </w:tc>
        <w:tc>
          <w:tcPr>
            <w:tcW w:w="20" w:type="dxa"/>
            <w:vAlign w:val="bottom"/>
            <w:vMerge w:val="restart"/>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20" w:type="dxa"/>
            <w:vAlign w:val="bottom"/>
            <w:vMerge w:val="continue"/>
          </w:tcPr>
          <w:p>
            <w:pPr>
              <w:jc w:val="right"/>
              <w:ind w:right="6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20,547</w:t>
            </w:r>
          </w:p>
        </w:tc>
        <w:tc>
          <w:tcPr>
            <w:tcW w:w="200" w:type="dxa"/>
            <w:vAlign w:val="bottom"/>
            <w:vMerge w:val="continue"/>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16,651</w:t>
            </w:r>
          </w:p>
        </w:tc>
        <w:tc>
          <w:tcPr>
            <w:tcW w:w="2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3,896</w:t>
            </w:r>
          </w:p>
        </w:tc>
        <w:tc>
          <w:tcPr>
            <w:tcW w:w="2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General and administrative expenses increased by $3.9 million for the year ended December 31, 2025 compared to the year ended December 31, 2024, primarily due to higher employee-related expenses, including stock-based compensation, which increased by $3.7 million. The increase in stock-based compensation expense was primarily attributable to the ongoing issuance of equity awards and increase in the weighted-average fair value of the awards granted.</w:t>
      </w:r>
    </w:p>
    <w:p>
      <w:pPr>
        <w:spacing w:after="0" w:line="7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Income</w:t>
      </w:r>
    </w:p>
    <w:p>
      <w:pPr>
        <w:spacing w:after="0" w:line="11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 xml:space="preserve">Interest income increased by $7.0 million for the year ended December 31, 2025 compared to the year ended December 31, 2024 </w:t>
      </w:r>
      <w:r>
        <w:rPr>
          <w:rFonts w:ascii="Times New Roman" w:cs="Times New Roman" w:eastAsia="Times New Roman" w:hAnsi="Times New Roman"/>
          <w:sz w:val="19"/>
          <w:szCs w:val="19"/>
          <w:color w:val="231F20"/>
        </w:rPr>
        <w:t>primarily due to an increase in cash and cash equivalents as a result of the Merger and Private Placement.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Change in Fair Value of SAFE Liabilities</w:t>
      </w:r>
    </w:p>
    <w:p>
      <w:pPr>
        <w:spacing w:after="0" w:line="11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231F20"/>
        </w:rPr>
        <w:t>The SAFE liabilities loss of $3.6 million resulted from the remeasurement of the SAFE liabilities to fair value during the year ended December 31, 2024.</w:t>
      </w:r>
    </w:p>
    <w:p>
      <w:pPr>
        <w:sectPr>
          <w:pgSz w:w="11880" w:h="15480" w:orient="portrait"/>
          <w:cols w:equalWidth="0" w:num="1">
            <w:col w:w="10440"/>
          </w:cols>
          <w:pgMar w:left="720" w:top="752" w:right="72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440"/>
          </w:cols>
          <w:pgMar w:left="720" w:top="752" w:right="72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230"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color w:val="231F20"/>
        </w:rPr>
        <w:t>Income tax expense of approximately $1.2 million was recorded during the year ended December 31, 2025, related to the dissolution of Tectonic Therapeutic Pty Ltd.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Liquidity</w:t>
      </w:r>
    </w:p>
    <w:p>
      <w:pPr>
        <w:spacing w:after="0" w:line="1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231F20"/>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CROs and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8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231F20"/>
        </w:rPr>
        <w:t>We do not currently have any approved products and have never generated any revenue from product sales. We have funded our operations primarily through the sale and issuance of common stock, convertible equity instruments, and the Merger. In February 2025, we sold shares of our common stock under the Private Placement in exchange for net proceeds of approximately $173.1 million. We currently have an effective shelf registration statement on Form S-3 filed with the SEC, which we may use to offer from time to time any combination of common stock, preferred stock, debt securities, and warrants up to an aggregate amount of $400 million. Of this amount, we have the ability to sell up to $100 million of additional shares of our common stock to the public through an at the market offering (“ATM”). During the year ended December 31, 2025, we did not sell any shares under the ATM program. As of December 31, 2025, the full $100 million remained available for issuance under the ATM program.</w:t>
      </w:r>
    </w:p>
    <w:p>
      <w:pPr>
        <w:spacing w:after="0" w:line="1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 xml:space="preserve">As of December 31, 2025, we had $253.8 million in cash and cash equivalents and an accumulated deficit of $222.7 million. </w:t>
      </w:r>
      <w:r>
        <w:rPr>
          <w:rFonts w:ascii="Times New Roman" w:cs="Times New Roman" w:eastAsia="Times New Roman" w:hAnsi="Times New Roman"/>
          <w:sz w:val="19"/>
          <w:szCs w:val="19"/>
          <w:color w:val="231F20"/>
        </w:rPr>
        <w:t xml:space="preserve">Based on our current business plans, management believes that our cash, cash equivalents and marketable securities on hand at December 31, 2025 are sufficient to meet our operating requirements for at least the next 12 months from the issuance of the consolidated financial statements included in this Annual Report on Form 10-K. </w:t>
      </w:r>
      <w:r>
        <w:rPr>
          <w:rFonts w:ascii="Times New Roman" w:cs="Times New Roman" w:eastAsia="Times New Roman" w:hAnsi="Times New Roman"/>
          <w:sz w:val="20"/>
          <w:szCs w:val="20"/>
          <w:color w:val="231F20"/>
        </w:rPr>
        <w:t>However, our estimates are based 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assumptions that may prove to be incorrect, and we could exhaust our capital resources sooner than expected. We may require additional funding to support our research programs, clinical development, and general operations. There can be no assurance that additional financing, whether through public or private equity, debt, collaborations, or licensing arrangements, will be available on acceptable terms, or at all.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a summary of our cash flows for the years ended December 31, 2025 and 2024:</w:t>
      </w:r>
    </w:p>
    <w:p>
      <w:pPr>
        <w:spacing w:after="0" w:line="134" w:lineRule="exact"/>
        <w:rPr>
          <w:sz w:val="20"/>
          <w:szCs w:val="20"/>
          <w:color w:val="auto"/>
        </w:rPr>
      </w:pPr>
    </w:p>
    <w:tbl>
      <w:tblPr>
        <w:tblLayout w:type="fixed"/>
        <w:tblInd w:w="74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24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5620" w:type="dxa"/>
            <w:vAlign w:val="bottom"/>
          </w:tcPr>
          <w:p>
            <w:pPr>
              <w:spacing w:after="0"/>
              <w:rPr>
                <w:sz w:val="16"/>
                <w:szCs w:val="16"/>
                <w:color w:val="auto"/>
              </w:rPr>
            </w:pPr>
          </w:p>
        </w:tc>
        <w:tc>
          <w:tcPr>
            <w:tcW w:w="480" w:type="dxa"/>
            <w:vAlign w:val="bottom"/>
            <w:tcBorders>
              <w:bottom w:val="single" w:sz="8" w:color="231F20"/>
            </w:tcBorders>
          </w:tcPr>
          <w:p>
            <w:pPr>
              <w:spacing w:after="0"/>
              <w:rPr>
                <w:sz w:val="16"/>
                <w:szCs w:val="16"/>
                <w:color w:val="auto"/>
              </w:rPr>
            </w:pPr>
          </w:p>
        </w:tc>
        <w:tc>
          <w:tcPr>
            <w:tcW w:w="1540" w:type="dxa"/>
            <w:vAlign w:val="bottom"/>
            <w:tcBorders>
              <w:bottom w:val="single" w:sz="8" w:color="231F20"/>
            </w:tcBorders>
          </w:tcPr>
          <w:p>
            <w:pPr>
              <w:jc w:val="right"/>
              <w:ind w:right="76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Pr>
          <w:p>
            <w:pPr>
              <w:spacing w:after="0"/>
              <w:rPr>
                <w:sz w:val="16"/>
                <w:szCs w:val="16"/>
                <w:color w:val="auto"/>
              </w:rPr>
            </w:pPr>
          </w:p>
        </w:tc>
        <w:tc>
          <w:tcPr>
            <w:tcW w:w="64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6"/>
                <w:szCs w:val="16"/>
                <w:color w:val="auto"/>
              </w:rPr>
            </w:pPr>
          </w:p>
        </w:tc>
      </w:tr>
      <w:tr>
        <w:trPr>
          <w:trHeight w:val="432"/>
        </w:trPr>
        <w:tc>
          <w:tcPr>
            <w:tcW w:w="56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Net cash used in operating activities..................................................</w:t>
            </w: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w w:val="79"/>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(60,078)</w:t>
            </w:r>
          </w:p>
        </w:tc>
        <w:tc>
          <w:tcPr>
            <w:tcW w:w="64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(59,080)</w:t>
            </w:r>
          </w:p>
        </w:tc>
      </w:tr>
      <w:tr>
        <w:trPr>
          <w:trHeight w:val="244"/>
        </w:trPr>
        <w:tc>
          <w:tcPr>
            <w:tcW w:w="56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Net cash used in investing activities ..................................................</w:t>
            </w:r>
          </w:p>
        </w:tc>
        <w:tc>
          <w:tcPr>
            <w:tcW w:w="4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(138)</w:t>
            </w:r>
          </w:p>
        </w:tc>
        <w:tc>
          <w:tcPr>
            <w:tcW w:w="6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(156)</w:t>
            </w:r>
          </w:p>
        </w:tc>
      </w:tr>
      <w:tr>
        <w:trPr>
          <w:trHeight w:val="244"/>
        </w:trPr>
        <w:tc>
          <w:tcPr>
            <w:tcW w:w="56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Net cash provided by financing activities ..........................................</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173,355</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171,714</w:t>
            </w:r>
          </w:p>
        </w:tc>
        <w:tc>
          <w:tcPr>
            <w:tcW w:w="80" w:type="dxa"/>
            <w:vAlign w:val="bottom"/>
          </w:tcPr>
          <w:p>
            <w:pPr>
              <w:spacing w:after="0"/>
              <w:rPr>
                <w:sz w:val="21"/>
                <w:szCs w:val="21"/>
                <w:color w:val="auto"/>
              </w:rPr>
            </w:pPr>
          </w:p>
        </w:tc>
      </w:tr>
      <w:tr>
        <w:trPr>
          <w:trHeight w:val="249"/>
        </w:trPr>
        <w:tc>
          <w:tcPr>
            <w:tcW w:w="56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Effect of exchange rate changes on cash and cash equivalents..........</w:t>
            </w:r>
          </w:p>
        </w:tc>
        <w:tc>
          <w:tcPr>
            <w:tcW w:w="4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(95)</w:t>
            </w:r>
          </w:p>
        </w:tc>
        <w:tc>
          <w:tcPr>
            <w:tcW w:w="6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w:t>
            </w:r>
          </w:p>
        </w:tc>
      </w:tr>
      <w:tr>
        <w:trPr>
          <w:trHeight w:val="239"/>
        </w:trPr>
        <w:tc>
          <w:tcPr>
            <w:tcW w:w="56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.............Netincreaseincash,cashequivalentsandrestrictedcash</w:t>
            </w:r>
          </w:p>
        </w:tc>
        <w:tc>
          <w:tcPr>
            <w:tcW w:w="480" w:type="dxa"/>
            <w:vAlign w:val="bottom"/>
            <w:tcBorders>
              <w:top w:val="single" w:sz="8" w:color="231F20"/>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color w:val="231F20"/>
                <w:w w:val="79"/>
              </w:rPr>
              <w:t>$</w:t>
            </w:r>
          </w:p>
        </w:tc>
        <w:tc>
          <w:tcPr>
            <w:tcW w:w="15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113,044</w:t>
            </w:r>
          </w:p>
        </w:tc>
        <w:tc>
          <w:tcPr>
            <w:tcW w:w="280" w:type="dxa"/>
            <w:vAlign w:val="bottom"/>
          </w:tcPr>
          <w:p>
            <w:pPr>
              <w:spacing w:after="0"/>
              <w:rPr>
                <w:sz w:val="20"/>
                <w:szCs w:val="20"/>
                <w:color w:val="auto"/>
              </w:rPr>
            </w:pPr>
          </w:p>
        </w:tc>
        <w:tc>
          <w:tcPr>
            <w:tcW w:w="640" w:type="dxa"/>
            <w:vAlign w:val="bottom"/>
            <w:tcBorders>
              <w:top w:val="single" w:sz="8" w:color="231F20"/>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112,470</w:t>
            </w:r>
          </w:p>
        </w:tc>
        <w:tc>
          <w:tcPr>
            <w:tcW w:w="8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Operating Activities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Net cash used in operating activities was $60.1 million for the year ended December 31, 2025. Cash used in operations was primarily used to fund our operations in developing our product candidates, resulting in a net loss of $74.2 million, partially offset by non-cash charges of $14.1 million. Changes in operating assets and liabilities, including the timing of vendor payments and lease repayments, had a minimal net effect of $0.1 million on cash used in operating activities.</w:t>
      </w:r>
    </w:p>
    <w:p>
      <w:pPr>
        <w:spacing w:after="0" w:line="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 xml:space="preserve">Net cash used in operating activities was $59.1 million for the year ended December 31, 2024. Cash used in operating activities was primarily used to fund our operations to develop our product candidates resulting in a net loss of $58.0 million and $10.3 million of changes in operating assets and liabilities related to </w:t>
      </w:r>
      <w:r>
        <w:rPr>
          <w:rFonts w:ascii="Times New Roman" w:cs="Times New Roman" w:eastAsia="Times New Roman" w:hAnsi="Times New Roman"/>
          <w:sz w:val="19"/>
          <w:szCs w:val="19"/>
          <w:color w:val="231F20"/>
        </w:rPr>
        <w:t>accrued expenses, timing of vendor payments and lease repayments</w:t>
      </w:r>
      <w:r>
        <w:rPr>
          <w:rFonts w:ascii="Times New Roman" w:cs="Times New Roman" w:eastAsia="Times New Roman" w:hAnsi="Times New Roman"/>
          <w:sz w:val="20"/>
          <w:szCs w:val="20"/>
          <w:color w:val="231F20"/>
        </w:rPr>
        <w:t xml:space="preserve"> offset by non-cash charges of $9.2 million.</w:t>
      </w:r>
    </w:p>
    <w:p>
      <w:pPr>
        <w:sectPr>
          <w:pgSz w:w="11880" w:h="15480" w:orient="portrait"/>
          <w:cols w:equalWidth="0" w:num="1">
            <w:col w:w="10420"/>
          </w:cols>
          <w:pgMar w:left="720" w:top="1210" w:right="74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420"/>
          </w:cols>
          <w:pgMar w:left="720" w:top="1210" w:right="74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11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 xml:space="preserve">Net cash used in investing activities during the year ended December 31, 2025 and 2024 </w:t>
      </w:r>
      <w:r>
        <w:rPr>
          <w:rFonts w:ascii="Times New Roman" w:cs="Times New Roman" w:eastAsia="Times New Roman" w:hAnsi="Times New Roman"/>
          <w:sz w:val="19"/>
          <w:szCs w:val="19"/>
          <w:color w:val="231F20"/>
        </w:rPr>
        <w:t>was nominal and related to the purchase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and sale of property and equipment.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118"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0"/>
          <w:szCs w:val="20"/>
          <w:color w:val="231F20"/>
        </w:rPr>
        <w:t>Net cash provided by financing activities was $173.4 million for the year ended December 31, 2025, primarily due to net proceeds of $173.1 million from the sale of shares pursuant to the Private Placement and $1.2 million in proceeds from the exercise of stock options.</w:t>
      </w:r>
    </w:p>
    <w:p>
      <w:pPr>
        <w:spacing w:after="0" w:line="6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231F20"/>
        </w:rPr>
        <w:t>Net cash provided by financing activities was $171.7 million for the year ended December 31, 2024, primarily due to net proceeds of $94.6 million from the sale of shares pursuant to the Subscription Agreement, $76.0 million of net cash acquired in connection with the Merger, and $1.6 million in proceeds from the exercise of stock options.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Funding Requirements</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6"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color w:val="231F20"/>
        </w:rPr>
        <w:t>We expect our existing cash and cash equivalents will enable us to fund our operating expenses and capital expenditure requirements for at least the next twelve months. Our future capital requirements will depend on many factors, including:</w:t>
      </w:r>
    </w:p>
    <w:p>
      <w:pPr>
        <w:spacing w:after="0" w:line="64" w:lineRule="exact"/>
        <w:rPr>
          <w:sz w:val="20"/>
          <w:szCs w:val="20"/>
          <w:color w:val="auto"/>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progress, results and costs of product discovery, preclinical studies and clinical trials;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prioritization and number of our research and development programs;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 of our product candidate;</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access sufficient additional capital on a timely basis and on favorable terms;</w:t>
      </w:r>
    </w:p>
    <w:p>
      <w:pPr>
        <w:spacing w:after="0" w:line="133" w:lineRule="exact"/>
        <w:rPr>
          <w:rFonts w:ascii="Arial" w:cs="Arial" w:eastAsia="Arial" w:hAnsi="Arial"/>
          <w:sz w:val="20"/>
          <w:szCs w:val="20"/>
          <w:color w:val="231F20"/>
        </w:rPr>
      </w:pPr>
    </w:p>
    <w:p>
      <w:pPr>
        <w:ind w:left="980" w:right="600" w:hanging="483"/>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process development and manufacturing scale-up activities associated with our product candidates and other programs as we advance them through preclinical and clinical development;</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and maintain collaborations on favorable terms, if at all;</w:t>
      </w:r>
    </w:p>
    <w:p>
      <w:pPr>
        <w:spacing w:after="0" w:line="133" w:lineRule="exact"/>
        <w:rPr>
          <w:rFonts w:ascii="Arial" w:cs="Arial" w:eastAsia="Arial" w:hAnsi="Arial"/>
          <w:sz w:val="20"/>
          <w:szCs w:val="20"/>
          <w:color w:val="231F20"/>
        </w:rPr>
      </w:pPr>
    </w:p>
    <w:p>
      <w:pPr>
        <w:ind w:left="980" w:right="880" w:hanging="483"/>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achievement of milestones or occurrence of other developments that trigger payments under the license agreements and any other collaboration agreements we enter into;</w:t>
      </w:r>
    </w:p>
    <w:p>
      <w:pPr>
        <w:spacing w:after="0" w:line="64" w:lineRule="exact"/>
        <w:rPr>
          <w:rFonts w:ascii="Arial" w:cs="Arial" w:eastAsia="Arial" w:hAnsi="Arial"/>
          <w:sz w:val="20"/>
          <w:szCs w:val="20"/>
          <w:color w:val="231F20"/>
        </w:rPr>
      </w:pPr>
    </w:p>
    <w:p>
      <w:pPr>
        <w:ind w:left="980" w:right="900" w:hanging="483"/>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are obligated to reimburse, or entitled to reimbursement of, clinical trial costs under collaboration agreements, if any;</w:t>
      </w:r>
    </w:p>
    <w:p>
      <w:pPr>
        <w:spacing w:after="0" w:line="64" w:lineRule="exact"/>
        <w:rPr>
          <w:rFonts w:ascii="Arial" w:cs="Arial" w:eastAsia="Arial" w:hAnsi="Arial"/>
          <w:sz w:val="20"/>
          <w:szCs w:val="20"/>
          <w:color w:val="231F20"/>
        </w:rPr>
      </w:pPr>
    </w:p>
    <w:p>
      <w:pPr>
        <w:ind w:left="980" w:right="120" w:hanging="483"/>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preparing, filing and prosecuting patent applications, maintaining and enforcing our intellectual property rights and defending intellectual property-related claims;</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we acquire or in-license other product candidates and technologies;</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securing manufacturing arrangements for commercial production;</w:t>
      </w:r>
    </w:p>
    <w:p>
      <w:pPr>
        <w:spacing w:after="0" w:line="133"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operating as a publicly traded company;</w:t>
      </w:r>
    </w:p>
    <w:p>
      <w:pPr>
        <w:spacing w:after="0" w:line="133" w:lineRule="exact"/>
        <w:rPr>
          <w:rFonts w:ascii="Arial" w:cs="Arial" w:eastAsia="Arial" w:hAnsi="Arial"/>
          <w:sz w:val="20"/>
          <w:szCs w:val="20"/>
          <w:color w:val="231F20"/>
        </w:rPr>
      </w:pPr>
    </w:p>
    <w:p>
      <w:pPr>
        <w:ind w:left="980" w:right="580" w:hanging="483"/>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of establishing or contracting for sales and marketing capabilities if we obtain regulatory approvals to market our product candidates; and</w:t>
      </w:r>
    </w:p>
    <w:p>
      <w:pPr>
        <w:spacing w:after="0" w:line="64" w:lineRule="exact"/>
        <w:rPr>
          <w:rFonts w:ascii="Arial" w:cs="Arial" w:eastAsia="Arial" w:hAnsi="Arial"/>
          <w:sz w:val="20"/>
          <w:szCs w:val="20"/>
          <w:color w:val="231F20"/>
        </w:rPr>
      </w:pPr>
    </w:p>
    <w:p>
      <w:pPr>
        <w:ind w:left="980" w:hanging="483"/>
        <w:spacing w:after="0"/>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the macroeconomic environment, including inflation and interest rates.</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w:t>
      </w:r>
    </w:p>
    <w:p>
      <w:pPr>
        <w:sectPr>
          <w:pgSz w:w="11880" w:h="15480" w:orient="portrait"/>
          <w:cols w:equalWidth="0" w:num="1">
            <w:col w:w="10440"/>
          </w:cols>
          <w:pgMar w:left="720" w:top="752" w:right="72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440"/>
          </w:cols>
          <w:pgMar w:left="720" w:top="752" w:right="720" w:bottom="0" w:gutter="0" w:footer="0" w:header="0"/>
          <w:type w:val="continuous"/>
        </w:sectPr>
      </w:pPr>
    </w:p>
    <w:bookmarkStart w:id="85" w:name="page86"/>
    <w:bookmarkEnd w:id="85"/>
    <w:p>
      <w:pPr>
        <w:ind w:right="200"/>
        <w:spacing w:after="0" w:line="252" w:lineRule="auto"/>
        <w:rPr>
          <w:sz w:val="20"/>
          <w:szCs w:val="20"/>
          <w:color w:val="auto"/>
        </w:rPr>
      </w:pPr>
      <w:r>
        <w:rPr>
          <w:rFonts w:ascii="Times New Roman" w:cs="Times New Roman" w:eastAsia="Times New Roman" w:hAnsi="Times New Roman"/>
          <w:sz w:val="20"/>
          <w:szCs w:val="20"/>
          <w:color w:val="231F20"/>
        </w:rPr>
        <w:t>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7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231F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7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231F20"/>
        </w:rPr>
        <w:t>We currently have no ongoing material financing commitments, such as lines of credit or guarantees, that are expected to affect our liquidity over the next five years.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&amp; Commitments</w:t>
      </w:r>
    </w:p>
    <w:p>
      <w:pPr>
        <w:spacing w:after="0" w:line="1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231F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w:t>
      </w:r>
      <w:r>
        <w:rPr>
          <w:rFonts w:ascii="Times New Roman" w:cs="Times New Roman" w:eastAsia="Times New Roman" w:hAnsi="Times New Roman"/>
          <w:sz w:val="19"/>
          <w:szCs w:val="19"/>
          <w:color w:val="231F20"/>
        </w:rPr>
        <w:t>For further details regarding our significant contracts, and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commitments and contractual obligations contained within each contract, please refer to Note 11, </w:t>
      </w:r>
      <w:r>
        <w:rPr>
          <w:rFonts w:ascii="Times New Roman" w:cs="Times New Roman" w:eastAsia="Times New Roman" w:hAnsi="Times New Roman"/>
          <w:sz w:val="19"/>
          <w:szCs w:val="19"/>
          <w:i w:val="1"/>
          <w:iCs w:val="1"/>
          <w:color w:val="231F20"/>
        </w:rPr>
        <w:t>License Agreements</w:t>
      </w:r>
      <w:r>
        <w:rPr>
          <w:rFonts w:ascii="Times New Roman" w:cs="Times New Roman" w:eastAsia="Times New Roman" w:hAnsi="Times New Roman"/>
          <w:sz w:val="19"/>
          <w:szCs w:val="19"/>
          <w:color w:val="231F20"/>
        </w:rPr>
        <w:t xml:space="preserve">, and Note 12, </w:t>
      </w:r>
      <w:r>
        <w:rPr>
          <w:rFonts w:ascii="Times New Roman" w:cs="Times New Roman" w:eastAsia="Times New Roman" w:hAnsi="Times New Roman"/>
          <w:sz w:val="19"/>
          <w:szCs w:val="19"/>
          <w:i w:val="1"/>
          <w:iCs w:val="1"/>
          <w:color w:val="231F20"/>
        </w:rPr>
        <w:t>Commitments and Contingencies</w:t>
      </w:r>
      <w:r>
        <w:rPr>
          <w:rFonts w:ascii="Times New Roman" w:cs="Times New Roman" w:eastAsia="Times New Roman" w:hAnsi="Times New Roman"/>
          <w:sz w:val="19"/>
          <w:szCs w:val="19"/>
          <w:color w:val="231F20"/>
        </w:rPr>
        <w:t>, and to our consolidated financial statements included in this Annual Report on Form 10-K, which is incorporated herein by reference.</w:t>
      </w:r>
    </w:p>
    <w:p>
      <w:pPr>
        <w:spacing w:after="0" w:line="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We have lease obligations for certain laboratory equipment and office and laboratory space under non-cancelable operating and finance leases. In September 2025, we entered into a non-cancelable operating lease for office and laboratory space in Watertown, Massachusetts. As of December 31, 2025, this lease had not commenced; accordingly, no right-of-use asset or lease liability has been recorded on the Consolidated Balance Sheet. The lease will be recognized upon commencement in January 2026, at which time a right-of-use asset and corresponding lease liability will be recorded based on the present value of lease payments over the lease term.</w:t>
      </w:r>
    </w:p>
    <w:p>
      <w:pPr>
        <w:spacing w:after="0" w:line="19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The leases, including the Watertown lease, expire at various times through 2029. Minimum lease payments under these agreements are $2.5 million in 2026, $1.9 million in 2027, $2.0 million in 2028, and $0.2 million in 2029. These amounts reflect enforceable obligations under non-cancelable contracts and do not include commitments that can be terminated without significant penalty.</w:t>
      </w:r>
    </w:p>
    <w:p>
      <w:pPr>
        <w:spacing w:after="0" w:line="74"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color w:val="231F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2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Our management’s discussion and analysis of our financial condition and results of operations is based on our consolidated financial statements, which have been prepared in accordance with generally accepted accounting principles in the United States (“GAAP”). The preparation of the consolidated financial statements requires us to make estimates and assumptions that affect the reported amounts of assets and liabilities, the disclosures of contingent assets and liabilities in our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liabilities and recorded expenses that are not readily apparent from other sources. We evaluate our estimates and assumptions on an ongoing basis. Actual results may differ from these estimates.</w:t>
      </w:r>
    </w:p>
    <w:p>
      <w:pPr>
        <w:spacing w:after="0" w:line="86"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231F20"/>
        </w:rPr>
        <w:t xml:space="preserve">While our significant accounting policies are described in Note 2, </w:t>
      </w:r>
      <w:r>
        <w:rPr>
          <w:rFonts w:ascii="Times New Roman" w:cs="Times New Roman" w:eastAsia="Times New Roman" w:hAnsi="Times New Roman"/>
          <w:sz w:val="20"/>
          <w:szCs w:val="20"/>
          <w:i w:val="1"/>
          <w:iCs w:val="1"/>
          <w:color w:val="231F20"/>
        </w:rPr>
        <w:t>Summary of Significant Accounting Policies and Basis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Presentation</w:t>
      </w:r>
      <w:r>
        <w:rPr>
          <w:rFonts w:ascii="Times New Roman" w:cs="Times New Roman" w:eastAsia="Times New Roman" w:hAnsi="Times New Roman"/>
          <w:sz w:val="20"/>
          <w:szCs w:val="20"/>
          <w:color w:val="231F20"/>
        </w:rPr>
        <w:t>, to our financial statements included elsewhere in this Annual Report, we believe that the following accounting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policies are critical to understanding our historical and future performance, as these policies relate to the more significant areas involving management’s judgments and estimates.</w:t>
      </w:r>
    </w:p>
    <w:p>
      <w:pPr>
        <w:sectPr>
          <w:pgSz w:w="11880" w:h="15480" w:orient="portrait"/>
          <w:cols w:equalWidth="0" w:num="1">
            <w:col w:w="10440"/>
          </w:cols>
          <w:pgMar w:left="720" w:top="75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440"/>
          </w:cols>
          <w:pgMar w:left="720" w:top="750" w:right="72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As part of the process of preparing our consolidated financial statements, we are required to estimate our research and development expenses, primarily related to services performed by third parties such as CROs and CDMOs.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judgments and estimates of our research and development expenses as of each balance sheet date in the consolidated financial statements based on facts and circumstances known to us at that time, which includes corroboration of these estimates with the service providers. If the actual timing of the performance of services or the level of effort varies from the estimate, we adjust accrued expenses or prepaid expenses accordingly, which impact research and development expenses. Changes in these estimates that result in material changes to our accrued costs could materially affect our results of operations. To date, we have not experienced any material adjustments to our prior estimates of prepaid and accrued research and development expenses.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Expense</w:t>
      </w:r>
    </w:p>
    <w:p>
      <w:pPr>
        <w:spacing w:after="0" w:line="12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We recognize stock-based compensation expense for employee and non-employee equity awards, including stock options and restricted stock units, over the requisite service period in accordance with ASC 718. Stock options are measured at fair value on the grant date using the Black-Scholes option pricing model, which requires assumptions regarding expected volatility, expected term, risk-free interest rates, and expected dividend yield. The grant date fair value of our common stock is based on the closing quoted market price of our common stock as reported by the NASDAQ Global Market on the date of grant. Stock-based compensation is recorded in either research and development expense or general and administrative expenses depending on the roles of the recipients.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24"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color w:val="231F20"/>
        </w:rPr>
        <w:t>Recent accounting pronouncements are addressed in Note 2, Summary of Significant Accounting Policies and Basis of Presentation, in the Notes to the Consolidated Financial Statements included herein.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Smaller Reporting Company Status</w:t>
      </w:r>
    </w:p>
    <w:p>
      <w:pPr>
        <w:spacing w:after="0" w:line="12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$ 100.0 million during the most recently completed fiscal year and the market value of the common stock held by non-affiliates is less than $700.0 million measured on the last business day of our second fiscal quarter.</w:t>
      </w:r>
    </w:p>
    <w:p>
      <w:pPr>
        <w:spacing w:after="0" w:line="8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color w:val="231F20"/>
        </w:rPr>
        <w:t>As a result, the information in this Annual Report on Form 10-K and that we provide to our investors in the future may be different than what you might receive from other public reporting companies.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a smaller reporting company, we are not required to provide the information otherwise required under this Item.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The financial statements required to be filed pursuant to this Item 8 are appended to this Annual Report on Form 10-K beginning on page F-1. An index of those financial statements is found in Item 15, Exhibits and Financial Statement Schedules, of this Annual Report on Form 10-K.</w:t>
      </w:r>
    </w:p>
    <w:p>
      <w:pPr>
        <w:sectPr>
          <w:pgSz w:w="11880" w:h="15480" w:orient="portrait"/>
          <w:cols w:equalWidth="0" w:num="1">
            <w:col w:w="10400"/>
          </w:cols>
          <w:pgMar w:left="720" w:top="75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400"/>
          </w:cols>
          <w:pgMar w:left="720" w:top="750" w:right="76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r>
        <w:rPr>
          <w:rFonts w:ascii="Arial" w:cs="Arial" w:eastAsia="Arial" w:hAnsi="Arial"/>
          <w:sz w:val="22"/>
          <w:szCs w:val="22"/>
          <w:color w:val="231F20"/>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Annual Report on Internal Control Over Financial Reporting</w:t>
      </w:r>
    </w:p>
    <w:p>
      <w:pPr>
        <w:spacing w:after="0" w:line="12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(as defined in Rule 13a-15(f) under the Exchange Act). Under the supervision of and with the participation of our Chief Executive Officer and Chief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Attestation Report of the Registered Public Accounting Firm</w:t>
      </w:r>
    </w:p>
    <w:p>
      <w:pPr>
        <w:spacing w:after="0" w:line="124"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color w:val="231F20"/>
        </w:rPr>
        <w:t>Our independent registered public accounting firm is not required to issue an attestation report on the internal control over financial reporting because we are a non-accelerated filer and a “smaller reporting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3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231F20"/>
        </w:rPr>
        <w:t>There have been no changes in our internal control over financial reporting (as defined in Rules 13a-15(f) and 15d</w:t>
      </w:r>
      <w:r>
        <w:rPr>
          <w:rFonts w:ascii="Arial" w:cs="Arial" w:eastAsia="Arial" w:hAnsi="Arial"/>
          <w:sz w:val="20"/>
          <w:szCs w:val="20"/>
          <w:color w:val="231F20"/>
        </w:rPr>
        <w:t>̻</w:t>
      </w:r>
      <w:r>
        <w:rPr>
          <w:rFonts w:ascii="Times New Roman" w:cs="Times New Roman" w:eastAsia="Times New Roman" w:hAnsi="Times New Roman"/>
          <w:sz w:val="20"/>
          <w:szCs w:val="20"/>
          <w:color w:val="231F20"/>
        </w:rPr>
        <w:t>15(f) under the Exchange Act) during the three months ended December 31, 2025, that have materially affected, or are reasonably likely to materially affect, our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20"/>
          <w:szCs w:val="20"/>
          <w:color w:val="231F20"/>
        </w:rPr>
        <w:t>During the three months ended December 31, 2025, the following directors of the Company adopted a “Rule 10b5-1 trading arrangement” as the term is defined in Item 408(a) of Regulation S-K, all of which were entered into during an open trading window in accordance with the Company’s Insider Trading Policy and all of which were intended to satisfy Rule 10b5-1(c):</w:t>
      </w:r>
    </w:p>
    <w:p>
      <w:pPr>
        <w:spacing w:after="0" w:line="83" w:lineRule="exact"/>
        <w:rPr>
          <w:sz w:val="20"/>
          <w:szCs w:val="20"/>
          <w:color w:val="auto"/>
        </w:rPr>
      </w:pPr>
    </w:p>
    <w:p>
      <w:pPr>
        <w:ind w:left="720" w:right="80" w:hanging="353"/>
        <w:spacing w:after="0" w:line="258" w:lineRule="auto"/>
        <w:tabs>
          <w:tab w:leader="none" w:pos="72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On November 14, 2025, Peter McNamara, a member of our Board of Directors, adopted a Rule 10b5-1 trading plan that provides for the sale of up to 35,102 shares of common stock from the exercise of vested stock options. The plan will expire on December 14, 2026 subject to early termination for specified events set forth in the plan.</w:t>
      </w:r>
    </w:p>
    <w:p>
      <w:pPr>
        <w:spacing w:after="0" w:line="6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231F20"/>
        </w:rPr>
        <w:t>Except as set forth above, no director or officer of the Company adopted, modified or terminated a “Rule 10b5-1 trading arrangement” or “non-rule 10b5-1 trading arrangement,” as each term is defined in Item 408(a) of Regulation S-K during the three months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420"/>
          </w:cols>
          <w:pgMar w:left="720" w:top="74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420"/>
          </w:cols>
          <w:pgMar w:left="720" w:top="746" w:right="740" w:bottom="0" w:gutter="0" w:footer="0" w:header="0"/>
          <w:type w:val="continuous"/>
        </w:sectPr>
      </w:pPr>
    </w:p>
    <w:bookmarkStart w:id="88" w:name="page89"/>
    <w:bookmarkEnd w:id="88"/>
    <w:p>
      <w:pPr>
        <w:jc w:val="right"/>
        <w:ind w:right="464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120" w:lineRule="exact"/>
        <w:rPr>
          <w:sz w:val="20"/>
          <w:szCs w:val="20"/>
          <w:color w:val="auto"/>
        </w:rPr>
      </w:pPr>
    </w:p>
    <w:p>
      <w:pPr>
        <w:jc w:val="right"/>
        <w:ind w:right="4600"/>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6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231F20"/>
        </w:rPr>
        <w:t>We have adopted a written Code of Business Conduct and Ethics (the “Code of Conduct”) applicable to all of our employees, executive officers and directors, including our principal executive officer, principal financial officer and principal accounting officer. A current copy of the Code of Conduct is available on the Investors section of our website, https://investors.tectonictx.com, under “Investors / Corporate Governance.” We intend to disclose on our website any amendments to, or waivers from, our Code of Conduct that are required to be disclosed pursuant to SEC rules. The reference to our website address does not constitute incorporation by reference of the information contained at or available through our website, and you should not consider it to be a part of this Annual Report on Form 10-K.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ectPr>
          <w:pgSz w:w="11880" w:h="15480" w:orient="portrait"/>
          <w:cols w:equalWidth="0" w:num="1">
            <w:col w:w="10280"/>
          </w:cols>
          <w:pgMar w:left="720" w:top="74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280"/>
          </w:cols>
          <w:pgMar w:left="720" w:top="746" w:right="88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Financial Statement Schedules.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(1) Financial Statements.</w:t>
      </w:r>
    </w:p>
    <w:p>
      <w:pPr>
        <w:spacing w:after="0" w:line="11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For a list of the financial statements included herein, see Index to the Consolidated Financial Statements on page F-1 of this Annual Report on Form 10-K, incorporated into this Item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 Financial Statement Schedules.</w:t>
      </w:r>
    </w:p>
    <w:p>
      <w:pPr>
        <w:spacing w:after="0" w:line="11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All financial schedules have been omitted because the required information is either presented in the consolidated financial statements or the notes thereto or is not applicable or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(3)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6"/>
                <w:szCs w:val="16"/>
                <w:color w:val="auto"/>
              </w:rPr>
            </w:pPr>
          </w:p>
        </w:tc>
        <w:tc>
          <w:tcPr>
            <w:tcW w:w="9400" w:type="dxa"/>
            <w:vAlign w:val="bottom"/>
          </w:tcPr>
          <w:p>
            <w:pPr>
              <w:spacing w:after="0"/>
              <w:rPr>
                <w:sz w:val="16"/>
                <w:szCs w:val="16"/>
                <w:color w:val="auto"/>
              </w:rPr>
            </w:pPr>
          </w:p>
        </w:tc>
      </w:tr>
      <w:tr>
        <w:trPr>
          <w:trHeight w:val="203"/>
        </w:trPr>
        <w:tc>
          <w:tcPr>
            <w:tcW w:w="94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17"/>
                <w:szCs w:val="17"/>
                <w:color w:val="auto"/>
              </w:rPr>
            </w:pPr>
          </w:p>
        </w:tc>
        <w:tc>
          <w:tcPr>
            <w:tcW w:w="9400" w:type="dxa"/>
            <w:vAlign w:val="bottom"/>
            <w:tcBorders>
              <w:bottom w:val="single" w:sz="8" w:color="231F20"/>
            </w:tcBorders>
          </w:tcPr>
          <w:p>
            <w:pPr>
              <w:ind w:left="4300"/>
              <w:spacing w:after="0"/>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211"/>
        </w:trPr>
        <w:tc>
          <w:tcPr>
            <w:tcW w:w="9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2.1**</w:t>
            </w:r>
          </w:p>
        </w:tc>
        <w:tc>
          <w:tcPr>
            <w:tcW w:w="100" w:type="dxa"/>
            <w:vAlign w:val="bottom"/>
          </w:tcPr>
          <w:p>
            <w:pPr>
              <w:spacing w:after="0"/>
              <w:rPr>
                <w:sz w:val="18"/>
                <w:szCs w:val="18"/>
                <w:color w:val="auto"/>
              </w:rPr>
            </w:pPr>
          </w:p>
        </w:tc>
        <w:tc>
          <w:tcPr>
            <w:tcW w:w="94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Agreement and Plan of Merger and Reorganization, dated as of January 30, 2024, by and among AVROBIO, Alpine</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Merger Subsidiary, Inc. and Tectonic Therapeutic Inc. (incorporated by reference to Exhibit 2.1 to the Registrant’s</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 (File No. 001-38537) filed with the Securities and Exchange Commission on January</w:t>
            </w:r>
          </w:p>
        </w:tc>
      </w:tr>
      <w:tr>
        <w:trPr>
          <w:trHeight w:val="266"/>
        </w:trPr>
        <w:tc>
          <w:tcPr>
            <w:tcW w:w="940" w:type="dxa"/>
            <w:vAlign w:val="bottom"/>
          </w:tcPr>
          <w:p>
            <w:pPr>
              <w:spacing w:after="0"/>
              <w:rPr>
                <w:sz w:val="23"/>
                <w:szCs w:val="23"/>
                <w:color w:val="auto"/>
              </w:rPr>
            </w:pPr>
          </w:p>
        </w:tc>
        <w:tc>
          <w:tcPr>
            <w:tcW w:w="9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30, 2024).</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3.14**</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Fourth Amended and Restated Certificate of Incorporation as amended through June 20, 2024 (incorporated by</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reference to Exhibit 3.1 to the Registrant’s Quarterly Report on Form 10-Q (File No. 001-38537) filed with the</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Securities and Exchange Commission on August 14, 2024).</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By-laws (incorporated by reference to Exhibit 3.2 to the Registrant’s Current Report on</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Form 8-K (File No. 001-38537) filed with the Securities and Exchange Commission on June 25, 2018).</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Capital Stock (incorporated by reference to Exhibit 4.1 to the Registrant’s Annual Report on Form</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10-K (File No. 001-3857) filed with the SEC on March 20, 2025).</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Contingent Value Rights Agreement dated June 20, 2024, by and between Tectonic Therapeutic, Inc. and</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Computershare Trust Company, LLC (incorporated by reference to Exhibit 10.1 to the Registrant’s Current Report</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on Form 8-K (File No. 001-38537) filed with the Securities and Exchange Commission on June 20, 2024).</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Form of Indemnification Agreement between Tectonic Therapeutic, Inc. and each of its directors and executive</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officers (incorporated by reference to Exhibit 10.2 to the Registrant’s Current Report on Form 8-K (File No. 001-</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38537) filed with the Securities and Exchange Commission on June 20, 2024).</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2019 Equity Incentive Plan of Tectonic Therapeutic, Inc., and form of award agreements thereunder (incorporated</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by reference to Exhibit 10.4 to the Registrant’s Registration Statement on Form S-4 (File No. 333-277048) filed</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with the Securities and Exchange Commission on February 14, 2024).</w:t>
            </w:r>
          </w:p>
        </w:tc>
      </w:tr>
      <w:tr>
        <w:trPr>
          <w:trHeight w:val="49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Non-Employee Director Compensation Policy of Tectonic Therapeutic, Inc.</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2024 Equity Incentive Plan of Tectonic Therapeutic, Inc.(incorporated by reference to Exhibit 10.6 to the</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Registrant’s Current Report on Form 8-K (File No. 001-38537) filed with the Securities and Exchange Commission</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on June 20, 2024).</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Forms of Option Grant Notice, Option Agreement and Notice of Exercise under Tectonic Therapeutic, Inc. 2024</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Equity Incentive Plan (incorporated by reference to Exhibit 10.7 to the Registrant’s Current Report on Form 8-K</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(File No. 001-38537) filed with the Securities and Exchange Commission on June 20, 2024).</w:t>
            </w:r>
          </w:p>
        </w:tc>
      </w:tr>
      <w:tr>
        <w:trPr>
          <w:trHeight w:val="45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10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2024 Employee Stock Purchase Plan of Tectonic Therapeutic, Inc. (incorporated by reference to Exhibit 10.8 to the</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Registrant’s Current Report on Form 8-K (File No. 001-38537) filed with the Securities and Exchange Commission</w:t>
            </w:r>
          </w:p>
        </w:tc>
      </w:tr>
      <w:tr>
        <w:trPr>
          <w:trHeight w:val="266"/>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20"/>
                <w:szCs w:val="20"/>
                <w:color w:val="231F20"/>
              </w:rPr>
              <w:t>on June 20, 2024).</w:t>
            </w:r>
          </w:p>
        </w:tc>
      </w:tr>
    </w:tbl>
    <w:p>
      <w:pPr>
        <w:spacing w:after="0" w:line="200" w:lineRule="exact"/>
        <w:rPr>
          <w:sz w:val="20"/>
          <w:szCs w:val="20"/>
          <w:color w:val="auto"/>
        </w:rPr>
      </w:pPr>
    </w:p>
    <w:p>
      <w:pPr>
        <w:sectPr>
          <w:pgSz w:w="11880" w:h="15480" w:orient="portrait"/>
          <w:cols w:equalWidth="0" w:num="1">
            <w:col w:w="10440"/>
          </w:cols>
          <w:pgMar w:left="720" w:top="746" w:right="720" w:bottom="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440"/>
          </w:cols>
          <w:pgMar w:left="720" w:top="746" w:right="72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Amended and Restated Employment Agreement, dated as of June 20, 2024, by and between Tectonic Therapeutic,</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Inc. and Alise Reicin, M.D. (incorporated by reference to Exhibit 10.4 to the Registrant’s Current Report on Form 8-</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K (File No. 001-38537) filed with the Securities and Exchange Commission on June 20, 2024).</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10.09**</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License Agreement, dated February 10, 2022, by and between Tectonic Therapeutic, Inc. and President and Fellows</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of Harvard College (incorporated by reference to Exhibit 10.35 to the Registrant’s Amendment No. 1 to the</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Registration Statement on Form S-4 (File No. 333-277048) filed with the Securities and Exchange Commission on</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March 26, 2024).</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10.10**</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Master Contract Services Agreement, dated February 16, 2022, by and between Tectonic Therapeutic, Inc. and ITR</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LABORATORIES CANADA INC. (incorporated by reference to Exhibit 10.38 to the Registrant’s Amendment No.</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1 to the Registration Statement on Form S-4(File No. 333-277048) filed with the Securities and Exchange</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Commission on March 26, 2024).</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10.11**</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Master Clinical Contract Services Agreement, dated March 6, 2023, by and between Tectonic Therapeutic, Inc. and</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Novotech (Australia) Pty Limited CAN (incorporated by reference to Exhibit 10.40 to the Registrant’s Amendment</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No. 1 to the Registration Statement on Form S-4 (File No. 333-277048) filed with the Securities and Exchange</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Commission on March 26, 2024)</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10.12**</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Offer Letter dated June 16, 2021, by and between Tectonic Therapeutic, Inc. and Marcella Ruddy (incorporated by</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reference to Exhibit 10.43 to the Registrant’s Amendment No. 2 to the Registration Statement on Form S-4 (File No.</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333-277048) filed with the Securities and Exchange Commission on April 15, 2024).</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10.13**</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Offer Letter dated May 28, 2024, by and between Tectonic Therapeutic, Inc. and Daniel Lochner (incorporated by</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reference to Exhibit 10.17 to the Registrants Annual Report on Form 10-K (File No. 001-38537) filed with the</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Securities and Exchange Commission on March 20, 2025)</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10.14**</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Form of Severance Plan and Form of Participation Agreement of Tectonic Therapeutic, Inc. (incorporated as</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reference to Exhibit 10.47 to the Registrant’s Amendment No. 2 to the Registration Statement on Form S-4 filed on</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April 15, 2024 (File No. 333-277048) and incorporated herein by reference).</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10.15**</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Form of Securities Purchase Agreement, dated as of February 3, 2025, by and among Tectonic Therapeutic, Inc. and</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the purchasers thereunder (incorporated by reference to Exhibit 10.1 to the Company’s Current Report on Form 8-K</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(File No. 001-38537) filed with the Securities and Exchange Commission on February 3, 2025).</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10.16**</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Form of Registration Rights Agreement, dated as of February 3, 2025, by and among Tectonic Therapeutic, Inc. and</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the signatories thereto (incorporated by reference to Exhibit 10.2 to the Company’s Current Report on Form 8-K</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(File No. 001-38537) filed with the Securities and Exchange Commission on February 3, 2025)</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19.1**</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Insider Trading Policy of Tectonic Therapeutic, Inc. (incorporated by reference to Exhibit 19.1 to the Registrant’s</w:t>
            </w:r>
          </w:p>
        </w:tc>
      </w:tr>
      <w:tr>
        <w:trPr>
          <w:trHeight w:val="230"/>
        </w:trPr>
        <w:tc>
          <w:tcPr>
            <w:tcW w:w="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Annual Report on Form 10-K (File No. 001-38537) filed with the Securities and Exchange Commission on March</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20, 2025).</w:t>
            </w:r>
          </w:p>
        </w:tc>
      </w:tr>
      <w:tr>
        <w:trPr>
          <w:trHeight w:val="49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List of Subsidiaries.</w:t>
            </w:r>
          </w:p>
        </w:tc>
      </w:tr>
      <w:tr>
        <w:trPr>
          <w:trHeight w:val="49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Consent of independent registered public accounting firm, Deloitte &amp; Touche LLP</w:t>
            </w:r>
          </w:p>
        </w:tc>
      </w:tr>
      <w:tr>
        <w:trPr>
          <w:trHeight w:val="45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Rules 13a-14(a) and 15d-14(a) under the Securities</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Exchange Act of 1934, as Adopted Pursuant to Section 302 of the Sarbanes-Oxley Act of 2002.</w:t>
            </w:r>
          </w:p>
        </w:tc>
      </w:tr>
      <w:tr>
        <w:trPr>
          <w:trHeight w:val="36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w w:val="99"/>
              </w:rPr>
              <w:t>Certification of Principal Financial Officer Pursuant to Rules 13a-14(a) and 15d-14(a) under the Securities Exchange</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Act of 1934, as Adopted Pursuant to Section 302 of the Sarbanes-Oxley Act of 2002.</w:t>
            </w:r>
          </w:p>
        </w:tc>
      </w:tr>
      <w:tr>
        <w:trPr>
          <w:trHeight w:val="36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18 U.S.C. Section 1350, as Adopted Pursuant to Section 906</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of the Sarbanes-Oxley Act of 2002.</w:t>
            </w:r>
          </w:p>
        </w:tc>
      </w:tr>
      <w:tr>
        <w:trPr>
          <w:trHeight w:val="36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Certification of Principal Financial Officer Pursuant to 18 U.S.C. Section 1350, as Adopted Pursuant to Section 906</w:t>
            </w:r>
          </w:p>
        </w:tc>
      </w:tr>
      <w:tr>
        <w:trPr>
          <w:trHeight w:val="266"/>
        </w:trPr>
        <w:tc>
          <w:tcPr>
            <w:tcW w:w="860" w:type="dxa"/>
            <w:vAlign w:val="bottom"/>
          </w:tcPr>
          <w:p>
            <w:pPr>
              <w:spacing w:after="0"/>
              <w:rPr>
                <w:sz w:val="23"/>
                <w:szCs w:val="23"/>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of the Sarbanes-Oxley Act of 2002.</w:t>
            </w:r>
          </w:p>
        </w:tc>
      </w:tr>
    </w:tbl>
    <w:p>
      <w:pPr>
        <w:spacing w:after="0" w:line="200" w:lineRule="exact"/>
        <w:rPr>
          <w:sz w:val="20"/>
          <w:szCs w:val="20"/>
          <w:color w:val="auto"/>
        </w:rPr>
      </w:pPr>
    </w:p>
    <w:p>
      <w:pPr>
        <w:sectPr>
          <w:pgSz w:w="11880" w:h="15480" w:orient="portrait"/>
          <w:cols w:equalWidth="0" w:num="1">
            <w:col w:w="10420"/>
          </w:cols>
          <w:pgMar w:left="720" w:top="765" w:right="740" w:bottom="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420"/>
          </w:cols>
          <w:pgMar w:left="720" w:top="765" w:right="7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97.1**</w:t>
            </w: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w w:val="99"/>
              </w:rPr>
              <w:t>Incentive Compensation Recoupment Policy of Tectonic Therapeutic, Inc.(incorporated by reference to Exhibit 19.1</w:t>
            </w:r>
          </w:p>
        </w:tc>
      </w:tr>
      <w:tr>
        <w:trPr>
          <w:trHeight w:val="230"/>
        </w:trPr>
        <w:tc>
          <w:tcPr>
            <w:tcW w:w="900" w:type="dxa"/>
            <w:vAlign w:val="bottom"/>
          </w:tcPr>
          <w:p>
            <w:pPr>
              <w:spacing w:after="0"/>
              <w:rPr>
                <w:sz w:val="20"/>
                <w:szCs w:val="20"/>
                <w:color w:val="auto"/>
              </w:rPr>
            </w:pP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to the Registrant’s Annual Report on Form 10K (File No. 001-38537) filed with the Securities and Exchange</w:t>
            </w:r>
          </w:p>
        </w:tc>
      </w:tr>
      <w:tr>
        <w:trPr>
          <w:trHeight w:val="266"/>
        </w:trPr>
        <w:tc>
          <w:tcPr>
            <w:tcW w:w="900" w:type="dxa"/>
            <w:vAlign w:val="bottom"/>
          </w:tcPr>
          <w:p>
            <w:pPr>
              <w:spacing w:after="0"/>
              <w:rPr>
                <w:sz w:val="23"/>
                <w:szCs w:val="23"/>
                <w:color w:val="auto"/>
              </w:rPr>
            </w:pP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Commission on March 20, 2025).</w:t>
            </w:r>
          </w:p>
        </w:tc>
      </w:tr>
      <w:tr>
        <w:trPr>
          <w:trHeight w:val="36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Inline XBRL Instance Document – the instance document does not appear in the Interactive Data File because</w:t>
            </w:r>
          </w:p>
        </w:tc>
      </w:tr>
      <w:tr>
        <w:trPr>
          <w:trHeight w:val="245"/>
        </w:trPr>
        <w:tc>
          <w:tcPr>
            <w:tcW w:w="900" w:type="dxa"/>
            <w:vAlign w:val="bottom"/>
          </w:tcPr>
          <w:p>
            <w:pPr>
              <w:spacing w:after="0"/>
              <w:rPr>
                <w:sz w:val="21"/>
                <w:szCs w:val="21"/>
                <w:color w:val="auto"/>
              </w:rPr>
            </w:pP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XBRL tags are embedded within the Inline XBRL document.</w:t>
            </w:r>
          </w:p>
        </w:tc>
      </w:tr>
      <w:tr>
        <w:trPr>
          <w:trHeight w:val="24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r>
        <w:trPr>
          <w:trHeight w:val="26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94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Cover Page Interactive Data File (formatted as Inline XBRL document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92710</wp:posOffset>
                </wp:positionV>
                <wp:extent cx="11334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347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3pt" to="89.6pt,7.3pt" o:allowincell="f" strokecolor="#231F20" strokeweight="0.5pt"/>
            </w:pict>
          </mc:Fallback>
        </mc:AlternateContent>
      </w:r>
    </w:p>
    <w:p>
      <w:pPr>
        <w:spacing w:after="0" w:line="152" w:lineRule="exact"/>
        <w:rPr>
          <w:sz w:val="20"/>
          <w:szCs w:val="20"/>
          <w:color w:val="auto"/>
        </w:rPr>
      </w:pPr>
    </w:p>
    <w:p>
      <w:pPr>
        <w:ind w:left="160" w:hanging="153"/>
        <w:spacing w:after="0"/>
        <w:tabs>
          <w:tab w:leader="none" w:pos="160" w:val="left"/>
        </w:tabs>
        <w:numPr>
          <w:ilvl w:val="0"/>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Filed herewith.</w:t>
      </w:r>
    </w:p>
    <w:p>
      <w:pPr>
        <w:spacing w:after="0" w:line="40" w:lineRule="exact"/>
        <w:rPr>
          <w:rFonts w:ascii="Times New Roman" w:cs="Times New Roman" w:eastAsia="Times New Roman" w:hAnsi="Times New Roman"/>
          <w:sz w:val="20"/>
          <w:szCs w:val="20"/>
          <w:color w:val="231F20"/>
        </w:rPr>
      </w:pPr>
    </w:p>
    <w:p>
      <w:pPr>
        <w:ind w:left="260" w:hanging="253"/>
        <w:spacing w:after="0"/>
        <w:tabs>
          <w:tab w:leader="none" w:pos="26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Filed previously.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360"/>
          </w:cols>
          <w:pgMar w:left="720" w:top="76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360"/>
          </w:cols>
          <w:pgMar w:left="720" w:top="765" w:right="80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364" w:lineRule="exact"/>
        <w:rPr>
          <w:sz w:val="20"/>
          <w:szCs w:val="20"/>
          <w:color w:val="auto"/>
        </w:rPr>
      </w:pPr>
    </w:p>
    <w:p>
      <w:pPr>
        <w:ind w:right="60" w:firstLine="49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31F20"/>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0" w:type="dxa"/>
            <w:vAlign w:val="bottom"/>
          </w:tcPr>
          <w:p>
            <w:pPr>
              <w:spacing w:after="0"/>
              <w:rPr>
                <w:sz w:val="23"/>
                <w:szCs w:val="23"/>
                <w:color w:val="auto"/>
              </w:rPr>
            </w:pPr>
          </w:p>
        </w:tc>
        <w:tc>
          <w:tcPr>
            <w:tcW w:w="6840" w:type="dxa"/>
            <w:vAlign w:val="bottom"/>
            <w:gridSpan w:val="2"/>
          </w:tcPr>
          <w:p>
            <w:pPr>
              <w:ind w:left="1620"/>
              <w:spacing w:after="0"/>
              <w:rPr>
                <w:sz w:val="20"/>
                <w:szCs w:val="20"/>
                <w:color w:val="auto"/>
              </w:rPr>
            </w:pPr>
            <w:r>
              <w:rPr>
                <w:rFonts w:ascii="Times New Roman" w:cs="Times New Roman" w:eastAsia="Times New Roman" w:hAnsi="Times New Roman"/>
                <w:sz w:val="20"/>
                <w:szCs w:val="20"/>
                <w:b w:val="1"/>
                <w:bCs w:val="1"/>
                <w:color w:val="231F20"/>
              </w:rPr>
              <w:t>TECTONIC THERAPEUTIC, INC.</w:t>
            </w:r>
          </w:p>
        </w:tc>
      </w:tr>
      <w:tr>
        <w:trPr>
          <w:trHeight w:val="515"/>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26, 2026</w:t>
            </w:r>
          </w:p>
        </w:tc>
        <w:tc>
          <w:tcPr>
            <w:tcW w:w="1940" w:type="dxa"/>
            <w:vAlign w:val="bottom"/>
          </w:tcPr>
          <w:p>
            <w:pPr>
              <w:ind w:left="1620"/>
              <w:spacing w:after="0"/>
              <w:rPr>
                <w:sz w:val="20"/>
                <w:szCs w:val="20"/>
                <w:color w:val="auto"/>
              </w:rPr>
            </w:pPr>
            <w:r>
              <w:rPr>
                <w:rFonts w:ascii="Times New Roman" w:cs="Times New Roman" w:eastAsia="Times New Roman" w:hAnsi="Times New Roman"/>
                <w:sz w:val="20"/>
                <w:szCs w:val="20"/>
                <w:color w:val="231F20"/>
              </w:rPr>
              <w:t>By:</w:t>
            </w:r>
          </w:p>
        </w:tc>
        <w:tc>
          <w:tcPr>
            <w:tcW w:w="4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Alise Reicin, M.D.</w:t>
            </w:r>
          </w:p>
        </w:tc>
      </w:tr>
      <w:tr>
        <w:trPr>
          <w:trHeight w:val="226"/>
        </w:trPr>
        <w:tc>
          <w:tcPr>
            <w:tcW w:w="3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9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231F20"/>
              </w:rPr>
              <w:t>Alise Reicin, M.D.</w:t>
            </w:r>
          </w:p>
        </w:tc>
      </w:tr>
      <w:tr>
        <w:trPr>
          <w:trHeight w:val="247"/>
        </w:trPr>
        <w:tc>
          <w:tcPr>
            <w:tcW w:w="3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President and Chief Executive Officer</w:t>
            </w:r>
          </w:p>
        </w:tc>
      </w:tr>
      <w:tr>
        <w:trPr>
          <w:trHeight w:val="264"/>
        </w:trPr>
        <w:tc>
          <w:tcPr>
            <w:tcW w:w="3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tc>
      </w:tr>
      <w:tr>
        <w:trPr>
          <w:trHeight w:val="51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26, 2026</w:t>
            </w:r>
          </w:p>
        </w:tc>
        <w:tc>
          <w:tcPr>
            <w:tcW w:w="1940" w:type="dxa"/>
            <w:vAlign w:val="bottom"/>
          </w:tcPr>
          <w:p>
            <w:pPr>
              <w:ind w:left="1620"/>
              <w:spacing w:after="0"/>
              <w:rPr>
                <w:sz w:val="20"/>
                <w:szCs w:val="20"/>
                <w:color w:val="auto"/>
              </w:rPr>
            </w:pPr>
            <w:r>
              <w:rPr>
                <w:rFonts w:ascii="Times New Roman" w:cs="Times New Roman" w:eastAsia="Times New Roman" w:hAnsi="Times New Roman"/>
                <w:sz w:val="20"/>
                <w:szCs w:val="20"/>
                <w:color w:val="231F20"/>
              </w:rPr>
              <w:t>By:</w:t>
            </w:r>
          </w:p>
        </w:tc>
        <w:tc>
          <w:tcPr>
            <w:tcW w:w="4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Daniel Lochner</w:t>
            </w:r>
          </w:p>
        </w:tc>
      </w:tr>
      <w:tr>
        <w:trPr>
          <w:trHeight w:val="226"/>
        </w:trPr>
        <w:tc>
          <w:tcPr>
            <w:tcW w:w="3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9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231F20"/>
                <w:w w:val="99"/>
              </w:rPr>
              <w:t>Daniel Lochner</w:t>
            </w:r>
          </w:p>
        </w:tc>
      </w:tr>
      <w:tr>
        <w:trPr>
          <w:trHeight w:val="266"/>
        </w:trPr>
        <w:tc>
          <w:tcPr>
            <w:tcW w:w="36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Financial Officer</w:t>
            </w:r>
          </w:p>
        </w:tc>
      </w:tr>
    </w:tbl>
    <w:p>
      <w:pPr>
        <w:jc w:val="center"/>
        <w:ind w:left="5520"/>
        <w:spacing w:after="0"/>
        <w:rPr>
          <w:sz w:val="20"/>
          <w:szCs w:val="20"/>
          <w:color w:val="auto"/>
        </w:rPr>
      </w:pPr>
      <w:r>
        <w:rPr>
          <w:rFonts w:ascii="Times New Roman" w:cs="Times New Roman" w:eastAsia="Times New Roman" w:hAnsi="Times New Roman"/>
          <w:sz w:val="20"/>
          <w:szCs w:val="20"/>
          <w:i w:val="1"/>
          <w:iCs w:val="1"/>
          <w:color w:val="231F20"/>
        </w:rPr>
        <w:t>(Principal Financial Officer and Principal</w:t>
      </w:r>
    </w:p>
    <w:p>
      <w:pPr>
        <w:spacing w:after="0" w:line="7"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20"/>
          <w:szCs w:val="20"/>
          <w:i w:val="1"/>
          <w:iCs w:val="1"/>
          <w:color w:val="231F20"/>
        </w:rPr>
        <w:t>Accounting Officer)</w:t>
      </w:r>
    </w:p>
    <w:p>
      <w:pPr>
        <w:sectPr>
          <w:pgSz w:w="11880" w:h="15480" w:orient="portrait"/>
          <w:cols w:equalWidth="0" w:num="1">
            <w:col w:w="10440"/>
          </w:cols>
          <w:pgMar w:left="720" w:top="74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440"/>
          </w:cols>
          <w:pgMar w:left="720" w:top="746" w:right="720" w:bottom="0" w:gutter="0" w:footer="0" w:header="0"/>
          <w:type w:val="continuous"/>
        </w:sectPr>
      </w:pPr>
    </w:p>
    <w:bookmarkStart w:id="93" w:name="page94"/>
    <w:bookmarkEnd w:id="93"/>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2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231F20"/>
        </w:rPr>
        <w:t>KNOW ALL PERSONS BY THESE PRESENTS, that each person whose signature appears below constitutes and appoints Alise Reicin and Daniel Lochner,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Tectonic Therapeutic,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Signature</w:t>
            </w:r>
          </w:p>
        </w:tc>
        <w:tc>
          <w:tcPr>
            <w:tcW w:w="540" w:type="dxa"/>
            <w:vAlign w:val="bottom"/>
          </w:tcPr>
          <w:p>
            <w:pPr>
              <w:spacing w:after="0"/>
              <w:rPr>
                <w:sz w:val="23"/>
                <w:szCs w:val="23"/>
                <w:color w:val="auto"/>
              </w:rPr>
            </w:pPr>
          </w:p>
        </w:tc>
        <w:tc>
          <w:tcPr>
            <w:tcW w:w="4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Title</w:t>
            </w:r>
          </w:p>
        </w:tc>
        <w:tc>
          <w:tcPr>
            <w:tcW w:w="120" w:type="dxa"/>
            <w:vAlign w:val="bottom"/>
          </w:tcPr>
          <w:p>
            <w:pPr>
              <w:spacing w:after="0"/>
              <w:rPr>
                <w:sz w:val="23"/>
                <w:szCs w:val="23"/>
                <w:color w:val="auto"/>
              </w:rPr>
            </w:pPr>
          </w:p>
        </w:tc>
        <w:tc>
          <w:tcPr>
            <w:tcW w:w="35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Date</w:t>
            </w:r>
          </w:p>
        </w:tc>
      </w:tr>
      <w:tr>
        <w:trPr>
          <w:trHeight w:val="500"/>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Alise Reicin</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President, Chief Executive Officer and Director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64"/>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Alise Reicin</w:t>
            </w:r>
          </w:p>
        </w:tc>
        <w:tc>
          <w:tcPr>
            <w:tcW w:w="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82"/>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Daniel Lochner</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Financial Officer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24"/>
        </w:trPr>
        <w:tc>
          <w:tcPr>
            <w:tcW w:w="208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231F20"/>
                <w:w w:val="99"/>
              </w:rPr>
              <w:t>Daniel Lochner</w:t>
            </w:r>
          </w:p>
        </w:tc>
        <w:tc>
          <w:tcPr>
            <w:tcW w:w="540" w:type="dxa"/>
            <w:vAlign w:val="bottom"/>
          </w:tcPr>
          <w:p>
            <w:pPr>
              <w:spacing w:after="0"/>
              <w:rPr>
                <w:sz w:val="19"/>
                <w:szCs w:val="19"/>
                <w:color w:val="auto"/>
              </w:rPr>
            </w:pPr>
          </w:p>
        </w:tc>
        <w:tc>
          <w:tcPr>
            <w:tcW w:w="414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i w:val="1"/>
                <w:iCs w:val="1"/>
                <w:color w:val="231F20"/>
                <w:w w:val="99"/>
              </w:rPr>
              <w:t>(Principal Financial Officer and Principal</w:t>
            </w: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64"/>
        </w:trPr>
        <w:tc>
          <w:tcPr>
            <w:tcW w:w="2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w w:val="99"/>
              </w:rPr>
              <w:t>Accounting Officer)</w:t>
            </w: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89"/>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Terrance McGuire</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62"/>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Terrance McGuire</w:t>
            </w:r>
          </w:p>
        </w:tc>
        <w:tc>
          <w:tcPr>
            <w:tcW w:w="5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66"/>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Stefan Vitorovic</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61"/>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Stefan Vitorovic</w:t>
            </w:r>
          </w:p>
        </w:tc>
        <w:tc>
          <w:tcPr>
            <w:tcW w:w="5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84"/>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Timothy A. Springer</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62"/>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Timothy A. Springer</w:t>
            </w:r>
          </w:p>
        </w:tc>
        <w:tc>
          <w:tcPr>
            <w:tcW w:w="5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66"/>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Praveen Tipirneni</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61"/>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Praveen Tipirneni</w:t>
            </w:r>
          </w:p>
        </w:tc>
        <w:tc>
          <w:tcPr>
            <w:tcW w:w="5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66"/>
        </w:trPr>
        <w:tc>
          <w:tcPr>
            <w:tcW w:w="2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Phillip B. Donenberg</w:t>
            </w:r>
          </w:p>
        </w:tc>
        <w:tc>
          <w:tcPr>
            <w:tcW w:w="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Director</w:t>
            </w:r>
          </w:p>
        </w:tc>
        <w:tc>
          <w:tcPr>
            <w:tcW w:w="1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61"/>
        </w:trPr>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Phillip B. Donenberg</w:t>
            </w:r>
          </w:p>
        </w:tc>
        <w:tc>
          <w:tcPr>
            <w:tcW w:w="5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440"/>
          </w:cols>
          <w:pgMar w:left="72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440"/>
          </w:cols>
          <w:pgMar w:left="720" w:top="1440" w:right="72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74"/>
        </w:trPr>
        <w:tc>
          <w:tcPr>
            <w:tcW w:w="10460" w:type="dxa"/>
            <w:vAlign w:val="bottom"/>
          </w:tcPr>
          <w:p>
            <w:pPr>
              <w:ind w:left="292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tc>
        <w:tc>
          <w:tcPr>
            <w:tcW w:w="620" w:type="dxa"/>
            <w:vAlign w:val="bottom"/>
          </w:tcPr>
          <w:p>
            <w:pPr>
              <w:spacing w:after="0"/>
              <w:rPr>
                <w:sz w:val="23"/>
                <w:szCs w:val="23"/>
                <w:color w:val="auto"/>
              </w:rPr>
            </w:pPr>
          </w:p>
        </w:tc>
      </w:tr>
      <w:tr>
        <w:trPr>
          <w:trHeight w:val="506"/>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No. 34)</w:t>
            </w:r>
          </w:p>
        </w:tc>
        <w:tc>
          <w:tcPr>
            <w:tcW w:w="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3"/>
              </w:rPr>
              <w:t>F-2</w:t>
            </w:r>
          </w:p>
        </w:tc>
      </w:tr>
      <w:tr>
        <w:trPr>
          <w:trHeight w:val="230"/>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w:t>
            </w:r>
          </w:p>
        </w:tc>
        <w:tc>
          <w:tcPr>
            <w:tcW w:w="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3"/>
              </w:rPr>
              <w:t>F-4</w:t>
            </w:r>
          </w:p>
        </w:tc>
      </w:tr>
      <w:tr>
        <w:trPr>
          <w:trHeight w:val="230"/>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 and Comprehensive Loss for the Years ended December 31, 2025 and 2024</w:t>
            </w:r>
          </w:p>
        </w:tc>
        <w:tc>
          <w:tcPr>
            <w:tcW w:w="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3"/>
              </w:rPr>
              <w:t>F-5</w:t>
            </w:r>
          </w:p>
        </w:tc>
      </w:tr>
      <w:tr>
        <w:trPr>
          <w:trHeight w:val="230"/>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Convertible Preferred Stock and Stockholders’ Equity (Deficit) for the Years ended December 31,</w:t>
            </w:r>
          </w:p>
        </w:tc>
        <w:tc>
          <w:tcPr>
            <w:tcW w:w="620" w:type="dxa"/>
            <w:vAlign w:val="bottom"/>
          </w:tcPr>
          <w:p>
            <w:pPr>
              <w:spacing w:after="0"/>
              <w:rPr>
                <w:sz w:val="20"/>
                <w:szCs w:val="20"/>
                <w:color w:val="auto"/>
              </w:rPr>
            </w:pPr>
          </w:p>
        </w:tc>
      </w:tr>
      <w:tr>
        <w:trPr>
          <w:trHeight w:val="230"/>
        </w:trPr>
        <w:tc>
          <w:tcPr>
            <w:tcW w:w="104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2025 and 2024</w:t>
            </w:r>
          </w:p>
        </w:tc>
        <w:tc>
          <w:tcPr>
            <w:tcW w:w="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3"/>
              </w:rPr>
              <w:t>F-6</w:t>
            </w:r>
          </w:p>
        </w:tc>
      </w:tr>
      <w:tr>
        <w:trPr>
          <w:trHeight w:val="230"/>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and 2024</w:t>
            </w:r>
          </w:p>
        </w:tc>
        <w:tc>
          <w:tcPr>
            <w:tcW w:w="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3"/>
              </w:rPr>
              <w:t>F-7</w:t>
            </w:r>
          </w:p>
        </w:tc>
      </w:tr>
      <w:tr>
        <w:trPr>
          <w:trHeight w:val="266"/>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3"/>
              </w:rPr>
              <w:t>F-8</w:t>
            </w:r>
          </w:p>
        </w:tc>
      </w:tr>
    </w:tbl>
    <w:p>
      <w:pPr>
        <w:spacing w:after="0" w:line="200" w:lineRule="exact"/>
        <w:rPr>
          <w:sz w:val="20"/>
          <w:szCs w:val="20"/>
          <w:color w:val="auto"/>
        </w:rPr>
      </w:pPr>
    </w:p>
    <w:p>
      <w:pPr>
        <w:sectPr>
          <w:pgSz w:w="11880" w:h="15480" w:orient="portrait"/>
          <w:cols w:equalWidth="0" w:num="1">
            <w:col w:w="11080"/>
          </w:cols>
          <w:pgMar w:left="400" w:top="74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w:t>
      </w:r>
    </w:p>
    <w:p>
      <w:pPr>
        <w:sectPr>
          <w:pgSz w:w="11880" w:h="15480" w:orient="portrait"/>
          <w:cols w:equalWidth="0" w:num="1">
            <w:col w:w="11080"/>
          </w:cols>
          <w:pgMar w:left="400" w:top="746" w:right="4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shareholders and the Board of Directors of Tectonic Therapeutic,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24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Tectonic Therapeutic, Inc. and subsidiaries (the "Company") as of December 31, 2025 and 2024, the related consolidated statements of operations and comprehensive loss, convertible preferred stock and stockholders' equity (deficit), and cash flows for the years then ended</w:t>
      </w:r>
      <w:r>
        <w:rPr>
          <w:sz w:val="1"/>
          <w:szCs w:val="1"/>
          <w:color w:val="auto"/>
        </w:rPr>
        <w:drawing>
          <wp:inline distT="0" distB="0" distL="0" distR="0">
            <wp:extent cx="73025" cy="88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73025" cy="88900"/>
                    </a:xfrm>
                    <a:prstGeom prst="rect">
                      <a:avLst/>
                    </a:prstGeom>
                    <a:noFill/>
                    <a:ln>
                      <a:noFill/>
                    </a:ln>
                  </pic:spPr>
                </pic:pic>
              </a:graphicData>
            </a:graphic>
          </wp:inline>
        </w:drawing>
      </w:r>
      <w:r>
        <w:rPr>
          <w:rFonts w:ascii="Times New Roman" w:cs="Times New Roman" w:eastAsia="Times New Roman" w:hAnsi="Times New Roman"/>
          <w:sz w:val="20"/>
          <w:szCs w:val="20"/>
          <w:color w:val="231F20"/>
        </w:rPr>
        <w:t xml:space="preserve"> ,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24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24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9"/>
          <w:szCs w:val="19"/>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Accrued and prepaid contract research and development and manufacturing expenses — Refer to Notes 2 and 6 to the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Critical Audit Matter Description</w:t>
      </w:r>
    </w:p>
    <w:p>
      <w:pPr>
        <w:spacing w:after="0" w:line="240"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color w:val="231F20"/>
        </w:rPr>
        <w:t>As disclosed in Note 2 to the financial statements, the Company records accrued and prepaid research and development and manufacturing expenses for third-party contract research organizations (“CROs”) and contract development and manufacturing organizations (“CDMOs”). Estimates of expenses incurred are determined by reviewing information provided to the Company by its service providers and through discussions with both internal personnel and external service providers as to the status of specific tasks within arrangements. Expenses incurred in excess of amounts invoiced are recorded as accrued expenses. Payments made in excess of costs incurred are recorded as prepaid expenses.</w:t>
      </w:r>
    </w:p>
    <w:p>
      <w:pPr>
        <w:spacing w:after="0" w:line="20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231F20"/>
        </w:rPr>
        <w:t>We identified auditing the estimates of the progress to completion of specific tasks performed by CROs and CDMOs as a critical audit matter due to (i) the level of judgment required by management and the volume of such estimates made by management and (ii) the degree of auditor judgment, subjectivity, and increased extent of effort in performing procedures to evaluate the reasonableness of management’s estimates of progress to completion.</w:t>
      </w:r>
    </w:p>
    <w:p>
      <w:pPr>
        <w:sectPr>
          <w:pgSz w:w="11880" w:h="15480" w:orient="portrait"/>
          <w:cols w:equalWidth="0" w:num="1">
            <w:col w:w="11040"/>
          </w:cols>
          <w:pgMar w:left="400" w:top="976"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F-2</w:t>
      </w:r>
    </w:p>
    <w:p>
      <w:pPr>
        <w:sectPr>
          <w:pgSz w:w="11880" w:h="15480" w:orient="portrait"/>
          <w:cols w:equalWidth="0" w:num="1">
            <w:col w:w="11040"/>
          </w:cols>
          <w:pgMar w:left="400" w:top="976" w:right="44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231F20"/>
        </w:rPr>
        <w:t>How the Critical Audit Matter Was Addressed in the Audit</w:t>
      </w:r>
    </w:p>
    <w:p>
      <w:pPr>
        <w:spacing w:after="0" w:line="240"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color w:val="231F20"/>
        </w:rPr>
        <w:t>Our audit procedures related to accrued and prepaid research and development expenses and manufacturing expenses included the following, among others:</w:t>
      </w:r>
    </w:p>
    <w:p>
      <w:pPr>
        <w:spacing w:after="0" w:line="64" w:lineRule="exact"/>
        <w:rPr>
          <w:sz w:val="20"/>
          <w:szCs w:val="20"/>
          <w:color w:val="auto"/>
        </w:rPr>
      </w:pPr>
    </w:p>
    <w:p>
      <w:pPr>
        <w:ind w:left="980" w:right="200" w:hanging="494"/>
        <w:spacing w:after="0" w:line="276" w:lineRule="auto"/>
        <w:tabs>
          <w:tab w:leader="none" w:pos="98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We tested the design and implementation of controls over the estimation of accrued and prepaid research and development and manufacturing expenses.</w:t>
      </w:r>
    </w:p>
    <w:p>
      <w:pPr>
        <w:spacing w:after="0" w:line="64" w:lineRule="exact"/>
        <w:rPr>
          <w:rFonts w:ascii="Arial" w:cs="Arial" w:eastAsia="Arial" w:hAnsi="Arial"/>
          <w:sz w:val="20"/>
          <w:szCs w:val="20"/>
          <w:color w:val="231F20"/>
        </w:rPr>
      </w:pPr>
    </w:p>
    <w:p>
      <w:pPr>
        <w:ind w:left="980" w:right="420" w:hanging="494"/>
        <w:spacing w:after="0" w:line="276" w:lineRule="auto"/>
        <w:tabs>
          <w:tab w:leader="none" w:pos="980" w:val="left"/>
        </w:tabs>
        <w:numPr>
          <w:ilvl w:val="0"/>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For a sample of contracts with service providers performing research and development and manufacturing activities, we performed the following:</w:t>
      </w:r>
    </w:p>
    <w:p>
      <w:pPr>
        <w:spacing w:after="0" w:line="64" w:lineRule="exact"/>
        <w:rPr>
          <w:rFonts w:ascii="Arial" w:cs="Arial" w:eastAsia="Arial" w:hAnsi="Arial"/>
          <w:sz w:val="20"/>
          <w:szCs w:val="20"/>
          <w:color w:val="231F20"/>
        </w:rPr>
      </w:pPr>
    </w:p>
    <w:p>
      <w:pPr>
        <w:ind w:left="1460" w:hanging="485"/>
        <w:spacing w:after="0" w:line="276" w:lineRule="auto"/>
        <w:tabs>
          <w:tab w:leader="none" w:pos="1460" w:val="left"/>
        </w:tabs>
        <w:numPr>
          <w:ilvl w:val="1"/>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Evaluated the appropriateness of the method used by management to develop its estimates of progress to completion of specific tasks.</w:t>
      </w:r>
    </w:p>
    <w:p>
      <w:pPr>
        <w:spacing w:after="0" w:line="64" w:lineRule="exact"/>
        <w:rPr>
          <w:rFonts w:ascii="Arial" w:cs="Arial" w:eastAsia="Arial" w:hAnsi="Arial"/>
          <w:sz w:val="20"/>
          <w:szCs w:val="20"/>
          <w:color w:val="231F20"/>
        </w:rPr>
      </w:pPr>
    </w:p>
    <w:p>
      <w:pPr>
        <w:ind w:left="1460" w:right="40" w:hanging="485"/>
        <w:spacing w:after="0" w:line="258" w:lineRule="auto"/>
        <w:tabs>
          <w:tab w:leader="none" w:pos="1460" w:val="left"/>
        </w:tabs>
        <w:numPr>
          <w:ilvl w:val="1"/>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Tested the completeness and accuracy of the underlying data used in the estimates of progress to completion through inspection of the terms of contracts and statements of work between the Company and its service providers and testing of actual billed expenses under the contracts.</w:t>
      </w:r>
    </w:p>
    <w:p>
      <w:pPr>
        <w:spacing w:after="0" w:line="81" w:lineRule="exact"/>
        <w:rPr>
          <w:rFonts w:ascii="Arial" w:cs="Arial" w:eastAsia="Arial" w:hAnsi="Arial"/>
          <w:sz w:val="20"/>
          <w:szCs w:val="20"/>
          <w:color w:val="231F20"/>
        </w:rPr>
      </w:pPr>
    </w:p>
    <w:p>
      <w:pPr>
        <w:ind w:left="1460" w:right="80" w:hanging="485"/>
        <w:spacing w:after="0" w:line="258" w:lineRule="auto"/>
        <w:tabs>
          <w:tab w:leader="none" w:pos="1460" w:val="left"/>
        </w:tabs>
        <w:numPr>
          <w:ilvl w:val="1"/>
          <w:numId w:val="52"/>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Performed corroborating inquiries with Company personnel responsible for overseeing the activities performed by the Company’s CROs and CDMOs, which may include the service providers’ estimate of completed tasks or progress of completion of certain tasks within the arrangement.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26,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2022.</w:t>
      </w:r>
    </w:p>
    <w:p>
      <w:pPr>
        <w:sectPr>
          <w:pgSz w:w="11880" w:h="15480" w:orient="portrait"/>
          <w:cols w:equalWidth="0" w:num="1">
            <w:col w:w="11000"/>
          </w:cols>
          <w:pgMar w:left="400" w:top="750" w:right="4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11000"/>
          </w:cols>
          <w:pgMar w:left="400" w:top="750" w:right="48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231F20"/>
        </w:rPr>
        <w:t>TECTONIC THERAPEUTIC,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980" w:type="dxa"/>
            <w:vAlign w:val="bottom"/>
            <w:tcBorders>
              <w:bottom w:val="single" w:sz="8" w:color="231F20"/>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1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60" w:type="dxa"/>
            <w:vAlign w:val="bottom"/>
          </w:tcPr>
          <w:p>
            <w:pPr>
              <w:spacing w:after="0"/>
              <w:rPr>
                <w:sz w:val="16"/>
                <w:szCs w:val="16"/>
                <w:color w:val="auto"/>
              </w:rPr>
            </w:pPr>
          </w:p>
        </w:tc>
        <w:tc>
          <w:tcPr>
            <w:tcW w:w="36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48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253,798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141,239</w:t>
            </w:r>
          </w:p>
        </w:tc>
        <w:tc>
          <w:tcPr>
            <w:tcW w:w="0" w:type="dxa"/>
            <w:vAlign w:val="bottom"/>
          </w:tcPr>
          <w:p>
            <w:pPr>
              <w:spacing w:after="0"/>
              <w:rPr>
                <w:sz w:val="1"/>
                <w:szCs w:val="1"/>
                <w:color w:val="auto"/>
              </w:rPr>
            </w:pPr>
          </w:p>
        </w:tc>
      </w:tr>
      <w:tr>
        <w:trPr>
          <w:trHeight w:val="244"/>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Prepaid expenses and other current assets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2,974</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5,618</w:t>
            </w:r>
          </w:p>
        </w:tc>
        <w:tc>
          <w:tcPr>
            <w:tcW w:w="0" w:type="dxa"/>
            <w:vAlign w:val="bottom"/>
          </w:tcPr>
          <w:p>
            <w:pPr>
              <w:spacing w:after="0"/>
              <w:rPr>
                <w:sz w:val="1"/>
                <w:szCs w:val="1"/>
                <w:color w:val="auto"/>
              </w:rPr>
            </w:pPr>
          </w:p>
        </w:tc>
      </w:tr>
      <w:tr>
        <w:trPr>
          <w:trHeight w:val="249"/>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Restricted cash ......................................................................................................................</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587</w:t>
            </w:r>
          </w:p>
        </w:tc>
        <w:tc>
          <w:tcPr>
            <w:tcW w:w="18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............................................................................................................Totalcurrentassets</w:t>
            </w:r>
          </w:p>
        </w:tc>
        <w:tc>
          <w:tcPr>
            <w:tcW w:w="3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257,359</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146,857</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Property and equipment, net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1,185</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2,151</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Finance right-of-use assets, net.............................................................................................</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495</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919</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Operating right-of-use assets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874</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2,235</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Restricted cash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485</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587</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Other assets ...........................................................................................................................</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640</w:t>
            </w:r>
          </w:p>
        </w:tc>
        <w:tc>
          <w:tcPr>
            <w:tcW w:w="18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156</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........................................................................................................................Totalassets</w:t>
            </w:r>
          </w:p>
        </w:tc>
        <w:tc>
          <w:tcPr>
            <w:tcW w:w="36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261,038</w:t>
            </w:r>
          </w:p>
        </w:tc>
        <w:tc>
          <w:tcPr>
            <w:tcW w:w="180" w:type="dxa"/>
            <w:vAlign w:val="bottom"/>
          </w:tcPr>
          <w:p>
            <w:pPr>
              <w:spacing w:after="0"/>
              <w:rPr>
                <w:sz w:val="20"/>
                <w:szCs w:val="20"/>
                <w:color w:val="auto"/>
              </w:rPr>
            </w:pPr>
          </w:p>
        </w:tc>
        <w:tc>
          <w:tcPr>
            <w:tcW w:w="48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152,905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Stockholders’ Equity</w:t>
            </w:r>
          </w:p>
        </w:tc>
        <w:tc>
          <w:tcPr>
            <w:tcW w:w="3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231F20"/>
              </w:rPr>
              <w:t>Current liabilities:</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Accounts payable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1,093</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976</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7,340</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7,850</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Finance lease liability............................................................................................................</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344</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489</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Operating lease liability ........................................................................................................</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889</w:t>
            </w:r>
          </w:p>
        </w:tc>
        <w:tc>
          <w:tcPr>
            <w:tcW w:w="18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2,295</w:t>
            </w:r>
          </w:p>
        </w:tc>
        <w:tc>
          <w:tcPr>
            <w:tcW w:w="0" w:type="dxa"/>
            <w:vAlign w:val="bottom"/>
          </w:tcPr>
          <w:p>
            <w:pPr>
              <w:spacing w:after="0"/>
              <w:rPr>
                <w:sz w:val="1"/>
                <w:szCs w:val="1"/>
                <w:color w:val="auto"/>
              </w:rPr>
            </w:pPr>
          </w:p>
        </w:tc>
      </w:tr>
      <w:tr>
        <w:trPr>
          <w:trHeight w:val="23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......................................................................................................Totalcurrentliabilities</w:t>
            </w:r>
          </w:p>
        </w:tc>
        <w:tc>
          <w:tcPr>
            <w:tcW w:w="3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9,666</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11,610</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Operating lease liability, non-current....................................................................................</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132</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Finance lease liability, non-current.......................................................................................</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43</w:t>
            </w:r>
          </w:p>
        </w:tc>
        <w:tc>
          <w:tcPr>
            <w:tcW w:w="18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387</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..................................................................................................................Totalliabilities</w:t>
            </w:r>
          </w:p>
        </w:tc>
        <w:tc>
          <w:tcPr>
            <w:tcW w:w="3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9,709</w:t>
            </w:r>
          </w:p>
        </w:tc>
        <w:tc>
          <w:tcPr>
            <w:tcW w:w="180" w:type="dxa"/>
            <w:vAlign w:val="bottom"/>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12,129</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231F20"/>
              </w:rPr>
              <w:t>Commitments and contingencies (Note 12)</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231F20"/>
              </w:rPr>
              <w:t>Stockholders’ Equity:</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Preferred stock, $0.0001 par value; 10,000,000 shares authorized as of December 31,</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2025 and December 31, 2024; no shares issued and outstanding as of December 31, 2025</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and December 31, 2024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Common stock, $0.0001 par value; 150,000,000 shares authorized as of December 31,</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2025 and December 31, 2024; 18,738,249 and 14,856,309 shares issued and outstanding</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as of December 31, 2025 and December 31, 2024, respectively..........................................</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474,160</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289,351</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Accumulated other comprehensive (loss) income ................................................................</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Accumulated deficit ..............................................................................................................</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(222,737)</w:t>
            </w:r>
          </w:p>
        </w:tc>
        <w:tc>
          <w:tcPr>
            <w:tcW w:w="18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(148,586)</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.................................................................................................Totalstockholders’equity</w:t>
            </w:r>
          </w:p>
        </w:tc>
        <w:tc>
          <w:tcPr>
            <w:tcW w:w="3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251,329</w:t>
            </w:r>
          </w:p>
        </w:tc>
        <w:tc>
          <w:tcPr>
            <w:tcW w:w="180" w:type="dxa"/>
            <w:vAlign w:val="bottom"/>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140,776</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..........................................................................Totalliabilitiesandstockholders’equity</w:t>
            </w:r>
          </w:p>
        </w:tc>
        <w:tc>
          <w:tcPr>
            <w:tcW w:w="36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261,038</w:t>
            </w:r>
          </w:p>
        </w:tc>
        <w:tc>
          <w:tcPr>
            <w:tcW w:w="180" w:type="dxa"/>
            <w:vAlign w:val="bottom"/>
          </w:tcPr>
          <w:p>
            <w:pPr>
              <w:spacing w:after="0"/>
              <w:rPr>
                <w:sz w:val="20"/>
                <w:szCs w:val="20"/>
                <w:color w:val="auto"/>
              </w:rPr>
            </w:pPr>
          </w:p>
        </w:tc>
        <w:tc>
          <w:tcPr>
            <w:tcW w:w="48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152,905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1080"/>
          </w:cols>
          <w:pgMar w:left="400" w:top="74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1880" w:h="15480" w:orient="portrait"/>
          <w:cols w:equalWidth="0" w:num="1">
            <w:col w:w="11080"/>
          </w:cols>
          <w:pgMar w:left="400" w:top="746" w:right="400" w:bottom="0" w:gutter="0" w:footer="0" w:header="0"/>
          <w:type w:val="continuous"/>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TECTONIC THERAPEUTIC, INC.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 AND COMPREHENSIVE LOSS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193"/>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360" w:type="dxa"/>
            <w:vAlign w:val="bottom"/>
            <w:tcBorders>
              <w:top w:val="single" w:sz="8" w:color="231F20"/>
              <w:bottom w:val="single" w:sz="8" w:color="231F20"/>
            </w:tcBorders>
          </w:tcPr>
          <w:p>
            <w:pPr>
              <w:spacing w:after="0"/>
              <w:rPr>
                <w:sz w:val="16"/>
                <w:szCs w:val="16"/>
                <w:color w:val="auto"/>
              </w:rPr>
            </w:pPr>
          </w:p>
        </w:tc>
        <w:tc>
          <w:tcPr>
            <w:tcW w:w="1220" w:type="dxa"/>
            <w:vAlign w:val="bottom"/>
            <w:tcBorders>
              <w:top w:val="single" w:sz="8" w:color="231F20"/>
              <w:bottom w:val="single" w:sz="8" w:color="231F20"/>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Borders>
              <w:top w:val="single" w:sz="8" w:color="231F20"/>
            </w:tcBorders>
          </w:tcPr>
          <w:p>
            <w:pPr>
              <w:spacing w:after="0"/>
              <w:rPr>
                <w:sz w:val="16"/>
                <w:szCs w:val="16"/>
                <w:color w:val="auto"/>
              </w:rPr>
            </w:pPr>
          </w:p>
        </w:tc>
        <w:tc>
          <w:tcPr>
            <w:tcW w:w="360" w:type="dxa"/>
            <w:vAlign w:val="bottom"/>
            <w:tcBorders>
              <w:top w:val="single" w:sz="8" w:color="231F20"/>
              <w:bottom w:val="single" w:sz="8" w:color="231F20"/>
            </w:tcBorders>
          </w:tcPr>
          <w:p>
            <w:pPr>
              <w:spacing w:after="0"/>
              <w:rPr>
                <w:sz w:val="16"/>
                <w:szCs w:val="16"/>
                <w:color w:val="auto"/>
              </w:rPr>
            </w:pPr>
          </w:p>
        </w:tc>
        <w:tc>
          <w:tcPr>
            <w:tcW w:w="1220" w:type="dxa"/>
            <w:vAlign w:val="bottom"/>
            <w:tcBorders>
              <w:top w:val="single" w:sz="8" w:color="231F20"/>
              <w:bottom w:val="single" w:sz="8" w:color="231F20"/>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63,489</w:t>
            </w:r>
          </w:p>
        </w:tc>
        <w:tc>
          <w:tcPr>
            <w:tcW w:w="28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General and administrative ...................................................................................................</w:t>
            </w:r>
          </w:p>
        </w:tc>
        <w:tc>
          <w:tcPr>
            <w:tcW w:w="36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20,547</w:t>
            </w:r>
          </w:p>
        </w:tc>
        <w:tc>
          <w:tcPr>
            <w:tcW w:w="2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16,651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...................................................................................................Totaloperatingexpenses</w:t>
            </w:r>
          </w:p>
        </w:tc>
        <w:tc>
          <w:tcPr>
            <w:tcW w:w="36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84,036</w:t>
            </w:r>
          </w:p>
        </w:tc>
        <w:tc>
          <w:tcPr>
            <w:tcW w:w="2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.................................................................................................................Lossfromoperations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(84,036)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Interest income......................................................................................................................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11,297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Interest expense.....................................................................................................................</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(63)</w:t>
            </w:r>
          </w:p>
        </w:tc>
        <w:tc>
          <w:tcPr>
            <w:tcW w:w="3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Change in fair value of SAFE liabilities ...............................................................................</w:t>
            </w:r>
          </w:p>
        </w:tc>
        <w:tc>
          <w:tcPr>
            <w:tcW w:w="36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(3,610)</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Other expense........................................................................................................................</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(119)</w:t>
            </w:r>
          </w:p>
        </w:tc>
        <w:tc>
          <w:tcPr>
            <w:tcW w:w="3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(511)</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.....................................................................................................Totalotherincome,net</w:t>
            </w:r>
          </w:p>
        </w:tc>
        <w:tc>
          <w:tcPr>
            <w:tcW w:w="360" w:type="dxa"/>
            <w:vAlign w:val="bottom"/>
            <w:tcBorders>
              <w:top w:val="single" w:sz="8" w:color="231F20"/>
              <w:bottom w:val="single" w:sz="8" w:color="231F20"/>
            </w:tcBorders>
          </w:tcPr>
          <w:p>
            <w:pPr>
              <w:spacing w:after="0"/>
              <w:rPr>
                <w:sz w:val="20"/>
                <w:szCs w:val="20"/>
                <w:color w:val="auto"/>
              </w:rPr>
            </w:pP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11,115</w:t>
            </w:r>
          </w:p>
        </w:tc>
        <w:tc>
          <w:tcPr>
            <w:tcW w:w="280" w:type="dxa"/>
            <w:vAlign w:val="bottom"/>
          </w:tcPr>
          <w:p>
            <w:pPr>
              <w:spacing w:after="0"/>
              <w:rPr>
                <w:sz w:val="20"/>
                <w:szCs w:val="20"/>
                <w:color w:val="auto"/>
              </w:rPr>
            </w:pPr>
          </w:p>
        </w:tc>
        <w:tc>
          <w:tcPr>
            <w:tcW w:w="360" w:type="dxa"/>
            <w:vAlign w:val="bottom"/>
            <w:tcBorders>
              <w:top w:val="single" w:sz="8" w:color="231F20"/>
              <w:bottom w:val="single" w:sz="8" w:color="231F20"/>
            </w:tcBorders>
          </w:tcPr>
          <w:p>
            <w:pPr>
              <w:spacing w:after="0"/>
              <w:rPr>
                <w:sz w:val="20"/>
                <w:szCs w:val="20"/>
                <w:color w:val="auto"/>
              </w:rPr>
            </w:pP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.............................................................................................................Lossbeforeincometax</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(72,921)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(57,982)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Income tax expense...................................................................................................................</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(1,230)</w:t>
            </w:r>
          </w:p>
        </w:tc>
        <w:tc>
          <w:tcPr>
            <w:tcW w:w="3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......................................................................................................................................Netloss</w:t>
            </w:r>
          </w:p>
        </w:tc>
        <w:tc>
          <w:tcPr>
            <w:tcW w:w="360" w:type="dxa"/>
            <w:vAlign w:val="bottom"/>
            <w:tcBorders>
              <w:top w:val="single" w:sz="8" w:color="231F20"/>
              <w:bottom w:val="single" w:sz="8" w:color="231F20"/>
            </w:tcBorders>
          </w:tcPr>
          <w:p>
            <w:pPr>
              <w:spacing w:after="0"/>
              <w:rPr>
                <w:sz w:val="20"/>
                <w:szCs w:val="20"/>
                <w:color w:val="auto"/>
              </w:rPr>
            </w:pP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(74,151)</w:t>
            </w:r>
          </w:p>
        </w:tc>
        <w:tc>
          <w:tcPr>
            <w:tcW w:w="280" w:type="dxa"/>
            <w:vAlign w:val="bottom"/>
          </w:tcPr>
          <w:p>
            <w:pPr>
              <w:spacing w:after="0"/>
              <w:rPr>
                <w:sz w:val="20"/>
                <w:szCs w:val="20"/>
                <w:color w:val="auto"/>
              </w:rPr>
            </w:pPr>
          </w:p>
        </w:tc>
        <w:tc>
          <w:tcPr>
            <w:tcW w:w="360" w:type="dxa"/>
            <w:vAlign w:val="bottom"/>
            <w:tcBorders>
              <w:top w:val="single" w:sz="8" w:color="231F20"/>
              <w:bottom w:val="single" w:sz="8" w:color="231F20"/>
            </w:tcBorders>
          </w:tcPr>
          <w:p>
            <w:pPr>
              <w:spacing w:after="0"/>
              <w:rPr>
                <w:sz w:val="20"/>
                <w:szCs w:val="20"/>
                <w:color w:val="auto"/>
              </w:rPr>
            </w:pP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231F20"/>
              </w:rPr>
              <w:t>Other comprehensive loss: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Foreign currency translation adjustment...............................................................................</w:t>
            </w: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(105)</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..................................................................................................................Comprehensiveloss</w:t>
            </w:r>
          </w:p>
        </w:tc>
        <w:tc>
          <w:tcPr>
            <w:tcW w:w="36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(74,256)</w:t>
            </w:r>
          </w:p>
        </w:tc>
        <w:tc>
          <w:tcPr>
            <w:tcW w:w="280" w:type="dxa"/>
            <w:vAlign w:val="bottom"/>
          </w:tcPr>
          <w:p>
            <w:pPr>
              <w:spacing w:after="0"/>
              <w:rPr>
                <w:sz w:val="20"/>
                <w:szCs w:val="20"/>
                <w:color w:val="auto"/>
              </w:rPr>
            </w:pPr>
          </w:p>
        </w:tc>
        <w:tc>
          <w:tcPr>
            <w:tcW w:w="36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per share, basic and diluted</w:t>
            </w: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vMerge w:val="continue"/>
          </w:tcPr>
          <w:p>
            <w:pPr>
              <w:jc w:val="right"/>
              <w:ind w:right="12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36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(4.05)</w:t>
            </w:r>
          </w:p>
        </w:tc>
        <w:tc>
          <w:tcPr>
            <w:tcW w:w="280" w:type="dxa"/>
            <w:vAlign w:val="bottom"/>
          </w:tcPr>
          <w:p>
            <w:pPr>
              <w:spacing w:after="0"/>
              <w:rPr>
                <w:sz w:val="19"/>
                <w:szCs w:val="19"/>
                <w:color w:val="auto"/>
              </w:rPr>
            </w:pPr>
          </w:p>
        </w:tc>
        <w:tc>
          <w:tcPr>
            <w:tcW w:w="36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Weighted-average common shares outstanding, basic and diluted</w:t>
            </w:r>
          </w:p>
        </w:tc>
        <w:tc>
          <w:tcPr>
            <w:tcW w:w="36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vMerge w:val="continue"/>
          </w:tcPr>
          <w:p>
            <w:pPr>
              <w:jc w:val="right"/>
              <w:ind w:right="12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18,322,533</w:t>
            </w:r>
          </w:p>
        </w:tc>
        <w:tc>
          <w:tcPr>
            <w:tcW w:w="28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8,490,171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1060"/>
          </w:cols>
          <w:pgMar w:left="400" w:top="74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F-5</w:t>
      </w:r>
    </w:p>
    <w:p>
      <w:pPr>
        <w:sectPr>
          <w:pgSz w:w="11880" w:h="15480" w:orient="portrait"/>
          <w:cols w:equalWidth="0" w:num="1">
            <w:col w:w="11060"/>
          </w:cols>
          <w:pgMar w:left="400" w:top="746" w:right="420" w:bottom="0" w:gutter="0" w:footer="0" w:header="0"/>
          <w:type w:val="continuous"/>
        </w:sectPr>
      </w:pPr>
    </w:p>
    <w:bookmarkStart w:id="99" w:name="page100"/>
    <w:bookmarkEnd w:id="99"/>
    <w:p>
      <w:pPr>
        <w:ind w:left="3980"/>
        <w:spacing w:after="0"/>
        <w:rPr>
          <w:sz w:val="20"/>
          <w:szCs w:val="20"/>
          <w:color w:val="auto"/>
        </w:rPr>
      </w:pPr>
      <w:r>
        <w:rPr>
          <w:rFonts w:ascii="Times New Roman" w:cs="Times New Roman" w:eastAsia="Times New Roman" w:hAnsi="Times New Roman"/>
          <w:sz w:val="20"/>
          <w:szCs w:val="20"/>
          <w:b w:val="1"/>
          <w:bCs w:val="1"/>
          <w:color w:val="231F20"/>
        </w:rPr>
        <w:t>TECTONIC THERAPEUTIC, INC.</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231F20"/>
        </w:rPr>
        <w:t>CONSOLIDATED STATEMENTS OF CONVERTIBLE PREFERRED STOCK AND STOCKHOLDERS’ EQUITY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231F20"/>
        </w:rPr>
        <w:t>(DEFICIT)</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231F20"/>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6"/>
          </w:tcPr>
          <w:p>
            <w:pPr>
              <w:jc w:val="right"/>
              <w:ind w:right="360"/>
              <w:spacing w:after="0"/>
              <w:rPr>
                <w:sz w:val="20"/>
                <w:szCs w:val="20"/>
                <w:color w:val="auto"/>
              </w:rPr>
            </w:pPr>
            <w:r>
              <w:rPr>
                <w:rFonts w:ascii="Times New Roman" w:cs="Times New Roman" w:eastAsia="Times New Roman" w:hAnsi="Times New Roman"/>
                <w:sz w:val="15"/>
                <w:szCs w:val="15"/>
                <w:b w:val="1"/>
                <w:bCs w:val="1"/>
                <w:color w:val="231F20"/>
                <w:w w:val="96"/>
              </w:rPr>
              <w:t>Convertible Preferred St</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231F20"/>
            </w:tcBorders>
          </w:tcPr>
          <w:p>
            <w:pPr>
              <w:spacing w:after="0"/>
              <w:rPr>
                <w:sz w:val="16"/>
                <w:szCs w:val="16"/>
                <w:color w:val="auto"/>
              </w:rPr>
            </w:pPr>
          </w:p>
        </w:tc>
        <w:tc>
          <w:tcPr>
            <w:tcW w:w="300" w:type="dxa"/>
            <w:vAlign w:val="bottom"/>
            <w:tcBorders>
              <w:bottom w:val="single" w:sz="8" w:color="231F20"/>
            </w:tcBorders>
            <w:gridSpan w:val="3"/>
          </w:tcPr>
          <w:p>
            <w:pPr>
              <w:jc w:val="right"/>
              <w:ind w:right="6"/>
              <w:spacing w:after="0"/>
              <w:rPr>
                <w:sz w:val="20"/>
                <w:szCs w:val="20"/>
                <w:color w:val="auto"/>
              </w:rPr>
            </w:pPr>
            <w:r>
              <w:rPr>
                <w:rFonts w:ascii="Times New Roman" w:cs="Times New Roman" w:eastAsia="Times New Roman" w:hAnsi="Times New Roman"/>
                <w:sz w:val="15"/>
                <w:szCs w:val="15"/>
                <w:b w:val="1"/>
                <w:bCs w:val="1"/>
                <w:color w:val="231F20"/>
                <w:w w:val="97"/>
              </w:rPr>
              <w:t>ock</w:t>
            </w:r>
          </w:p>
        </w:tc>
        <w:tc>
          <w:tcPr>
            <w:tcW w:w="660" w:type="dxa"/>
            <w:vAlign w:val="bottom"/>
            <w:tcBorders>
              <w:bottom w:val="single" w:sz="8" w:color="231F20"/>
            </w:tcBorders>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Borders>
              <w:bottom w:val="single" w:sz="8" w:color="231F20"/>
            </w:tcBorders>
            <w:gridSpan w:val="7"/>
          </w:tcPr>
          <w:p>
            <w:pPr>
              <w:jc w:val="right"/>
              <w:ind w:right="225"/>
              <w:spacing w:after="0"/>
              <w:rPr>
                <w:sz w:val="20"/>
                <w:szCs w:val="20"/>
                <w:color w:val="auto"/>
              </w:rPr>
            </w:pPr>
            <w:r>
              <w:rPr>
                <w:rFonts w:ascii="Times New Roman" w:cs="Times New Roman" w:eastAsia="Times New Roman" w:hAnsi="Times New Roman"/>
                <w:sz w:val="15"/>
                <w:szCs w:val="15"/>
                <w:b w:val="1"/>
                <w:bCs w:val="1"/>
                <w:color w:val="231F20"/>
              </w:rPr>
              <w:t>Common Stock</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Accumula</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231F20"/>
                <w:w w:val="99"/>
              </w:rPr>
              <w:t>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231F20"/>
                <w:w w:val="99"/>
              </w:rPr>
              <w:t>Other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231F20"/>
                <w:w w:val="99"/>
              </w:rPr>
              <w:t>Total</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231F20"/>
              </w:rPr>
              <w:t>Comprehe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231F20"/>
                <w:w w:val="99"/>
              </w:rPr>
              <w:t>Stockhold</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231F20"/>
              </w:rPr>
              <w:t>Additional</w:t>
            </w:r>
          </w:p>
        </w:tc>
        <w:tc>
          <w:tcPr>
            <w:tcW w:w="6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231F20"/>
                <w:w w:val="98"/>
              </w:rPr>
              <w:t>nsive</w:t>
            </w: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5"/>
                <w:szCs w:val="15"/>
                <w:b w:val="1"/>
                <w:bCs w:val="1"/>
                <w:color w:val="231F20"/>
                <w:w w:val="98"/>
              </w:rPr>
              <w:t>Accumula</w:t>
            </w:r>
          </w:p>
        </w:tc>
        <w:tc>
          <w:tcPr>
            <w:tcW w:w="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231F20"/>
                <w:w w:val="99"/>
              </w:rPr>
              <w:t>ers’</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231F20"/>
              </w:rPr>
              <w:t>Paid-in</w:t>
            </w:r>
          </w:p>
        </w:tc>
        <w:tc>
          <w:tcPr>
            <w:tcW w:w="60" w:type="dxa"/>
            <w:vAlign w:val="bottom"/>
          </w:tcPr>
          <w:p>
            <w:pPr>
              <w:spacing w:after="0"/>
              <w:rPr>
                <w:sz w:val="14"/>
                <w:szCs w:val="14"/>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231F20"/>
              </w:rPr>
              <w:t>(Loss)</w:t>
            </w:r>
          </w:p>
        </w:tc>
        <w:tc>
          <w:tcPr>
            <w:tcW w:w="10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231F20"/>
                <w:w w:val="99"/>
              </w:rPr>
              <w:t>ted</w:t>
            </w:r>
          </w:p>
        </w:tc>
        <w:tc>
          <w:tcPr>
            <w:tcW w:w="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231F20"/>
              </w:rPr>
              <w:t>Equity</w:t>
            </w:r>
          </w:p>
        </w:tc>
        <w:tc>
          <w:tcPr>
            <w:tcW w:w="0" w:type="dxa"/>
            <w:vAlign w:val="bottom"/>
          </w:tcPr>
          <w:p>
            <w:pPr>
              <w:spacing w:after="0"/>
              <w:rPr>
                <w:sz w:val="1"/>
                <w:szCs w:val="1"/>
                <w:color w:val="auto"/>
              </w:rPr>
            </w:pPr>
          </w:p>
        </w:tc>
      </w:tr>
      <w:tr>
        <w:trPr>
          <w:trHeight w:val="190"/>
        </w:trPr>
        <w:tc>
          <w:tcPr>
            <w:tcW w:w="37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Balance as of January 1, 2024</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231F20"/>
                <w:w w:val="98"/>
              </w:rPr>
              <w:t>Amount</w:t>
            </w: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231F20"/>
                <w:w w:val="98"/>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60" w:type="dxa"/>
            <w:vAlign w:val="bottom"/>
          </w:tcPr>
          <w:p>
            <w:pPr>
              <w:spacing w:after="0"/>
              <w:rPr>
                <w:sz w:val="16"/>
                <w:szCs w:val="16"/>
                <w:color w:val="auto"/>
              </w:rPr>
            </w:pPr>
          </w:p>
        </w:tc>
        <w:tc>
          <w:tcPr>
            <w:tcW w:w="8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100" w:type="dxa"/>
            <w:vAlign w:val="bottom"/>
          </w:tcPr>
          <w:p>
            <w:pPr>
              <w:spacing w:after="0"/>
              <w:rPr>
                <w:sz w:val="16"/>
                <w:szCs w:val="16"/>
                <w:color w:val="auto"/>
              </w:rPr>
            </w:pPr>
          </w:p>
        </w:tc>
        <w:tc>
          <w:tcPr>
            <w:tcW w:w="84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231F20"/>
                <w:w w:val="98"/>
              </w:rPr>
              <w:t>Deficit</w:t>
            </w:r>
          </w:p>
        </w:tc>
        <w:tc>
          <w:tcPr>
            <w:tcW w:w="6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231F20"/>
                <w:w w:val="99"/>
              </w:rPr>
              <w:t>(Deficit)</w:t>
            </w:r>
          </w:p>
        </w:tc>
        <w:tc>
          <w:tcPr>
            <w:tcW w:w="0" w:type="dxa"/>
            <w:vAlign w:val="bottom"/>
          </w:tcPr>
          <w:p>
            <w:pPr>
              <w:spacing w:after="0"/>
              <w:rPr>
                <w:sz w:val="1"/>
                <w:szCs w:val="1"/>
                <w:color w:val="auto"/>
              </w:rPr>
            </w:pPr>
          </w:p>
        </w:tc>
      </w:tr>
      <w:tr>
        <w:trPr>
          <w:trHeight w:val="180"/>
        </w:trPr>
        <w:tc>
          <w:tcPr>
            <w:tcW w:w="3700" w:type="dxa"/>
            <w:vAlign w:val="bottom"/>
            <w:gridSpan w:val="4"/>
            <w:vMerge w:val="continue"/>
          </w:tcPr>
          <w:p>
            <w:pPr>
              <w:jc w:val="right"/>
              <w:ind w:right="200"/>
              <w:spacing w:after="0" w:line="149" w:lineRule="exact"/>
              <w:rPr>
                <w:sz w:val="20"/>
                <w:szCs w:val="20"/>
                <w:color w:val="auto"/>
              </w:rPr>
            </w:pPr>
            <w:r>
              <w:rPr>
                <w:rFonts w:ascii="Times New Roman" w:cs="Times New Roman" w:eastAsia="Times New Roman" w:hAnsi="Times New Roman"/>
                <w:sz w:val="17"/>
                <w:szCs w:val="17"/>
                <w:color w:val="231F20"/>
              </w:rPr>
              <w:t>................................</w:t>
            </w:r>
          </w:p>
        </w:tc>
        <w:tc>
          <w:tcPr>
            <w:tcW w:w="6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w w:val="99"/>
              </w:rPr>
              <w:t>3,647,675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80,627</w:t>
            </w:r>
          </w:p>
        </w:tc>
        <w:tc>
          <w:tcPr>
            <w:tcW w:w="320" w:type="dxa"/>
            <w:vAlign w:val="bottom"/>
          </w:tcPr>
          <w:p>
            <w:pPr>
              <w:spacing w:after="0"/>
              <w:rPr>
                <w:sz w:val="15"/>
                <w:szCs w:val="15"/>
                <w:color w:val="auto"/>
              </w:rPr>
            </w:pPr>
          </w:p>
        </w:tc>
        <w:tc>
          <w:tcPr>
            <w:tcW w:w="7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1,407,753</w:t>
            </w:r>
          </w:p>
        </w:tc>
        <w:tc>
          <w:tcPr>
            <w:tcW w:w="20" w:type="dxa"/>
            <w:vAlign w:val="bottom"/>
            <w:tcBorders>
              <w:top w:val="single" w:sz="8" w:color="231F20"/>
            </w:tcBorders>
          </w:tcPr>
          <w:p>
            <w:pPr>
              <w:spacing w:after="0"/>
              <w:rPr>
                <w:sz w:val="15"/>
                <w:szCs w:val="15"/>
                <w:color w:val="auto"/>
              </w:rPr>
            </w:pPr>
          </w:p>
        </w:tc>
        <w:tc>
          <w:tcPr>
            <w:tcW w:w="20" w:type="dxa"/>
            <w:vAlign w:val="bottom"/>
            <w:tcBorders>
              <w:top w:val="single" w:sz="8" w:color="231F20"/>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5"/>
                <w:szCs w:val="15"/>
                <w:color w:val="231F20"/>
                <w:w w:val="79"/>
              </w:rPr>
              <w:t>$</w:t>
            </w:r>
          </w:p>
        </w:tc>
        <w:tc>
          <w:tcPr>
            <w:tcW w:w="6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5,979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(90,604)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(84,636)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Conversion of Convertible Preferred Stock into</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231F20"/>
              </w:rPr>
              <w:t>(3,647,67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00" w:type="dxa"/>
            <w:vAlign w:val="bottom"/>
            <w:gridSpan w:val="4"/>
          </w:tcPr>
          <w:p>
            <w:pPr>
              <w:jc w:val="right"/>
              <w:ind w:right="200"/>
              <w:spacing w:after="0" w:line="173" w:lineRule="exact"/>
              <w:rPr>
                <w:sz w:val="20"/>
                <w:szCs w:val="20"/>
                <w:color w:val="auto"/>
              </w:rPr>
            </w:pPr>
            <w:r>
              <w:rPr>
                <w:rFonts w:ascii="Times New Roman" w:cs="Times New Roman" w:eastAsia="Times New Roman" w:hAnsi="Times New Roman"/>
                <w:sz w:val="14"/>
                <w:szCs w:val="14"/>
                <w:color w:val="231F20"/>
              </w:rPr>
              <w:t>common stock in connection with the Merger</w:t>
            </w:r>
            <w:r>
              <w:rPr>
                <w:rFonts w:ascii="Times New Roman" w:cs="Times New Roman" w:eastAsia="Times New Roman" w:hAnsi="Times New Roman"/>
                <w:sz w:val="19"/>
                <w:szCs w:val="19"/>
                <w:color w:val="231F20"/>
              </w:rPr>
              <w:t>.............</w:t>
            </w:r>
          </w:p>
        </w:tc>
        <w:tc>
          <w:tcPr>
            <w:tcW w:w="86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231F20"/>
              </w:rPr>
              <w:t>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231F20"/>
              </w:rPr>
              <w:t>(80,627)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3,647,675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80,627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80,627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00" w:type="dxa"/>
            <w:vAlign w:val="bottom"/>
            <w:gridSpan w:val="4"/>
          </w:tcPr>
          <w:p>
            <w:pPr>
              <w:jc w:val="right"/>
              <w:ind w:right="200"/>
              <w:spacing w:after="0" w:line="217" w:lineRule="exact"/>
              <w:rPr>
                <w:sz w:val="20"/>
                <w:szCs w:val="20"/>
                <w:color w:val="auto"/>
              </w:rPr>
            </w:pPr>
            <w:r>
              <w:rPr>
                <w:rFonts w:ascii="Times New Roman" w:cs="Times New Roman" w:eastAsia="Times New Roman" w:hAnsi="Times New Roman"/>
                <w:sz w:val="15"/>
                <w:szCs w:val="15"/>
                <w:color w:val="231F20"/>
                <w:w w:val="99"/>
              </w:rPr>
              <w:t>Issuance of common stock upon exercise of stock options</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388,727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Issuance of common stock upon vesting of restricted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00" w:type="dxa"/>
            <w:vAlign w:val="bottom"/>
            <w:gridSpan w:val="4"/>
          </w:tcPr>
          <w:p>
            <w:pPr>
              <w:jc w:val="right"/>
              <w:ind w:right="200"/>
              <w:spacing w:after="0" w:line="204" w:lineRule="exact"/>
              <w:rPr>
                <w:sz w:val="20"/>
                <w:szCs w:val="20"/>
                <w:color w:val="auto"/>
              </w:rPr>
            </w:pPr>
            <w:r>
              <w:rPr>
                <w:rFonts w:ascii="Times New Roman" w:cs="Times New Roman" w:eastAsia="Times New Roman" w:hAnsi="Times New Roman"/>
                <w:sz w:val="15"/>
                <w:szCs w:val="15"/>
                <w:color w:val="231F20"/>
              </w:rPr>
              <w:t>common stock</w:t>
            </w: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Issuance of common stock to related party</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00" w:type="dxa"/>
            <w:vAlign w:val="bottom"/>
            <w:gridSpan w:val="4"/>
          </w:tcPr>
          <w:p>
            <w:pPr>
              <w:jc w:val="right"/>
              <w:ind w:right="200"/>
              <w:spacing w:after="0" w:line="204" w:lineRule="exact"/>
              <w:rPr>
                <w:sz w:val="20"/>
                <w:szCs w:val="20"/>
                <w:color w:val="auto"/>
              </w:rPr>
            </w:pPr>
            <w:r>
              <w:rPr>
                <w:rFonts w:ascii="Times New Roman" w:cs="Times New Roman" w:eastAsia="Times New Roman" w:hAnsi="Times New Roman"/>
                <w:sz w:val="15"/>
                <w:szCs w:val="15"/>
                <w:color w:val="231F20"/>
              </w:rPr>
              <w:t>investors upon redemption of the SAFEs</w:t>
            </w: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1,470,839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34,125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Issuance of common stock under the Subscription</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00" w:type="dxa"/>
            <w:vAlign w:val="bottom"/>
            <w:gridSpan w:val="4"/>
          </w:tcPr>
          <w:p>
            <w:pPr>
              <w:jc w:val="right"/>
              <w:ind w:right="200"/>
              <w:spacing w:after="0" w:line="204" w:lineRule="exact"/>
              <w:rPr>
                <w:sz w:val="20"/>
                <w:szCs w:val="20"/>
                <w:color w:val="auto"/>
              </w:rPr>
            </w:pPr>
            <w:r>
              <w:rPr>
                <w:rFonts w:ascii="Times New Roman" w:cs="Times New Roman" w:eastAsia="Times New Roman" w:hAnsi="Times New Roman"/>
                <w:sz w:val="15"/>
                <w:szCs w:val="15"/>
                <w:color w:val="231F20"/>
              </w:rPr>
              <w:t xml:space="preserve">Agreement, net of offering costs of $2,000 </w:t>
            </w: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4,163,606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94,600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94,601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Issuance of common stock upon the Merger, net of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00" w:type="dxa"/>
            <w:vAlign w:val="bottom"/>
            <w:gridSpan w:val="4"/>
          </w:tcPr>
          <w:p>
            <w:pPr>
              <w:jc w:val="right"/>
              <w:ind w:right="200"/>
              <w:spacing w:after="0" w:line="173" w:lineRule="exact"/>
              <w:rPr>
                <w:sz w:val="20"/>
                <w:szCs w:val="20"/>
                <w:color w:val="auto"/>
              </w:rPr>
            </w:pPr>
            <w:r>
              <w:rPr>
                <w:rFonts w:ascii="Times New Roman" w:cs="Times New Roman" w:eastAsia="Times New Roman" w:hAnsi="Times New Roman"/>
                <w:sz w:val="14"/>
                <w:szCs w:val="14"/>
                <w:color w:val="231F20"/>
              </w:rPr>
              <w:t xml:space="preserve">transaction costs of $9,300 </w:t>
            </w:r>
            <w:r>
              <w:rPr>
                <w:rFonts w:ascii="Times New Roman" w:cs="Times New Roman" w:eastAsia="Times New Roman" w:hAnsi="Times New Roman"/>
                <w:sz w:val="19"/>
                <w:szCs w:val="19"/>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3,777,709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68,890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68,891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00" w:type="dxa"/>
            <w:vAlign w:val="bottom"/>
            <w:gridSpan w:val="4"/>
          </w:tcPr>
          <w:p>
            <w:pPr>
              <w:jc w:val="right"/>
              <w:ind w:right="200"/>
              <w:spacing w:after="0" w:line="186" w:lineRule="exact"/>
              <w:rPr>
                <w:sz w:val="20"/>
                <w:szCs w:val="20"/>
                <w:color w:val="auto"/>
              </w:rPr>
            </w:pPr>
            <w:r>
              <w:rPr>
                <w:rFonts w:ascii="Times New Roman" w:cs="Times New Roman" w:eastAsia="Times New Roman" w:hAnsi="Times New Roman"/>
                <w:sz w:val="15"/>
                <w:szCs w:val="15"/>
                <w:color w:val="231F20"/>
                <w:w w:val="99"/>
              </w:rPr>
              <w:t xml:space="preserve">Stock-based compensation expense </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gridSpan w:val="4"/>
          </w:tcPr>
          <w:p>
            <w:pPr>
              <w:jc w:val="right"/>
              <w:ind w:right="200"/>
              <w:spacing w:after="0" w:line="186" w:lineRule="exact"/>
              <w:rPr>
                <w:sz w:val="20"/>
                <w:szCs w:val="20"/>
                <w:color w:val="auto"/>
              </w:rPr>
            </w:pPr>
            <w:r>
              <w:rPr>
                <w:rFonts w:ascii="Times New Roman" w:cs="Times New Roman" w:eastAsia="Times New Roman" w:hAnsi="Times New Roman"/>
                <w:sz w:val="15"/>
                <w:szCs w:val="15"/>
                <w:color w:val="231F20"/>
                <w:w w:val="99"/>
              </w:rPr>
              <w:t>Foreign currency translation adjustment</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00" w:type="dxa"/>
            <w:vAlign w:val="bottom"/>
            <w:gridSpan w:val="4"/>
          </w:tcPr>
          <w:p>
            <w:pPr>
              <w:jc w:val="right"/>
              <w:ind w:right="200"/>
              <w:spacing w:after="0" w:line="219" w:lineRule="exact"/>
              <w:rPr>
                <w:sz w:val="20"/>
                <w:szCs w:val="20"/>
                <w:color w:val="auto"/>
              </w:rPr>
            </w:pPr>
            <w:r>
              <w:rPr>
                <w:rFonts w:ascii="Times New Roman" w:cs="Times New Roman" w:eastAsia="Times New Roman" w:hAnsi="Times New Roman"/>
                <w:sz w:val="15"/>
                <w:szCs w:val="15"/>
                <w:color w:val="231F20"/>
                <w:w w:val="99"/>
              </w:rPr>
              <w:t>Net loss</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231F20"/>
              </w:rPr>
              <w:t>(57,982)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(57,982)</w:t>
            </w:r>
          </w:p>
        </w:tc>
        <w:tc>
          <w:tcPr>
            <w:tcW w:w="0" w:type="dxa"/>
            <w:vAlign w:val="bottom"/>
          </w:tcPr>
          <w:p>
            <w:pPr>
              <w:spacing w:after="0"/>
              <w:rPr>
                <w:sz w:val="1"/>
                <w:szCs w:val="1"/>
                <w:color w:val="auto"/>
              </w:rPr>
            </w:pPr>
          </w:p>
        </w:tc>
      </w:tr>
      <w:tr>
        <w:trPr>
          <w:trHeight w:val="166"/>
        </w:trPr>
        <w:tc>
          <w:tcPr>
            <w:tcW w:w="3680" w:type="dxa"/>
            <w:vAlign w:val="bottom"/>
            <w:gridSpan w:val="3"/>
          </w:tcPr>
          <w:p>
            <w:pPr>
              <w:jc w:val="right"/>
              <w:ind w:right="180"/>
              <w:spacing w:after="0" w:line="166" w:lineRule="exact"/>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4"/>
                <w:szCs w:val="14"/>
                <w:b w:val="1"/>
                <w:bCs w:val="1"/>
                <w:color w:val="231F20"/>
              </w:rPr>
              <w:t>BalanceasofDecember31,2024</w:t>
            </w:r>
          </w:p>
        </w:tc>
        <w:tc>
          <w:tcPr>
            <w:tcW w:w="20" w:type="dxa"/>
            <w:vAlign w:val="bottom"/>
            <w:tcBorders>
              <w:top w:val="single" w:sz="8" w:color="231F20"/>
            </w:tcBorders>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60" w:type="dxa"/>
            <w:vAlign w:val="bottom"/>
            <w:tcBorders>
              <w:top w:val="single" w:sz="8" w:color="231F20"/>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top w:val="single" w:sz="8" w:color="231F20"/>
            </w:tcBorders>
          </w:tcPr>
          <w:p>
            <w:pPr>
              <w:jc w:val="right"/>
              <w:spacing w:after="0" w:line="166" w:lineRule="exact"/>
              <w:rPr>
                <w:sz w:val="20"/>
                <w:szCs w:val="20"/>
                <w:color w:val="auto"/>
              </w:rPr>
            </w:pPr>
            <w:r>
              <w:rPr>
                <w:rFonts w:ascii="Times New Roman" w:cs="Times New Roman" w:eastAsia="Times New Roman" w:hAnsi="Times New Roman"/>
                <w:sz w:val="15"/>
                <w:szCs w:val="15"/>
                <w:color w:val="231F20"/>
              </w:rPr>
              <w:t>14,856,30</w:t>
            </w:r>
          </w:p>
        </w:tc>
        <w:tc>
          <w:tcPr>
            <w:tcW w:w="20" w:type="dxa"/>
            <w:vAlign w:val="bottom"/>
            <w:tcBorders>
              <w:top w:val="single" w:sz="8" w:color="231F20"/>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80" w:type="dxa"/>
            <w:vAlign w:val="bottom"/>
            <w:tcBorders>
              <w:top w:val="single" w:sz="8" w:color="231F20"/>
            </w:tcBorders>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2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60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20" w:type="dxa"/>
            <w:vAlign w:val="bottom"/>
            <w:tcBorders>
              <w:top w:val="single" w:sz="8" w:color="231F20"/>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5"/>
                <w:szCs w:val="15"/>
                <w:color w:val="231F20"/>
                <w:w w:val="99"/>
              </w:rPr>
              <w:t>Issuance of common stock upon exercise of stock options</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289,351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231F20"/>
              </w:rPr>
              <w:t>(148,586)</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140,776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gridSpan w:val="4"/>
            <w:vMerge w:val="continue"/>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185,773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Issuance of common stock in connection with the private</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00" w:type="dxa"/>
            <w:vAlign w:val="bottom"/>
            <w:gridSpan w:val="4"/>
          </w:tcPr>
          <w:p>
            <w:pPr>
              <w:jc w:val="right"/>
              <w:ind w:right="200"/>
              <w:spacing w:after="0" w:line="204" w:lineRule="exact"/>
              <w:rPr>
                <w:sz w:val="20"/>
                <w:szCs w:val="20"/>
                <w:color w:val="auto"/>
              </w:rPr>
            </w:pPr>
            <w:r>
              <w:rPr>
                <w:rFonts w:ascii="Times New Roman" w:cs="Times New Roman" w:eastAsia="Times New Roman" w:hAnsi="Times New Roman"/>
                <w:sz w:val="15"/>
                <w:szCs w:val="15"/>
                <w:color w:val="231F20"/>
              </w:rPr>
              <w:t>placement, net of offering costs of $11,928</w:t>
            </w: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3,689,465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173,098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7"/>
                <w:szCs w:val="17"/>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173,098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231F20"/>
              </w:rPr>
              <w:t>Issuance of common stock upon vesting of restricted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00" w:type="dxa"/>
            <w:vAlign w:val="bottom"/>
            <w:gridSpan w:val="4"/>
          </w:tcPr>
          <w:p>
            <w:pPr>
              <w:jc w:val="right"/>
              <w:ind w:right="200"/>
              <w:spacing w:after="0" w:line="173" w:lineRule="exact"/>
              <w:rPr>
                <w:sz w:val="20"/>
                <w:szCs w:val="20"/>
                <w:color w:val="auto"/>
              </w:rPr>
            </w:pPr>
            <w:r>
              <w:rPr>
                <w:rFonts w:ascii="Times New Roman" w:cs="Times New Roman" w:eastAsia="Times New Roman" w:hAnsi="Times New Roman"/>
                <w:sz w:val="14"/>
                <w:szCs w:val="14"/>
                <w:color w:val="231F20"/>
              </w:rPr>
              <w:t xml:space="preserve">stock units, net </w:t>
            </w:r>
            <w:r>
              <w:rPr>
                <w:rFonts w:ascii="Times New Roman" w:cs="Times New Roman" w:eastAsia="Times New Roman" w:hAnsi="Times New Roman"/>
                <w:sz w:val="19"/>
                <w:szCs w:val="19"/>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6,702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231F20"/>
              </w:rPr>
              <w:t>(17)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186"/>
        </w:trPr>
        <w:tc>
          <w:tcPr>
            <w:tcW w:w="3700" w:type="dxa"/>
            <w:vAlign w:val="bottom"/>
            <w:gridSpan w:val="4"/>
          </w:tcPr>
          <w:p>
            <w:pPr>
              <w:jc w:val="right"/>
              <w:ind w:right="200"/>
              <w:spacing w:after="0" w:line="186" w:lineRule="exact"/>
              <w:rPr>
                <w:sz w:val="20"/>
                <w:szCs w:val="20"/>
                <w:color w:val="auto"/>
              </w:rPr>
            </w:pPr>
            <w:r>
              <w:rPr>
                <w:rFonts w:ascii="Times New Roman" w:cs="Times New Roman" w:eastAsia="Times New Roman" w:hAnsi="Times New Roman"/>
                <w:sz w:val="15"/>
                <w:szCs w:val="15"/>
                <w:color w:val="231F20"/>
                <w:w w:val="99"/>
              </w:rPr>
              <w:t xml:space="preserve">Stock-based compensation expense </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10,497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10,497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gridSpan w:val="4"/>
          </w:tcPr>
          <w:p>
            <w:pPr>
              <w:jc w:val="right"/>
              <w:ind w:right="200"/>
              <w:spacing w:after="0" w:line="186" w:lineRule="exact"/>
              <w:rPr>
                <w:sz w:val="20"/>
                <w:szCs w:val="20"/>
                <w:color w:val="auto"/>
              </w:rPr>
            </w:pPr>
            <w:r>
              <w:rPr>
                <w:rFonts w:ascii="Times New Roman" w:cs="Times New Roman" w:eastAsia="Times New Roman" w:hAnsi="Times New Roman"/>
                <w:sz w:val="15"/>
                <w:szCs w:val="15"/>
                <w:color w:val="231F20"/>
                <w:w w:val="99"/>
              </w:rPr>
              <w:t>Foreign currency translation adjustment</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(105)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(105)</w:t>
            </w:r>
          </w:p>
        </w:tc>
        <w:tc>
          <w:tcPr>
            <w:tcW w:w="0" w:type="dxa"/>
            <w:vAlign w:val="bottom"/>
          </w:tcPr>
          <w:p>
            <w:pPr>
              <w:spacing w:after="0"/>
              <w:rPr>
                <w:sz w:val="1"/>
                <w:szCs w:val="1"/>
                <w:color w:val="auto"/>
              </w:rPr>
            </w:pPr>
          </w:p>
        </w:tc>
      </w:tr>
      <w:tr>
        <w:trPr>
          <w:trHeight w:val="219"/>
        </w:trPr>
        <w:tc>
          <w:tcPr>
            <w:tcW w:w="3700" w:type="dxa"/>
            <w:vAlign w:val="bottom"/>
            <w:gridSpan w:val="4"/>
          </w:tcPr>
          <w:p>
            <w:pPr>
              <w:jc w:val="right"/>
              <w:ind w:right="200"/>
              <w:spacing w:after="0" w:line="219" w:lineRule="exact"/>
              <w:rPr>
                <w:sz w:val="20"/>
                <w:szCs w:val="20"/>
                <w:color w:val="auto"/>
              </w:rPr>
            </w:pPr>
            <w:r>
              <w:rPr>
                <w:rFonts w:ascii="Times New Roman" w:cs="Times New Roman" w:eastAsia="Times New Roman" w:hAnsi="Times New Roman"/>
                <w:sz w:val="15"/>
                <w:szCs w:val="15"/>
                <w:color w:val="231F20"/>
                <w:w w:val="99"/>
              </w:rPr>
              <w:t>Net loss</w:t>
            </w:r>
            <w:r>
              <w:rPr>
                <w:rFonts w:ascii="Times New Roman" w:cs="Times New Roman" w:eastAsia="Times New Roman" w:hAnsi="Times New Roman"/>
                <w:sz w:val="20"/>
                <w:szCs w:val="20"/>
                <w:color w:val="231F20"/>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231F20"/>
              </w:rPr>
              <w:t>—</w:t>
            </w:r>
          </w:p>
        </w:tc>
        <w:tc>
          <w:tcPr>
            <w:tcW w:w="6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231F20"/>
              </w:rPr>
              <w:t>(74,151)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(74,151)</w:t>
            </w:r>
          </w:p>
        </w:tc>
        <w:tc>
          <w:tcPr>
            <w:tcW w:w="0" w:type="dxa"/>
            <w:vAlign w:val="bottom"/>
          </w:tcPr>
          <w:p>
            <w:pPr>
              <w:spacing w:after="0"/>
              <w:rPr>
                <w:sz w:val="1"/>
                <w:szCs w:val="1"/>
                <w:color w:val="auto"/>
              </w:rPr>
            </w:pPr>
          </w:p>
        </w:tc>
      </w:tr>
      <w:tr>
        <w:trPr>
          <w:trHeight w:val="166"/>
        </w:trPr>
        <w:tc>
          <w:tcPr>
            <w:tcW w:w="366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4"/>
                <w:szCs w:val="14"/>
                <w:b w:val="1"/>
                <w:bCs w:val="1"/>
                <w:color w:val="231F20"/>
              </w:rPr>
              <w:t>BalanceasofDecember31,2025</w:t>
            </w:r>
          </w:p>
        </w:tc>
        <w:tc>
          <w:tcPr>
            <w:tcW w:w="40" w:type="dxa"/>
            <w:vAlign w:val="bottom"/>
            <w:tcBorders>
              <w:top w:val="single" w:sz="8" w:color="231F20"/>
            </w:tcBorders>
            <w:gridSpan w:val="2"/>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60" w:type="dxa"/>
            <w:vAlign w:val="bottom"/>
            <w:tcBorders>
              <w:top w:val="single" w:sz="8" w:color="231F20"/>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top w:val="single" w:sz="8" w:color="231F20"/>
            </w:tcBorders>
          </w:tcPr>
          <w:p>
            <w:pPr>
              <w:jc w:val="right"/>
              <w:spacing w:after="0" w:line="166" w:lineRule="exact"/>
              <w:rPr>
                <w:sz w:val="20"/>
                <w:szCs w:val="20"/>
                <w:color w:val="auto"/>
              </w:rPr>
            </w:pPr>
            <w:r>
              <w:rPr>
                <w:rFonts w:ascii="Times New Roman" w:cs="Times New Roman" w:eastAsia="Times New Roman" w:hAnsi="Times New Roman"/>
                <w:sz w:val="15"/>
                <w:szCs w:val="15"/>
                <w:color w:val="231F20"/>
              </w:rPr>
              <w:t>18,738,24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80" w:type="dxa"/>
            <w:vAlign w:val="bottom"/>
            <w:tcBorders>
              <w:top w:val="single" w:sz="8" w:color="231F20"/>
            </w:tcBorders>
          </w:tcPr>
          <w:p>
            <w:pPr>
              <w:spacing w:after="0"/>
              <w:rPr>
                <w:sz w:val="14"/>
                <w:szCs w:val="14"/>
                <w:color w:val="auto"/>
              </w:rPr>
            </w:pPr>
          </w:p>
        </w:tc>
        <w:tc>
          <w:tcPr>
            <w:tcW w:w="64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2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100" w:type="dxa"/>
            <w:vAlign w:val="bottom"/>
            <w:tcBorders>
              <w:top w:val="single" w:sz="8" w:color="231F20"/>
            </w:tcBorders>
          </w:tcPr>
          <w:p>
            <w:pPr>
              <w:spacing w:after="0"/>
              <w:rPr>
                <w:sz w:val="14"/>
                <w:szCs w:val="14"/>
                <w:color w:val="auto"/>
              </w:rPr>
            </w:pPr>
          </w:p>
        </w:tc>
        <w:tc>
          <w:tcPr>
            <w:tcW w:w="600" w:type="dxa"/>
            <w:vAlign w:val="bottom"/>
            <w:tcBorders>
              <w:top w:val="single" w:sz="8" w:color="231F20"/>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60" w:type="dxa"/>
            <w:vAlign w:val="bottom"/>
            <w:tcBorders>
              <w:top w:val="single" w:sz="8" w:color="231F20"/>
            </w:tcBorders>
          </w:tcPr>
          <w:p>
            <w:pPr>
              <w:spacing w:after="0"/>
              <w:rPr>
                <w:sz w:val="14"/>
                <w:szCs w:val="14"/>
                <w:color w:val="auto"/>
              </w:rPr>
            </w:pPr>
          </w:p>
        </w:tc>
        <w:tc>
          <w:tcPr>
            <w:tcW w:w="620" w:type="dxa"/>
            <w:vAlign w:val="bottom"/>
            <w:tcBorders>
              <w:top w:val="single" w:sz="8" w:color="231F20"/>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474,160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231F20"/>
                <w:w w:val="71"/>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(96)</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231F20"/>
              </w:rPr>
              <w:t>(222,737)</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251,329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3482340</wp:posOffset>
            </wp:positionH>
            <wp:positionV relativeFrom="paragraph">
              <wp:posOffset>-3976370</wp:posOffset>
            </wp:positionV>
            <wp:extent cx="38100" cy="3967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38100" cy="396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960"/>
          </w:cols>
          <w:pgMar w:left="400" w:top="1206"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F-6</w:t>
      </w:r>
    </w:p>
    <w:p>
      <w:pPr>
        <w:sectPr>
          <w:pgSz w:w="11880" w:h="15480" w:orient="portrait"/>
          <w:cols w:equalWidth="0" w:num="1">
            <w:col w:w="10960"/>
          </w:cols>
          <w:pgMar w:left="400" w:top="1206" w:right="52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231F20"/>
        </w:rPr>
        <w:t>TECTONIC THERAPEUTIC,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3160" w:type="dxa"/>
            <w:vAlign w:val="bottom"/>
            <w:tcBorders>
              <w:bottom w:val="single" w:sz="8" w:color="231F20"/>
            </w:tcBorders>
            <w:gridSpan w:val="4"/>
          </w:tcPr>
          <w:p>
            <w:pPr>
              <w:jc w:val="right"/>
              <w:ind w:right="821"/>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193"/>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Cash flows from operating activities:</w:t>
            </w:r>
          </w:p>
        </w:tc>
        <w:tc>
          <w:tcPr>
            <w:tcW w:w="36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6"/>
                <w:szCs w:val="16"/>
                <w:color w:val="auto"/>
              </w:rPr>
            </w:pPr>
          </w:p>
        </w:tc>
        <w:tc>
          <w:tcPr>
            <w:tcW w:w="36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75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 loss..................................................................................................................................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(74,151)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(57,982)</w:t>
            </w:r>
          </w:p>
        </w:tc>
        <w:tc>
          <w:tcPr>
            <w:tcW w:w="0" w:type="dxa"/>
            <w:vAlign w:val="bottom"/>
          </w:tcPr>
          <w:p>
            <w:pPr>
              <w:spacing w:after="0"/>
              <w:rPr>
                <w:sz w:val="1"/>
                <w:szCs w:val="1"/>
                <w:color w:val="auto"/>
              </w:rPr>
            </w:pPr>
          </w:p>
        </w:tc>
      </w:tr>
      <w:tr>
        <w:trPr>
          <w:trHeight w:val="244"/>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Adjustments to reconcile net loss to net cash used in operating activities:</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Depreciation and amortization expense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1,375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1,645</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10,497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3,491</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Loss on sale of property and equipment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153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Reduction in the carrying amount of the operating right-of-use assets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2,118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434</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Change in fair value of SAFE liabilities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3,610</w:t>
            </w:r>
          </w:p>
        </w:tc>
        <w:tc>
          <w:tcPr>
            <w:tcW w:w="0" w:type="dxa"/>
            <w:vAlign w:val="bottom"/>
          </w:tcPr>
          <w:p>
            <w:pPr>
              <w:spacing w:after="0"/>
              <w:rPr>
                <w:sz w:val="1"/>
                <w:szCs w:val="1"/>
                <w:color w:val="auto"/>
              </w:rPr>
            </w:pPr>
          </w:p>
        </w:tc>
      </w:tr>
      <w:tr>
        <w:trPr>
          <w:trHeight w:val="244"/>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operating assets and liabilities:</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Prepaid expenses and other current assets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2,644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(3,194)</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Other non-current assets....................................................................................................</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544</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Accounts payable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116</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(1,421)</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(552)</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(5,642)</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(2,295)</w:t>
            </w:r>
          </w:p>
        </w:tc>
        <w:tc>
          <w:tcPr>
            <w:tcW w:w="1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(565)</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.............................................................................Netcashusedinoperatingactivities</w:t>
            </w:r>
          </w:p>
        </w:tc>
        <w:tc>
          <w:tcPr>
            <w:tcW w:w="3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(60,078)</w:t>
            </w:r>
          </w:p>
        </w:tc>
        <w:tc>
          <w:tcPr>
            <w:tcW w:w="1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(59,080)</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Cash flows from investing activities: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Purchase of property and equipment.....................................................................................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Proceeds from the sale of property and equipment...............................................................</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70</w:t>
            </w:r>
          </w:p>
        </w:tc>
        <w:tc>
          <w:tcPr>
            <w:tcW w:w="1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.............................................................................Netcashusedininvestingactivities</w:t>
            </w:r>
          </w:p>
        </w:tc>
        <w:tc>
          <w:tcPr>
            <w:tcW w:w="3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(138)</w:t>
            </w:r>
          </w:p>
        </w:tc>
        <w:tc>
          <w:tcPr>
            <w:tcW w:w="1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w:t>
            </w:r>
          </w:p>
        </w:tc>
        <w:tc>
          <w:tcPr>
            <w:tcW w:w="0" w:type="dxa"/>
            <w:vAlign w:val="bottom"/>
          </w:tcPr>
          <w:p>
            <w:pPr>
              <w:spacing w:after="0"/>
              <w:rPr>
                <w:sz w:val="1"/>
                <w:szCs w:val="1"/>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Cash flows from financing activities: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Proceeds from the Private Placement, net of offering costs of $11,928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173,098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Proceeds from the Subscription Agreement, net of offering costs of $2,000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94,600</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Cash acquired in connection with the Merger, net of transaction costs of $9,300 ...............</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75,965</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Proceeds from exercise of stock options...............................................................................</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1,231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1,624</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Payments for employee taxes related to net share settlement of equity awards ...................</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Payment of deferred offering costs .......................................................................................</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Repayment of finance lease obligations................................................................................</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(489)</w:t>
            </w:r>
          </w:p>
        </w:tc>
        <w:tc>
          <w:tcPr>
            <w:tcW w:w="1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(475)</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.....................................................................Netcashprovidedbyfinancingactivities</w:t>
            </w:r>
          </w:p>
        </w:tc>
        <w:tc>
          <w:tcPr>
            <w:tcW w:w="36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173,355</w:t>
            </w:r>
          </w:p>
        </w:tc>
        <w:tc>
          <w:tcPr>
            <w:tcW w:w="1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171,714</w:t>
            </w:r>
          </w:p>
        </w:tc>
        <w:tc>
          <w:tcPr>
            <w:tcW w:w="0" w:type="dxa"/>
            <w:vAlign w:val="bottom"/>
          </w:tcPr>
          <w:p>
            <w:pPr>
              <w:spacing w:after="0"/>
              <w:rPr>
                <w:sz w:val="1"/>
                <w:szCs w:val="1"/>
                <w:color w:val="auto"/>
              </w:rPr>
            </w:pPr>
          </w:p>
        </w:tc>
      </w:tr>
      <w:tr>
        <w:trPr>
          <w:trHeight w:val="23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................................................Effectofexchangeratechangesoncashandcashequivalents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Net increase in cash and cash equivalents and restricted cash..................................................</w:t>
            </w:r>
          </w:p>
        </w:tc>
        <w:tc>
          <w:tcPr>
            <w:tcW w:w="3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113,044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112,470</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Cash and cash equivalents and restricted cash as of beginning of period.................................</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141,826</w:t>
            </w:r>
          </w:p>
        </w:tc>
        <w:tc>
          <w:tcPr>
            <w:tcW w:w="1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29,356</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...........................................Cashandcashequivalentsandrestrictedcashasofendofperiod</w:t>
            </w:r>
          </w:p>
        </w:tc>
        <w:tc>
          <w:tcPr>
            <w:tcW w:w="36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254,870</w:t>
            </w:r>
          </w:p>
        </w:tc>
        <w:tc>
          <w:tcPr>
            <w:tcW w:w="180" w:type="dxa"/>
            <w:vAlign w:val="bottom"/>
          </w:tcPr>
          <w:p>
            <w:pPr>
              <w:spacing w:after="0"/>
              <w:rPr>
                <w:sz w:val="20"/>
                <w:szCs w:val="20"/>
                <w:color w:val="auto"/>
              </w:rPr>
            </w:pPr>
          </w:p>
        </w:tc>
        <w:tc>
          <w:tcPr>
            <w:tcW w:w="36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141,826</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Components of cash, cash equivalents and restricted cash:</w:t>
            </w:r>
          </w:p>
        </w:tc>
        <w:tc>
          <w:tcPr>
            <w:tcW w:w="3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253,798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141,239</w:t>
            </w:r>
          </w:p>
        </w:tc>
        <w:tc>
          <w:tcPr>
            <w:tcW w:w="0" w:type="dxa"/>
            <w:vAlign w:val="bottom"/>
          </w:tcPr>
          <w:p>
            <w:pPr>
              <w:spacing w:after="0"/>
              <w:rPr>
                <w:sz w:val="1"/>
                <w:szCs w:val="1"/>
                <w:color w:val="auto"/>
              </w:rPr>
            </w:pPr>
          </w:p>
        </w:tc>
      </w:tr>
      <w:tr>
        <w:trPr>
          <w:trHeight w:val="24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Restricted cash ......................................................................................................................</w:t>
            </w:r>
          </w:p>
        </w:tc>
        <w:tc>
          <w:tcPr>
            <w:tcW w:w="3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1,072</w:t>
            </w:r>
          </w:p>
        </w:tc>
        <w:tc>
          <w:tcPr>
            <w:tcW w:w="1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587</w:t>
            </w:r>
          </w:p>
        </w:tc>
        <w:tc>
          <w:tcPr>
            <w:tcW w:w="0" w:type="dxa"/>
            <w:vAlign w:val="bottom"/>
          </w:tcPr>
          <w:p>
            <w:pPr>
              <w:spacing w:after="0"/>
              <w:rPr>
                <w:sz w:val="1"/>
                <w:szCs w:val="1"/>
                <w:color w:val="auto"/>
              </w:rPr>
            </w:pPr>
          </w:p>
        </w:tc>
      </w:tr>
      <w:tr>
        <w:trPr>
          <w:trHeight w:val="239"/>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...........................................................Totalcash,cashequivalentsandrestrictedcash</w:t>
            </w:r>
          </w:p>
        </w:tc>
        <w:tc>
          <w:tcPr>
            <w:tcW w:w="36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254,870</w:t>
            </w:r>
          </w:p>
        </w:tc>
        <w:tc>
          <w:tcPr>
            <w:tcW w:w="180" w:type="dxa"/>
            <w:vAlign w:val="bottom"/>
          </w:tcPr>
          <w:p>
            <w:pPr>
              <w:spacing w:after="0"/>
              <w:rPr>
                <w:sz w:val="20"/>
                <w:szCs w:val="20"/>
                <w:color w:val="auto"/>
              </w:rPr>
            </w:pPr>
          </w:p>
        </w:tc>
        <w:tc>
          <w:tcPr>
            <w:tcW w:w="36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141,826</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Supplemental Cash Flow Information:</w:t>
            </w:r>
          </w:p>
        </w:tc>
        <w:tc>
          <w:tcPr>
            <w:tcW w:w="3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Deferred offering costs included in accrued expenses and other liabilities..............................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Right-of-use assets obtained in exchange for new operating lease liabilities...........................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757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Conversion of SAFEs to Common Stock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34,125</w:t>
            </w:r>
          </w:p>
        </w:tc>
        <w:tc>
          <w:tcPr>
            <w:tcW w:w="0" w:type="dxa"/>
            <w:vAlign w:val="bottom"/>
          </w:tcPr>
          <w:p>
            <w:pPr>
              <w:spacing w:after="0"/>
              <w:rPr>
                <w:sz w:val="1"/>
                <w:szCs w:val="1"/>
                <w:color w:val="auto"/>
              </w:rPr>
            </w:pPr>
          </w:p>
        </w:tc>
      </w:tr>
      <w:tr>
        <w:trPr>
          <w:trHeight w:val="266"/>
        </w:trPr>
        <w:tc>
          <w:tcPr>
            <w:tcW w:w="75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Conversion of Convertible Preferred Stock to Common Stock................................................</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80,627</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1080"/>
          </w:cols>
          <w:pgMar w:left="400" w:top="746"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1880" w:h="15480" w:orient="portrait"/>
          <w:cols w:equalWidth="0" w:num="1">
            <w:col w:w="11080"/>
          </w:cols>
          <w:pgMar w:left="400" w:top="746" w:right="400" w:bottom="0" w:gutter="0" w:footer="0" w:header="0"/>
          <w:type w:val="continuous"/>
        </w:sectPr>
      </w:pPr>
    </w:p>
    <w:bookmarkStart w:id="101" w:name="page102"/>
    <w:bookmarkEnd w:id="101"/>
    <w:p>
      <w:pPr>
        <w:jc w:val="center"/>
        <w:ind w:right="-23"/>
        <w:spacing w:after="0"/>
        <w:rPr>
          <w:sz w:val="20"/>
          <w:szCs w:val="20"/>
          <w:color w:val="auto"/>
        </w:rPr>
      </w:pPr>
      <w:r>
        <w:rPr>
          <w:rFonts w:ascii="Times New Roman" w:cs="Times New Roman" w:eastAsia="Times New Roman" w:hAnsi="Times New Roman"/>
          <w:sz w:val="20"/>
          <w:szCs w:val="20"/>
          <w:b w:val="1"/>
          <w:bCs w:val="1"/>
          <w:color w:val="231F20"/>
        </w:rPr>
        <w:t>TECTONIC THERAPEUTIC, INC.</w:t>
      </w:r>
    </w:p>
    <w:p>
      <w:pPr>
        <w:spacing w:after="0" w:line="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jc w:val="center"/>
        <w:ind w:right="-23"/>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data )</w:t>
      </w:r>
    </w:p>
    <w:p>
      <w:pPr>
        <w:spacing w:after="0" w:line="88" w:lineRule="exact"/>
        <w:rPr>
          <w:sz w:val="20"/>
          <w:szCs w:val="20"/>
          <w:color w:val="auto"/>
        </w:rPr>
      </w:pPr>
    </w:p>
    <w:p>
      <w:pPr>
        <w:ind w:left="4" w:right="8680" w:hanging="4"/>
        <w:spacing w:after="0" w:line="386" w:lineRule="auto"/>
        <w:tabs>
          <w:tab w:leader="none" w:pos="204" w:val="left"/>
        </w:tabs>
        <w:numPr>
          <w:ilvl w:val="0"/>
          <w:numId w:val="53"/>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NATURE OF BUSINESS </w:t>
      </w:r>
      <w:r>
        <w:rPr>
          <w:rFonts w:ascii="Times New Roman" w:cs="Times New Roman" w:eastAsia="Times New Roman" w:hAnsi="Times New Roman"/>
          <w:sz w:val="19"/>
          <w:szCs w:val="19"/>
          <w:b w:val="1"/>
          <w:bCs w:val="1"/>
          <w:i w:val="1"/>
          <w:iCs w:val="1"/>
          <w:color w:val="231F20"/>
        </w:rPr>
        <w:t>Description of the Business</w:t>
      </w:r>
    </w:p>
    <w:p>
      <w:pPr>
        <w:spacing w:after="0" w:line="1" w:lineRule="exact"/>
        <w:rPr>
          <w:sz w:val="20"/>
          <w:szCs w:val="20"/>
          <w:color w:val="auto"/>
        </w:rPr>
      </w:pPr>
    </w:p>
    <w:p>
      <w:pPr>
        <w:ind w:left="4"/>
        <w:spacing w:after="0" w:line="247" w:lineRule="auto"/>
        <w:rPr>
          <w:sz w:val="20"/>
          <w:szCs w:val="20"/>
          <w:color w:val="auto"/>
        </w:rPr>
      </w:pPr>
      <w:r>
        <w:rPr>
          <w:rFonts w:ascii="Times New Roman" w:cs="Times New Roman" w:eastAsia="Times New Roman" w:hAnsi="Times New Roman"/>
          <w:sz w:val="20"/>
          <w:szCs w:val="20"/>
          <w:color w:val="231F20"/>
        </w:rPr>
        <w:t>Tectonic Therapeutic, Inc. (formerly AVROBIO, Inc.) (the “Company” or “Tectonic”) is a clinical-stage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w:t>
      </w: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Merger</w:t>
      </w:r>
    </w:p>
    <w:p>
      <w:pPr>
        <w:spacing w:after="0" w:line="120" w:lineRule="exact"/>
        <w:rPr>
          <w:sz w:val="20"/>
          <w:szCs w:val="20"/>
          <w:color w:val="auto"/>
        </w:rPr>
      </w:pPr>
    </w:p>
    <w:p>
      <w:pPr>
        <w:ind w:left="4" w:right="180"/>
        <w:spacing w:after="0" w:line="245" w:lineRule="auto"/>
        <w:rPr>
          <w:sz w:val="20"/>
          <w:szCs w:val="20"/>
          <w:color w:val="auto"/>
        </w:rPr>
      </w:pPr>
      <w:r>
        <w:rPr>
          <w:rFonts w:ascii="Times New Roman" w:cs="Times New Roman" w:eastAsia="Times New Roman" w:hAnsi="Times New Roman"/>
          <w:sz w:val="20"/>
          <w:szCs w:val="20"/>
          <w:color w:val="231F20"/>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Accordingly, the historical financial statements prior to the Merger reflect those of Legacy Tectonic.</w:t>
      </w:r>
    </w:p>
    <w:p>
      <w:pPr>
        <w:spacing w:after="0" w:line="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Risks and Uncertainties</w:t>
      </w:r>
    </w:p>
    <w:p>
      <w:pPr>
        <w:spacing w:after="0" w:line="120" w:lineRule="exact"/>
        <w:rPr>
          <w:sz w:val="20"/>
          <w:szCs w:val="20"/>
          <w:color w:val="auto"/>
        </w:rPr>
      </w:pPr>
    </w:p>
    <w:p>
      <w:pPr>
        <w:ind w:left="4" w:right="20"/>
        <w:spacing w:after="0" w:line="249" w:lineRule="auto"/>
        <w:rPr>
          <w:sz w:val="20"/>
          <w:szCs w:val="20"/>
          <w:color w:val="auto"/>
        </w:rPr>
      </w:pPr>
      <w:r>
        <w:rPr>
          <w:rFonts w:ascii="Times New Roman" w:cs="Times New Roman" w:eastAsia="Times New Roman" w:hAnsi="Times New Roman"/>
          <w:sz w:val="20"/>
          <w:szCs w:val="20"/>
          <w:color w:val="231F20"/>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7" w:lineRule="exact"/>
        <w:rPr>
          <w:sz w:val="20"/>
          <w:szCs w:val="20"/>
          <w:color w:val="auto"/>
        </w:rPr>
      </w:pPr>
    </w:p>
    <w:p>
      <w:pPr>
        <w:ind w:left="4" w:right="20"/>
        <w:spacing w:after="0" w:line="247" w:lineRule="auto"/>
        <w:rPr>
          <w:sz w:val="20"/>
          <w:szCs w:val="20"/>
          <w:color w:val="auto"/>
        </w:rPr>
      </w:pPr>
      <w:r>
        <w:rPr>
          <w:rFonts w:ascii="Times New Roman" w:cs="Times New Roman" w:eastAsia="Times New Roman" w:hAnsi="Times New Roman"/>
          <w:sz w:val="20"/>
          <w:szCs w:val="20"/>
          <w:color w:val="231F20"/>
        </w:rPr>
        <w:t>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Liquidity and Capital Resources</w:t>
      </w:r>
    </w:p>
    <w:p>
      <w:pPr>
        <w:spacing w:after="0" w:line="120"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9"/>
          <w:szCs w:val="19"/>
          <w:color w:val="231F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$74.2 million and $58.0 million for the years ended December 31, 2025 and 2024, respectively </w:t>
      </w:r>
      <w:r>
        <w:rPr>
          <w:rFonts w:ascii="Times New Roman" w:cs="Times New Roman" w:eastAsia="Times New Roman" w:hAnsi="Times New Roman"/>
          <w:sz w:val="18"/>
          <w:szCs w:val="18"/>
          <w:color w:val="231F20"/>
        </w:rPr>
        <w:t>and had an accumulate</w:t>
      </w:r>
      <w:r>
        <w:rPr>
          <w:rFonts w:ascii="Times New Roman" w:cs="Times New Roman" w:eastAsia="Times New Roman" w:hAnsi="Times New Roman"/>
          <w:sz w:val="19"/>
          <w:szCs w:val="19"/>
          <w:color w:val="231F20"/>
        </w:rPr>
        <w:t>d deficit of $222.7 million as of December 31, 2025. The Company has financed its operations primarily through the sale and issuance of common stock, convertible equity instruments, and the Merger. In February 2025, the Company sold shares of its common stock under a securities purchase agreement in exchange for net proceeds of approximately $173.1 million. The Company has devoted substantially all of its financial resources and efforts to business planning, conducting research and development, recruiting management and technical staff, and raising capital. The Company also has an effective shelf registration statement on Form S-3 filed with the SEC, which may be used to offer from time to time any combination of common stock, preferred stock, debt securities, and warrants up to an aggregate amount of $400 million. Of this amount, the Company has the ability to sell up to $100 million of additional shares of common stock to the public through an at the market offering (“ATM”). During the year ended December 31, 2025, the Company did not sell any shares under the ATM program. As of December 31, 2025, the full $100 million remained available for issuance under the ATM program.</w:t>
      </w:r>
    </w:p>
    <w:p>
      <w:pPr>
        <w:spacing w:after="0" w:line="7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9"/>
          <w:szCs w:val="19"/>
          <w:color w:val="231F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$253.8 million as of December 31, 2025. </w:t>
      </w:r>
      <w:r>
        <w:rPr>
          <w:rFonts w:ascii="Times New Roman" w:cs="Times New Roman" w:eastAsia="Times New Roman" w:hAnsi="Times New Roman"/>
          <w:sz w:val="18"/>
          <w:szCs w:val="18"/>
          <w:color w:val="231F20"/>
        </w:rPr>
        <w:t>In accordance with Accounting Standards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8"/>
          <w:szCs w:val="18"/>
          <w:color w:val="231F20"/>
        </w:rPr>
        <w:t xml:space="preserve">Update (“ASU”) 2014-15, </w:t>
      </w:r>
      <w:r>
        <w:rPr>
          <w:rFonts w:ascii="Times New Roman" w:cs="Times New Roman" w:eastAsia="Times New Roman" w:hAnsi="Times New Roman"/>
          <w:sz w:val="18"/>
          <w:szCs w:val="18"/>
          <w:i w:val="1"/>
          <w:iCs w:val="1"/>
          <w:color w:val="231F20"/>
        </w:rPr>
        <w:t>Disclosure of Uncertainties about an Entity’s Ability to Continue as a Going Concern</w:t>
      </w:r>
      <w:r>
        <w:rPr>
          <w:rFonts w:ascii="Times New Roman" w:cs="Times New Roman" w:eastAsia="Times New Roman" w:hAnsi="Times New Roman"/>
          <w:sz w:val="18"/>
          <w:szCs w:val="18"/>
          <w:color w:val="231F20"/>
        </w:rPr>
        <w:t xml:space="preserve"> (Subtopic 205-40), the Company has </w:t>
      </w:r>
      <w:r>
        <w:rPr>
          <w:rFonts w:ascii="Times New Roman" w:cs="Times New Roman" w:eastAsia="Times New Roman" w:hAnsi="Times New Roman"/>
          <w:sz w:val="19"/>
          <w:szCs w:val="19"/>
          <w:color w:val="231F20"/>
        </w:rPr>
        <w:t>evaluated whether there are conditions and events, considered in the aggregate, that raise substantial doubt about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9"/>
          <w:szCs w:val="19"/>
          <w:color w:val="231F20"/>
        </w:rPr>
        <w:t>Company’s ability to continue as a going concern within one year after the date that these consolidated financial statements are issued.</w:t>
      </w:r>
    </w:p>
    <w:p>
      <w:pPr>
        <w:sectPr>
          <w:pgSz w:w="11880" w:h="15480" w:orient="portrait"/>
          <w:cols w:equalWidth="0" w:num="1">
            <w:col w:w="11064"/>
          </w:cols>
          <w:pgMar w:left="396" w:top="746"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231F20"/>
        </w:rPr>
        <w:t>F-8</w:t>
      </w:r>
    </w:p>
    <w:p>
      <w:pPr>
        <w:sectPr>
          <w:pgSz w:w="11880" w:h="15480" w:orient="portrait"/>
          <w:cols w:equalWidth="0" w:num="1">
            <w:col w:w="11064"/>
          </w:cols>
          <w:pgMar w:left="396" w:top="746" w:right="420" w:bottom="0" w:gutter="0" w:footer="0" w:header="0"/>
          <w:type w:val="continuous"/>
        </w:sectPr>
      </w:pPr>
    </w:p>
    <w:bookmarkStart w:id="102" w:name="page103"/>
    <w:bookmarkEnd w:id="102"/>
    <w:p>
      <w:pPr>
        <w:ind w:left="4" w:right="480"/>
        <w:spacing w:after="0" w:line="277" w:lineRule="auto"/>
        <w:rPr>
          <w:sz w:val="20"/>
          <w:szCs w:val="20"/>
          <w:color w:val="auto"/>
        </w:rPr>
      </w:pPr>
      <w:r>
        <w:rPr>
          <w:rFonts w:ascii="Times New Roman" w:cs="Times New Roman" w:eastAsia="Times New Roman" w:hAnsi="Times New Roman"/>
          <w:sz w:val="20"/>
          <w:szCs w:val="20"/>
          <w:color w:val="231F20"/>
        </w:rPr>
        <w:t>The Company believes that its existing cash and cash equivalents will be sufficient to allow the Company to fund operations beyond twelve months from the date of issuance of these consolidated financial statements.</w:t>
      </w:r>
    </w:p>
    <w:p>
      <w:pPr>
        <w:spacing w:after="0" w:line="395" w:lineRule="exact"/>
        <w:rPr>
          <w:sz w:val="20"/>
          <w:szCs w:val="20"/>
          <w:color w:val="auto"/>
        </w:rPr>
      </w:pPr>
    </w:p>
    <w:p>
      <w:pPr>
        <w:ind w:left="4" w:right="2600" w:hanging="4"/>
        <w:spacing w:after="0" w:line="367" w:lineRule="auto"/>
        <w:tabs>
          <w:tab w:leader="none" w:pos="204" w:val="left"/>
        </w:tabs>
        <w:numPr>
          <w:ilvl w:val="0"/>
          <w:numId w:val="5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SUMMARY OF SIGNIFICANT ACCOUNTING POLICIES AND BASIS OF PRESENTATION Basis of Presentation</w:t>
      </w:r>
    </w:p>
    <w:p>
      <w:pPr>
        <w:spacing w:after="0" w:line="1" w:lineRule="exact"/>
        <w:rPr>
          <w:sz w:val="20"/>
          <w:szCs w:val="20"/>
          <w:color w:val="auto"/>
        </w:rPr>
      </w:pPr>
    </w:p>
    <w:p>
      <w:pPr>
        <w:ind w:left="4" w:right="140"/>
        <w:spacing w:after="0" w:line="252" w:lineRule="auto"/>
        <w:rPr>
          <w:sz w:val="20"/>
          <w:szCs w:val="20"/>
          <w:color w:val="auto"/>
        </w:rPr>
      </w:pPr>
      <w:r>
        <w:rPr>
          <w:rFonts w:ascii="Times New Roman" w:cs="Times New Roman" w:eastAsia="Times New Roman" w:hAnsi="Times New Roman"/>
          <w:sz w:val="20"/>
          <w:szCs w:val="20"/>
          <w:color w:val="231F20"/>
        </w:rPr>
        <w:t>The accompanying consolidated financial statements have been prepared in conformity with U.S. generally accepted accounting principles (“GAAP”). Any reference in these notes to applicable guidance refers to U.S. GAAP as codified in the Accounting Standards Codification (“ASC”) and as amended by Accounting Standards Updates (“ASUs”) issued by the Financial Accounting Standards Board (“FASB”).</w:t>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Principles of Consolidation</w:t>
      </w:r>
    </w:p>
    <w:p>
      <w:pPr>
        <w:spacing w:after="0" w:line="120" w:lineRule="exact"/>
        <w:rPr>
          <w:sz w:val="20"/>
          <w:szCs w:val="20"/>
          <w:color w:val="auto"/>
        </w:rPr>
      </w:pPr>
    </w:p>
    <w:p>
      <w:pPr>
        <w:ind w:left="4" w:right="320"/>
        <w:spacing w:after="0" w:line="277" w:lineRule="auto"/>
        <w:rPr>
          <w:sz w:val="20"/>
          <w:szCs w:val="20"/>
          <w:color w:val="auto"/>
        </w:rPr>
      </w:pPr>
      <w:r>
        <w:rPr>
          <w:rFonts w:ascii="Times New Roman" w:cs="Times New Roman" w:eastAsia="Times New Roman" w:hAnsi="Times New Roman"/>
          <w:sz w:val="20"/>
          <w:szCs w:val="20"/>
          <w:color w:val="231F20"/>
        </w:rPr>
        <w:t>The Company consolidates the financial statements of its wholly owned subsidiaries. All intercompany balances and transactions have been eliminated in consolidation.</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Reverse Stock Split and Exchange Ratio</w:t>
      </w:r>
    </w:p>
    <w:p>
      <w:pPr>
        <w:spacing w:after="0" w:line="120" w:lineRule="exact"/>
        <w:rPr>
          <w:sz w:val="20"/>
          <w:szCs w:val="20"/>
          <w:color w:val="auto"/>
        </w:rPr>
      </w:pPr>
    </w:p>
    <w:p>
      <w:pPr>
        <w:ind w:left="4"/>
        <w:spacing w:after="0" w:line="249" w:lineRule="auto"/>
        <w:rPr>
          <w:sz w:val="20"/>
          <w:szCs w:val="20"/>
          <w:color w:val="auto"/>
        </w:rPr>
      </w:pPr>
      <w:r>
        <w:rPr>
          <w:rFonts w:ascii="Times New Roman" w:cs="Times New Roman" w:eastAsia="Times New Roman" w:hAnsi="Times New Roman"/>
          <w:sz w:val="20"/>
          <w:szCs w:val="20"/>
          <w:color w:val="231F20"/>
        </w:rPr>
        <w:t>Upon the closing of the Merger, each outstanding share of Legacy Tectonic’s common stock, including outstanding and unvested restricted stock, was converted into the right to receive a number of shares of AVROBIO’s common stock based on the Exchange Ratio of 0.53, after giving effect to the 1-for-12 reverse stock split of AVROBIO common stock that was effected on June 20, 2024. The exchange ratio was retroactively applied to all outstanding common shares, convertible preferred shares, stock options and restricted stock for all periods presented.</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120" w:lineRule="exact"/>
        <w:rPr>
          <w:sz w:val="20"/>
          <w:szCs w:val="20"/>
          <w:color w:val="auto"/>
        </w:rPr>
      </w:pPr>
    </w:p>
    <w:p>
      <w:pPr>
        <w:ind w:left="4" w:right="40"/>
        <w:spacing w:after="0" w:line="249" w:lineRule="auto"/>
        <w:rPr>
          <w:sz w:val="20"/>
          <w:szCs w:val="20"/>
          <w:color w:val="auto"/>
        </w:rPr>
      </w:pPr>
      <w:r>
        <w:rPr>
          <w:rFonts w:ascii="Times New Roman" w:cs="Times New Roman" w:eastAsia="Times New Roman" w:hAnsi="Times New Roman"/>
          <w:sz w:val="20"/>
          <w:szCs w:val="20"/>
          <w:color w:val="231F20"/>
        </w:rPr>
        <w:t>The preparation of the Company’s consolidated financial statements in conformity with GAAP requires the Company to make estimates and assumptions that affect the reported amounts of assets and liabilities, the disclosure of contingent assets and liabilities at the date of the consolidated financial statements, and the reported amounts of expenses during the reporting periods. These estimates are based on historical experience and other assumptions that the Company believes are reasonable under the circumstances. Revisions to estimates are recorded in the period in which the change becomes known.</w:t>
      </w:r>
    </w:p>
    <w:p>
      <w:pPr>
        <w:spacing w:after="0" w:line="77"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20"/>
          <w:szCs w:val="20"/>
          <w:color w:val="231F20"/>
        </w:rPr>
        <w:t>Significant estimates include the valuation of stock-based awards, prepaid and accrued research and development activities, and income taxes. Actual results may differ from these estimates, and such differences could be material to the Company’s financial position and results of operations.</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w:t>
      </w:r>
    </w:p>
    <w:p>
      <w:pPr>
        <w:spacing w:after="0" w:line="120" w:lineRule="exact"/>
        <w:rPr>
          <w:sz w:val="20"/>
          <w:szCs w:val="20"/>
          <w:color w:val="auto"/>
        </w:rPr>
      </w:pPr>
    </w:p>
    <w:p>
      <w:pPr>
        <w:ind w:left="4"/>
        <w:spacing w:after="0" w:line="246" w:lineRule="auto"/>
        <w:rPr>
          <w:sz w:val="20"/>
          <w:szCs w:val="20"/>
          <w:color w:val="auto"/>
        </w:rPr>
      </w:pPr>
      <w:r>
        <w:rPr>
          <w:rFonts w:ascii="Times New Roman" w:cs="Times New Roman" w:eastAsia="Times New Roman" w:hAnsi="Times New Roman"/>
          <w:sz w:val="20"/>
          <w:szCs w:val="20"/>
          <w:color w:val="231F20"/>
        </w:rPr>
        <w:t>The operations of each of the Company’s subsidiaries are measured in the currency of the primary economic environment in which the subsidiary operates (the “functional currency”). Assets and liabilities of foreign subsidiaries whose functional currency is the local currency are translated into U.S. dollars using period-end exchange rates. Income and expense items are translated at the average exchange rate in effect during each fiscal month. Translation adjustments resulting from the remeasurement of foreign subsidiary financial statements are included as a component of Accumulated Other Comprehensive Loss in the Consolidated Balance Sheets. Gains and losses from foreign currency transactions are included in Other Income (Expense), Net in the Consolidated Statements of Operations and Comprehensive Loss.</w:t>
      </w: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Segment Information</w:t>
      </w:r>
    </w:p>
    <w:p>
      <w:pPr>
        <w:spacing w:after="0" w:line="120" w:lineRule="exact"/>
        <w:rPr>
          <w:sz w:val="20"/>
          <w:szCs w:val="20"/>
          <w:color w:val="auto"/>
        </w:rPr>
      </w:pPr>
    </w:p>
    <w:p>
      <w:pPr>
        <w:ind w:left="4" w:right="60"/>
        <w:spacing w:after="0" w:line="245" w:lineRule="auto"/>
        <w:rPr>
          <w:sz w:val="20"/>
          <w:szCs w:val="20"/>
          <w:color w:val="auto"/>
        </w:rPr>
      </w:pPr>
      <w:r>
        <w:rPr>
          <w:rFonts w:ascii="Times New Roman" w:cs="Times New Roman" w:eastAsia="Times New Roman" w:hAnsi="Times New Roman"/>
          <w:sz w:val="20"/>
          <w:szCs w:val="20"/>
          <w:color w:val="231F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manages and evaluates its operations on a consolidated basis and has one reportable segment. The CODM primarily evaluates the Company’s performance based on net loss and reviews significant expense categories at the consolidated level. Segment assets are not separately monitored, as the CODM focuses on cash and expense impact. Refer to Note 16, </w:t>
      </w:r>
      <w:r>
        <w:rPr>
          <w:rFonts w:ascii="Times New Roman" w:cs="Times New Roman" w:eastAsia="Times New Roman" w:hAnsi="Times New Roman"/>
          <w:sz w:val="20"/>
          <w:szCs w:val="20"/>
          <w:i w:val="1"/>
          <w:iCs w:val="1"/>
          <w:color w:val="231F20"/>
        </w:rPr>
        <w:t>Segment Information</w:t>
      </w:r>
      <w:r>
        <w:rPr>
          <w:rFonts w:ascii="Times New Roman" w:cs="Times New Roman" w:eastAsia="Times New Roman" w:hAnsi="Times New Roman"/>
          <w:sz w:val="20"/>
          <w:szCs w:val="20"/>
          <w:color w:val="231F20"/>
        </w:rPr>
        <w:t>, for additional disclosures regarding the Company’s single reportable segment, including segment net loss and significant expense categories.</w:t>
      </w:r>
    </w:p>
    <w:p>
      <w:pPr>
        <w:spacing w:after="0" w:line="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Summary of Significant Accounting Policies</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Cash, Cash Equivalents, Restricted Cash, and Concentration of Credit Risk</w:t>
      </w:r>
    </w:p>
    <w:p>
      <w:pPr>
        <w:spacing w:after="0" w:line="120"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20"/>
          <w:szCs w:val="20"/>
          <w:color w:val="231F20"/>
        </w:rPr>
        <w:t>The Company considers all highly liquid investments with an original maturity of three months or less at the time of purchase to be cash equivalents. Cash and cash equivalents consisted of cash on deposit with banks denominated in U.S. dollars and investments in money market funds.</w:t>
      </w:r>
    </w:p>
    <w:p>
      <w:pPr>
        <w:sectPr>
          <w:pgSz w:w="11880" w:h="15480" w:orient="portrait"/>
          <w:cols w:equalWidth="0" w:num="1">
            <w:col w:w="11084"/>
          </w:cols>
          <w:pgMar w:left="396" w:top="750" w:right="40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F-9</w:t>
      </w:r>
    </w:p>
    <w:p>
      <w:pPr>
        <w:sectPr>
          <w:pgSz w:w="11880" w:h="15480" w:orient="portrait"/>
          <w:cols w:equalWidth="0" w:num="1">
            <w:col w:w="11084"/>
          </w:cols>
          <w:pgMar w:left="396" w:top="750" w:right="400" w:bottom="0" w:gutter="0" w:footer="0" w:header="0"/>
          <w:type w:val="continuous"/>
        </w:sectPr>
      </w:pPr>
    </w:p>
    <w:bookmarkStart w:id="103" w:name="page104"/>
    <w:bookmarkEnd w:id="103"/>
    <w:p>
      <w:pPr>
        <w:ind w:right="160"/>
        <w:spacing w:after="0" w:line="277" w:lineRule="auto"/>
        <w:rPr>
          <w:sz w:val="20"/>
          <w:szCs w:val="20"/>
          <w:color w:val="auto"/>
        </w:rPr>
      </w:pPr>
      <w:r>
        <w:rPr>
          <w:rFonts w:ascii="Times New Roman" w:cs="Times New Roman" w:eastAsia="Times New Roman" w:hAnsi="Times New Roman"/>
          <w:sz w:val="20"/>
          <w:szCs w:val="20"/>
          <w:color w:val="231F20"/>
        </w:rPr>
        <w:t>Restricted cash represents cash held to support letters of credit related to certain operating leases and is classified within other current or non-current assets on the Consolidated Balance Sheets based on the expected timing of release.</w:t>
      </w:r>
    </w:p>
    <w:p>
      <w:pPr>
        <w:spacing w:after="0" w:line="4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231F20"/>
        </w:rPr>
        <w:t>The following table provides a reconciliation of cash, cash equivalents and restricted cash within the Consolidated Balance Sheets that total the same such amounts shown in the Consolidated Statements of Cash Flows:</w:t>
      </w:r>
    </w:p>
    <w:p>
      <w:pPr>
        <w:spacing w:after="0" w:line="288"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1860" w:type="dxa"/>
            <w:vAlign w:val="bottom"/>
            <w:tcBorders>
              <w:bottom w:val="single" w:sz="8" w:color="231F20"/>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00" w:type="dxa"/>
            <w:vAlign w:val="bottom"/>
            <w:vMerge w:val="restart"/>
          </w:tcPr>
          <w:p>
            <w:pPr>
              <w:jc w:val="right"/>
              <w:ind w:right="4800"/>
              <w:spacing w:after="0"/>
              <w:rPr>
                <w:sz w:val="20"/>
                <w:szCs w:val="20"/>
                <w:color w:val="auto"/>
              </w:rPr>
            </w:pPr>
            <w:r>
              <w:rPr>
                <w:rFonts w:ascii="Times New Roman" w:cs="Times New Roman" w:eastAsia="Times New Roman" w:hAnsi="Times New Roman"/>
                <w:sz w:val="20"/>
                <w:szCs w:val="20"/>
                <w:color w:val="231F20"/>
                <w:w w:val="98"/>
              </w:rPr>
              <w:t>Cash and cash equivalents</w:t>
            </w:r>
          </w:p>
        </w:tc>
        <w:tc>
          <w:tcPr>
            <w:tcW w:w="340" w:type="dxa"/>
            <w:vAlign w:val="bottom"/>
            <w:tcBorders>
              <w:bottom w:val="single" w:sz="8" w:color="231F20"/>
            </w:tcBorders>
          </w:tcPr>
          <w:p>
            <w:pPr>
              <w:spacing w:after="0"/>
              <w:rPr>
                <w:sz w:val="16"/>
                <w:szCs w:val="16"/>
                <w:color w:val="auto"/>
              </w:rPr>
            </w:pPr>
          </w:p>
        </w:tc>
        <w:tc>
          <w:tcPr>
            <w:tcW w:w="1140" w:type="dxa"/>
            <w:vAlign w:val="bottom"/>
            <w:tcBorders>
              <w:bottom w:val="single" w:sz="8" w:color="231F20"/>
            </w:tcBorders>
          </w:tcPr>
          <w:p>
            <w:pPr>
              <w:jc w:val="right"/>
              <w:ind w:right="48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1040" w:type="dxa"/>
            <w:vAlign w:val="bottom"/>
            <w:tcBorders>
              <w:bottom w:val="single" w:sz="8" w:color="231F20"/>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700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253,798</w:t>
            </w:r>
          </w:p>
        </w:tc>
        <w:tc>
          <w:tcPr>
            <w:tcW w:w="28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141,239</w:t>
            </w:r>
          </w:p>
        </w:tc>
        <w:tc>
          <w:tcPr>
            <w:tcW w:w="0" w:type="dxa"/>
            <w:vAlign w:val="bottom"/>
          </w:tcPr>
          <w:p>
            <w:pPr>
              <w:spacing w:after="0"/>
              <w:rPr>
                <w:sz w:val="1"/>
                <w:szCs w:val="1"/>
                <w:color w:val="auto"/>
              </w:rPr>
            </w:pP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Restricted cash................................................................................................................</w:t>
            </w:r>
          </w:p>
        </w:tc>
        <w:tc>
          <w:tcPr>
            <w:tcW w:w="3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1,072</w:t>
            </w:r>
          </w:p>
        </w:tc>
        <w:tc>
          <w:tcPr>
            <w:tcW w:w="280" w:type="dxa"/>
            <w:vAlign w:val="bottom"/>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587</w:t>
            </w:r>
          </w:p>
        </w:tc>
        <w:tc>
          <w:tcPr>
            <w:tcW w:w="0" w:type="dxa"/>
            <w:vAlign w:val="bottom"/>
          </w:tcPr>
          <w:p>
            <w:pPr>
              <w:spacing w:after="0"/>
              <w:rPr>
                <w:sz w:val="1"/>
                <w:szCs w:val="1"/>
                <w:color w:val="auto"/>
              </w:rPr>
            </w:pPr>
          </w:p>
        </w:tc>
      </w:tr>
      <w:tr>
        <w:trPr>
          <w:trHeight w:val="23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.....................................................................Cash,cashequivalentsandrestrictedcash</w:t>
            </w:r>
          </w:p>
        </w:tc>
        <w:tc>
          <w:tcPr>
            <w:tcW w:w="34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254,870</w:t>
            </w:r>
          </w:p>
        </w:tc>
        <w:tc>
          <w:tcPr>
            <w:tcW w:w="28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141,826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Financial instruments that potentially expose the Company to concentrations of credit risk consist primarily of cash, cash equivalents, and restricted cash. The Company maintains its cash, cash equivalents, and restricted cash with multiple accredited financial institutions. Deposits held with these institutions may exceed federally insured limits. The Company has not experienced any losses related to these accounts and does not believe it is exposed to significant credit risk beyond the normal risks associated with commercial banking relationships.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Property and equipment are stated at cost less accumulated depreciation. Depreciation is calculated using the straight-line method over the estimated useful lives of the assets, generally ranging from three to five years, depending on the nature of the asset. Leasehold improvements are amortized over the shorter of the asset’s estimated useful life or the remaining lease term.</w:t>
      </w:r>
    </w:p>
    <w:p>
      <w:pPr>
        <w:spacing w:after="0" w:line="6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231F20"/>
        </w:rPr>
        <w:t>Construction-in-progress reflects amounts incurred for property and equipment that have not yet been placed in service and, accordingly, are not depreciated or amortized until the related assets are ready for their intended use.</w:t>
      </w:r>
    </w:p>
    <w:p>
      <w:pPr>
        <w:spacing w:after="0" w:line="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Expenditures for major renewals and improvements that extend the useful life of an asset or increase its functionality are capitalized when they meet the Company’s capitalization criteria. Routine maintenance and minor repairs that do not extend the useful life of an asset are expensed as incurred.</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231F20"/>
        </w:rPr>
        <w:t>Upon retirement or disposal of property and equipment, the cost of the asset and the related accumulated depreciation are removed from the accounts, and any resulting gain or loss is included in operating expenses in the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Long-Lived Assets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 xml:space="preserve">The Company reviews long-lived assets, which consist primarily of property and equipment, for impairment in accordance with ASC 360, </w:t>
      </w:r>
      <w:r>
        <w:rPr>
          <w:rFonts w:ascii="Times New Roman" w:cs="Times New Roman" w:eastAsia="Times New Roman" w:hAnsi="Times New Roman"/>
          <w:sz w:val="20"/>
          <w:szCs w:val="20"/>
          <w:i w:val="1"/>
          <w:iCs w:val="1"/>
          <w:color w:val="231F20"/>
        </w:rPr>
        <w:t>Property, Plant, and Equipment</w:t>
      </w:r>
      <w:r>
        <w:rPr>
          <w:rFonts w:ascii="Times New Roman" w:cs="Times New Roman" w:eastAsia="Times New Roman" w:hAnsi="Times New Roman"/>
          <w:sz w:val="20"/>
          <w:szCs w:val="20"/>
          <w:color w:val="231F20"/>
        </w:rPr>
        <w:t>. Long-lived assets are evaluated for recoverability whenever events or changes in circumstances indicate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that the carrying amount of an asset group may not be recoverable. Asset groups are determined at the lowest level for which identifiable cash flows are largely independent.</w:t>
      </w:r>
    </w:p>
    <w:p>
      <w:pPr>
        <w:spacing w:after="0" w:line="7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231F20"/>
        </w:rPr>
        <w:t xml:space="preserve">Recoverability is assessed by comparing the carrying amount of the asset group to the sum of the undiscounted cash flows expected to result from the use and eventual disposition of the asset group. If the carrying amount exceeds the undiscounted cash flows, an impairment loss is recognized and measured as the amount by which the carrying amount exceeds the asset group’s fair value. Fair value is determined using valuation techniques consistent with ASC 820, </w:t>
      </w:r>
      <w:r>
        <w:rPr>
          <w:rFonts w:ascii="Times New Roman" w:cs="Times New Roman" w:eastAsia="Times New Roman" w:hAnsi="Times New Roman"/>
          <w:sz w:val="20"/>
          <w:szCs w:val="20"/>
          <w:i w:val="1"/>
          <w:iCs w:val="1"/>
          <w:color w:val="231F20"/>
        </w:rPr>
        <w:t>Fair Value Measurement</w:t>
      </w:r>
      <w:r>
        <w:rPr>
          <w:rFonts w:ascii="Times New Roman" w:cs="Times New Roman" w:eastAsia="Times New Roman" w:hAnsi="Times New Roman"/>
          <w:sz w:val="20"/>
          <w:szCs w:val="20"/>
          <w:color w:val="231F20"/>
        </w:rPr>
        <w:t>, which may include market and income approaches, as appropriate.</w:t>
      </w:r>
    </w:p>
    <w:p>
      <w:pPr>
        <w:spacing w:after="0" w:line="77"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color w:val="231F20"/>
        </w:rPr>
        <w:t>Changes in estimates of useful lives or residual values are accounted for prospectively and result in adjustments to depreciation or amortization expense over the remaining useful lives of the related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 impairment losses were recognized during the years ended December 31,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Measurements</w:t>
      </w:r>
    </w:p>
    <w:p>
      <w:pPr>
        <w:spacing w:after="0" w:line="12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The Company measures certain financial instruments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at the measurement date. Fair value is a market-based measurement and is determined based on assumptions that market participants would use in pricing an asset or liability.</w:t>
      </w:r>
    </w:p>
    <w:p>
      <w:pPr>
        <w:spacing w:after="0" w:line="74"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231F20"/>
        </w:rPr>
        <w:t>The Company’s financial instruments measured at fair value consist solely of cash equivalents, which are valued using quoted prices in active markets. Accordingly, these instruments are classified within Level 1 of the fair value hierarchy. The Company does not have any financial instruments classified within Level 2 or Level 3 of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three-level fair value hierarchy has been established to prioritize the inputs used in measuring fair value as follows: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F-10</w:t>
      </w:r>
    </w:p>
    <w:p>
      <w:pPr>
        <w:sectPr>
          <w:pgSz w:w="11880" w:h="15480" w:orient="portrait"/>
          <w:cols w:equalWidth="0" w:num="1">
            <w:col w:w="11060"/>
          </w:cols>
          <w:pgMar w:left="400" w:top="750" w:right="420" w:bottom="0" w:gutter="0" w:footer="0" w:header="0"/>
        </w:sectPr>
      </w:pPr>
    </w:p>
    <w:bookmarkStart w:id="104" w:name="page105"/>
    <w:bookmarkEnd w:id="104"/>
    <w:p>
      <w:pPr>
        <w:ind w:left="864"/>
        <w:spacing w:after="0"/>
        <w:rPr>
          <w:sz w:val="20"/>
          <w:szCs w:val="20"/>
          <w:color w:val="auto"/>
        </w:rPr>
      </w:pPr>
      <w:r>
        <w:rPr>
          <w:rFonts w:ascii="Times New Roman" w:cs="Times New Roman" w:eastAsia="Times New Roman" w:hAnsi="Times New Roman"/>
          <w:sz w:val="20"/>
          <w:szCs w:val="20"/>
          <w:color w:val="231F20"/>
        </w:rPr>
        <w:t>Level 1 — Quoted prices in active markets for identical assets or liabilities.</w:t>
      </w:r>
    </w:p>
    <w:p>
      <w:pPr>
        <w:spacing w:after="0" w:line="230" w:lineRule="exact"/>
        <w:rPr>
          <w:sz w:val="20"/>
          <w:szCs w:val="20"/>
          <w:color w:val="auto"/>
        </w:rPr>
      </w:pPr>
    </w:p>
    <w:p>
      <w:pPr>
        <w:ind w:left="864" w:right="280"/>
        <w:spacing w:after="0" w:line="305" w:lineRule="auto"/>
        <w:rPr>
          <w:sz w:val="20"/>
          <w:szCs w:val="20"/>
          <w:color w:val="auto"/>
        </w:rPr>
      </w:pPr>
      <w:r>
        <w:rPr>
          <w:rFonts w:ascii="Times New Roman" w:cs="Times New Roman" w:eastAsia="Times New Roman" w:hAnsi="Times New Roman"/>
          <w:sz w:val="19"/>
          <w:szCs w:val="19"/>
          <w:color w:val="231F20"/>
        </w:rPr>
        <w:t>Level 2 — Quoted prices for similar assets or liabilities in active markets, quoted prices for identical or similar assets or liabilities in markets that are not active, or valuations with significant inputs that are observable, either directly or indirectly.</w:t>
      </w:r>
    </w:p>
    <w:p>
      <w:pPr>
        <w:spacing w:after="0" w:line="13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20"/>
          <w:szCs w:val="20"/>
          <w:color w:val="231F20"/>
        </w:rPr>
        <w:t>Level 3 — Valuations that require inputs that are both significant to the fair value measurement and unobservable.</w:t>
      </w:r>
    </w:p>
    <w:p>
      <w:pPr>
        <w:spacing w:after="0" w:line="230" w:lineRule="exact"/>
        <w:rPr>
          <w:sz w:val="20"/>
          <w:szCs w:val="20"/>
          <w:color w:val="auto"/>
        </w:rPr>
      </w:pPr>
    </w:p>
    <w:p>
      <w:pPr>
        <w:ind w:left="4" w:right="60"/>
        <w:spacing w:after="0" w:line="277" w:lineRule="auto"/>
        <w:rPr>
          <w:sz w:val="20"/>
          <w:szCs w:val="20"/>
          <w:color w:val="auto"/>
        </w:rPr>
      </w:pPr>
      <w:r>
        <w:rPr>
          <w:rFonts w:ascii="Times New Roman" w:cs="Times New Roman" w:eastAsia="Times New Roman" w:hAnsi="Times New Roman"/>
          <w:sz w:val="20"/>
          <w:szCs w:val="20"/>
          <w:color w:val="231F20"/>
        </w:rPr>
        <w:t>Financial instruments are classified in their entirety within the fair value hierarchy based on the lowest level input that is significant to the fair value measurement.</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9"/>
          <w:szCs w:val="19"/>
          <w:color w:val="231F20"/>
        </w:rPr>
        <w:t xml:space="preserve">The Company accounts for leases in accordance with ASC Topic 842, </w:t>
      </w:r>
      <w:r>
        <w:rPr>
          <w:rFonts w:ascii="Times New Roman" w:cs="Times New Roman" w:eastAsia="Times New Roman" w:hAnsi="Times New Roman"/>
          <w:sz w:val="19"/>
          <w:szCs w:val="19"/>
          <w:i w:val="1"/>
          <w:iCs w:val="1"/>
          <w:color w:val="231F20"/>
        </w:rPr>
        <w:t>Leases</w:t>
      </w:r>
      <w:r>
        <w:rPr>
          <w:rFonts w:ascii="Times New Roman" w:cs="Times New Roman" w:eastAsia="Times New Roman" w:hAnsi="Times New Roman"/>
          <w:sz w:val="19"/>
          <w:szCs w:val="19"/>
          <w:color w:val="231F20"/>
        </w:rPr>
        <w:t xml:space="preserve"> (“ASC 842”). The Company’s leases primarily consist of real estate and laboratory equipment. At lease inception, the Company determines whether an arrangement contains a lease and classifies it as either an operating or finance lease. The Company’s operating and finance lease assets are included in right-of-use assets, net, and the current and non-current portions of the lease liabilities are included in lease liabilities and lease liabilities, non-current, respectively, on the Consolidated Balance Sheets. Right-of-use assets and lease liabilities are initially measured at the present value of future lease payments over the lease term, including fixed payments and certain in-substance fixed payments. Right-of-use assets are based on the corresponding lease liability, adjusted for (i) payments made at or before the commencement date, (ii) initial direct costs incurred, and</w:t>
      </w:r>
    </w:p>
    <w:p>
      <w:pPr>
        <w:ind w:left="4" w:right="80" w:hanging="4"/>
        <w:spacing w:after="0" w:line="248" w:lineRule="auto"/>
        <w:tabs>
          <w:tab w:leader="none" w:pos="354"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tenant incentives under the lease. Variable lease payments that do not depend on an index or rate are excluded from the measurement of lease liabilities and are recognized as expense as incurred.</w:t>
      </w:r>
    </w:p>
    <w:p>
      <w:pPr>
        <w:spacing w:after="0" w:line="187" w:lineRule="exact"/>
        <w:rPr>
          <w:sz w:val="20"/>
          <w:szCs w:val="20"/>
          <w:color w:val="auto"/>
        </w:rPr>
      </w:pPr>
    </w:p>
    <w:p>
      <w:pPr>
        <w:jc w:val="both"/>
        <w:ind w:left="4" w:right="360"/>
        <w:spacing w:after="0" w:line="252" w:lineRule="auto"/>
        <w:rPr>
          <w:sz w:val="20"/>
          <w:szCs w:val="20"/>
          <w:color w:val="auto"/>
        </w:rPr>
      </w:pPr>
      <w:r>
        <w:rPr>
          <w:rFonts w:ascii="Times New Roman" w:cs="Times New Roman" w:eastAsia="Times New Roman" w:hAnsi="Times New Roman"/>
          <w:sz w:val="20"/>
          <w:szCs w:val="20"/>
          <w:color w:val="231F20"/>
        </w:rPr>
        <w:t>The Company does not account for renewals or early terminations unless it is reasonably certain that such options will be exercised at lease commencement. Lease modifications are accounted for in accordance with ASC 842 when the modification results in a separate contract or a remeasurement of the existing lease. The Company has elected the practical expedient to account for lease and non-lease components as a single lease component for both operating and finance leases.</w:t>
      </w:r>
    </w:p>
    <w:p>
      <w:pPr>
        <w:spacing w:after="0" w:line="184" w:lineRule="exact"/>
        <w:rPr>
          <w:sz w:val="20"/>
          <w:szCs w:val="20"/>
          <w:color w:val="auto"/>
        </w:rPr>
      </w:pPr>
    </w:p>
    <w:p>
      <w:pPr>
        <w:ind w:left="4"/>
        <w:spacing w:after="0" w:line="246" w:lineRule="auto"/>
        <w:rPr>
          <w:sz w:val="20"/>
          <w:szCs w:val="20"/>
          <w:color w:val="auto"/>
        </w:rPr>
      </w:pPr>
      <w:r>
        <w:rPr>
          <w:rFonts w:ascii="Times New Roman" w:cs="Times New Roman" w:eastAsia="Times New Roman" w:hAnsi="Times New Roman"/>
          <w:sz w:val="20"/>
          <w:szCs w:val="20"/>
          <w:color w:val="231F20"/>
        </w:rPr>
        <w:t>Operating lease expense is recognized on a straight-line basis over the lease term. Finance lease right-of-use assets are amortized on a straight-line basis over the shorter of the lease term or the estimated useful life of the leased asset. The discount rate used to calculate the present value of lease liabilities is either the rate explicitly stated in the lease for finance leases or the Company’s incremental borrowing rate at the lease commencement date. The incremental borrowing rate is estimated to approximate the interest rate on a collateralized basis with similar terms and payments, in an economic environment where the leased asset is located. In determining the incremental borrowing rate, the Company considers factors including its credit rating, interest rates for similar debt instruments of entities with comparable credit ratings, the lease term, and the currency in which the lease is denominated.</w:t>
      </w:r>
    </w:p>
    <w:p>
      <w:pPr>
        <w:spacing w:after="0" w:line="190" w:lineRule="exact"/>
        <w:rPr>
          <w:sz w:val="20"/>
          <w:szCs w:val="20"/>
          <w:color w:val="auto"/>
        </w:rPr>
      </w:pPr>
    </w:p>
    <w:p>
      <w:pPr>
        <w:ind w:left="4" w:right="140"/>
        <w:spacing w:after="0" w:line="305" w:lineRule="auto"/>
        <w:rPr>
          <w:sz w:val="20"/>
          <w:szCs w:val="20"/>
          <w:color w:val="auto"/>
        </w:rPr>
      </w:pPr>
      <w:r>
        <w:rPr>
          <w:rFonts w:ascii="Times New Roman" w:cs="Times New Roman" w:eastAsia="Times New Roman" w:hAnsi="Times New Roman"/>
          <w:sz w:val="19"/>
          <w:szCs w:val="19"/>
          <w:color w:val="231F20"/>
        </w:rPr>
        <w:t>The Company has elected the practical expedient to not recognize leases with a lease term of twelve months or less (“short -term leases”) on the balance sheet. Lease payments for such short-term leases are recognized as expense on a straight-line basis over the lease term.</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 xml:space="preserve">Refer to Note 10,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for additional information.</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120" w:lineRule="exact"/>
        <w:rPr>
          <w:sz w:val="20"/>
          <w:szCs w:val="20"/>
          <w:color w:val="auto"/>
        </w:rPr>
      </w:pPr>
    </w:p>
    <w:p>
      <w:pPr>
        <w:ind w:left="4"/>
        <w:spacing w:after="0" w:line="245" w:lineRule="auto"/>
        <w:rPr>
          <w:sz w:val="20"/>
          <w:szCs w:val="20"/>
          <w:color w:val="auto"/>
        </w:rPr>
      </w:pPr>
      <w:r>
        <w:rPr>
          <w:rFonts w:ascii="Times New Roman" w:cs="Times New Roman" w:eastAsia="Times New Roman" w:hAnsi="Times New Roman"/>
          <w:sz w:val="20"/>
          <w:szCs w:val="20"/>
          <w:color w:val="231F20"/>
        </w:rPr>
        <w:t>The Company expenses research and development costs as incurred in accordance with ASC 730, Research and Development. These costs primarily support discovery activities and the development of the Company’s product candidates and technology platform, including preclinical and clinical development of its development programs. Expenses include fees paid to third parties and contract research organizations (“CROs”), costs to manufacture materials for studies and trials, including payments to contract development and manufacturing organizations (“CDMOs”), and employee-related costs such as salaries, bonuses, benefits, and stock-based compensation. The Company also includes facilities-related costs, depreciation, and other direct or allocated expenses for rent, maintenance, and utilities, as well as licensing and license maintenance fees under agreements with no alternative future use and costs incurred to meet regulatory requirements.</w:t>
      </w:r>
    </w:p>
    <w:p>
      <w:pPr>
        <w:spacing w:after="0" w:line="122" w:lineRule="exact"/>
        <w:rPr>
          <w:sz w:val="20"/>
          <w:szCs w:val="20"/>
          <w:color w:val="auto"/>
        </w:rPr>
      </w:pPr>
    </w:p>
    <w:p>
      <w:pPr>
        <w:ind w:left="4" w:right="200"/>
        <w:spacing w:after="0" w:line="247" w:lineRule="auto"/>
        <w:rPr>
          <w:sz w:val="20"/>
          <w:szCs w:val="20"/>
          <w:color w:val="auto"/>
        </w:rPr>
      </w:pPr>
      <w:r>
        <w:rPr>
          <w:rFonts w:ascii="Times New Roman" w:cs="Times New Roman" w:eastAsia="Times New Roman" w:hAnsi="Times New Roman"/>
          <w:sz w:val="20"/>
          <w:szCs w:val="20"/>
          <w:color w:val="231F20"/>
        </w:rPr>
        <w:t>The Company accrues expenses for research and development activities performed by third parties based on the level of services performed, the progress of studies (including the phase or completion of events), and contracted costs. Estimated costs of research and development provided but not yet invoiced are recorded in accrued expenses and other current liabilities on the Consolidated Balance Sheets. Accruals are adjusted as actual timing of services or levels of effort differ from estimates. Payments made to third parties in advance of the related services are recorded as prepaid expenses until the services are rendered. The Company estimates the period over which such services will be performed based on the terms of the agreements and the level of effort expected in each period.</w:t>
      </w:r>
    </w:p>
    <w:p>
      <w:pPr>
        <w:sectPr>
          <w:pgSz w:w="11880" w:h="15480" w:orient="portrait"/>
          <w:cols w:equalWidth="0" w:num="1">
            <w:col w:w="11084"/>
          </w:cols>
          <w:pgMar w:left="396" w:top="980"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231F20"/>
        </w:rPr>
        <w:t>F-11</w:t>
      </w:r>
    </w:p>
    <w:p>
      <w:pPr>
        <w:sectPr>
          <w:pgSz w:w="11880" w:h="15480" w:orient="portrait"/>
          <w:cols w:equalWidth="0" w:num="1">
            <w:col w:w="11084"/>
          </w:cols>
          <w:pgMar w:left="396" w:top="980" w:right="400" w:bottom="6" w:gutter="0" w:footer="0" w:header="0"/>
          <w:type w:val="continuous"/>
        </w:sectPr>
      </w:pPr>
    </w:p>
    <w:bookmarkStart w:id="105" w:name="page106"/>
    <w:bookmarkEnd w:id="105"/>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Valuation and Expense</w:t>
      </w:r>
    </w:p>
    <w:p>
      <w:pPr>
        <w:spacing w:after="0" w:line="120" w:lineRule="exact"/>
        <w:rPr>
          <w:sz w:val="20"/>
          <w:szCs w:val="20"/>
          <w:color w:val="auto"/>
        </w:rPr>
      </w:pPr>
    </w:p>
    <w:p>
      <w:pPr>
        <w:ind w:left="4" w:right="100"/>
        <w:spacing w:after="0" w:line="285" w:lineRule="auto"/>
        <w:rPr>
          <w:sz w:val="20"/>
          <w:szCs w:val="20"/>
          <w:color w:val="auto"/>
        </w:rPr>
      </w:pPr>
      <w:r>
        <w:rPr>
          <w:rFonts w:ascii="Times New Roman" w:cs="Times New Roman" w:eastAsia="Times New Roman" w:hAnsi="Times New Roman"/>
          <w:sz w:val="20"/>
          <w:szCs w:val="20"/>
          <w:color w:val="231F20"/>
        </w:rPr>
        <w:t xml:space="preserve">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in accordance with ASC Topic 718, </w:t>
      </w:r>
      <w:r>
        <w:rPr>
          <w:rFonts w:ascii="Times New Roman" w:cs="Times New Roman" w:eastAsia="Times New Roman" w:hAnsi="Times New Roman"/>
          <w:sz w:val="20"/>
          <w:szCs w:val="20"/>
          <w:i w:val="1"/>
          <w:iCs w:val="1"/>
          <w:color w:val="231F20"/>
        </w:rPr>
        <w:t>Compensation – Stock Compensation</w:t>
      </w:r>
      <w:r>
        <w:rPr>
          <w:rFonts w:ascii="Times New Roman" w:cs="Times New Roman" w:eastAsia="Times New Roman" w:hAnsi="Times New Roman"/>
          <w:sz w:val="20"/>
          <w:szCs w:val="20"/>
          <w:color w:val="231F20"/>
        </w:rPr>
        <w:t xml:space="preserve"> (“ASC 718”) . Restricted stock units (“RSUs”) are measured and recognized over the vesting period based on the quoted market price of the Company’s common stock on the grant date.</w:t>
      </w:r>
    </w:p>
    <w:p>
      <w:pPr>
        <w:spacing w:after="0" w:line="117" w:lineRule="exact"/>
        <w:rPr>
          <w:sz w:val="20"/>
          <w:szCs w:val="20"/>
          <w:color w:val="auto"/>
        </w:rPr>
      </w:pPr>
    </w:p>
    <w:p>
      <w:pPr>
        <w:jc w:val="both"/>
        <w:ind w:left="4" w:right="340"/>
        <w:spacing w:after="0" w:line="294" w:lineRule="auto"/>
        <w:rPr>
          <w:sz w:val="20"/>
          <w:szCs w:val="20"/>
          <w:color w:val="auto"/>
        </w:rPr>
      </w:pPr>
      <w:r>
        <w:rPr>
          <w:rFonts w:ascii="Times New Roman" w:cs="Times New Roman" w:eastAsia="Times New Roman" w:hAnsi="Times New Roman"/>
          <w:sz w:val="20"/>
          <w:szCs w:val="20"/>
          <w:color w:val="231F20"/>
        </w:rPr>
        <w:t>The Company utilizes the Black-Scholes-Merton (“BSM”) option pricing model to determine the estimated fair value of stock options granted to employees and non-employees, including directors. In addition to the fair value of the Company’s common stock, the BSM model requires several key assumptions:</w:t>
      </w:r>
    </w:p>
    <w:p>
      <w:pPr>
        <w:spacing w:after="0" w:line="123" w:lineRule="exact"/>
        <w:rPr>
          <w:sz w:val="20"/>
          <w:szCs w:val="20"/>
          <w:color w:val="auto"/>
        </w:rPr>
      </w:pPr>
    </w:p>
    <w:p>
      <w:pPr>
        <w:ind w:left="984" w:right="260" w:hanging="494"/>
        <w:spacing w:after="0" w:line="258" w:lineRule="auto"/>
        <w:tabs>
          <w:tab w:leader="none" w:pos="984"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Term—T</w:t>
      </w:r>
      <w:r>
        <w:rPr>
          <w:rFonts w:ascii="Times New Roman" w:cs="Times New Roman" w:eastAsia="Times New Roman" w:hAnsi="Times New Roman"/>
          <w:sz w:val="19"/>
          <w:szCs w:val="19"/>
          <w:color w:val="231F20"/>
        </w:rPr>
        <w:t>he expected life represents the period of time that the stock options are expected to be outstanding.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Because the Company does not have substantial historical exercise behavior, it determines th</w:t>
      </w:r>
      <w:r>
        <w:rPr>
          <w:rFonts w:ascii="Times New Roman" w:cs="Times New Roman" w:eastAsia="Times New Roman" w:hAnsi="Times New Roman"/>
          <w:sz w:val="20"/>
          <w:szCs w:val="20"/>
          <w:color w:val="231F20"/>
        </w:rPr>
        <w:t>e expected term in accordance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 xml:space="preserve">with the simplified method, </w:t>
      </w:r>
      <w:r>
        <w:rPr>
          <w:rFonts w:ascii="Times New Roman" w:cs="Times New Roman" w:eastAsia="Times New Roman" w:hAnsi="Times New Roman"/>
          <w:sz w:val="19"/>
          <w:szCs w:val="19"/>
          <w:color w:val="231F20"/>
        </w:rPr>
        <w:t>which is an average of the contractual term of the stock option and its vesting period.</w:t>
      </w:r>
    </w:p>
    <w:p>
      <w:pPr>
        <w:spacing w:after="0" w:line="81" w:lineRule="exact"/>
        <w:rPr>
          <w:rFonts w:ascii="Arial" w:cs="Arial" w:eastAsia="Arial" w:hAnsi="Arial"/>
          <w:sz w:val="20"/>
          <w:szCs w:val="20"/>
          <w:color w:val="231F20"/>
        </w:rPr>
      </w:pPr>
    </w:p>
    <w:p>
      <w:pPr>
        <w:ind w:left="984" w:right="100" w:hanging="494"/>
        <w:spacing w:after="0" w:line="258" w:lineRule="auto"/>
        <w:tabs>
          <w:tab w:leader="none" w:pos="984"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Volatility— The estimated volatility is determined by evaluating the average historical volatility of a peer group of companies for the period preceding the stock option grant for a term that is approximately equal to the stock options’ expected term.</w:t>
      </w:r>
    </w:p>
    <w:p>
      <w:pPr>
        <w:spacing w:after="0" w:line="81" w:lineRule="exact"/>
        <w:rPr>
          <w:rFonts w:ascii="Arial" w:cs="Arial" w:eastAsia="Arial" w:hAnsi="Arial"/>
          <w:sz w:val="20"/>
          <w:szCs w:val="20"/>
          <w:color w:val="231F20"/>
        </w:rPr>
      </w:pPr>
    </w:p>
    <w:p>
      <w:pPr>
        <w:ind w:left="984" w:right="180" w:hanging="494"/>
        <w:spacing w:after="0" w:line="276" w:lineRule="auto"/>
        <w:tabs>
          <w:tab w:leader="none" w:pos="984"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Risk-Free Interest Rate—The risk-free interest rate is based on the implied yield currently available on U.S. Treasury issues with a term that is equal to the stock options’ expected term at the grant date.</w:t>
      </w:r>
    </w:p>
    <w:p>
      <w:pPr>
        <w:spacing w:after="0" w:line="64" w:lineRule="exact"/>
        <w:rPr>
          <w:rFonts w:ascii="Arial" w:cs="Arial" w:eastAsia="Arial" w:hAnsi="Arial"/>
          <w:sz w:val="20"/>
          <w:szCs w:val="20"/>
          <w:color w:val="231F20"/>
        </w:rPr>
      </w:pPr>
    </w:p>
    <w:p>
      <w:pPr>
        <w:ind w:left="984" w:hanging="494"/>
        <w:spacing w:after="0" w:line="276" w:lineRule="auto"/>
        <w:tabs>
          <w:tab w:leader="none" w:pos="984"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Dividend—The expected dividend yield is assumed to be zero as the Company has not declared or paid dividends to date and does not anticipate declaring dividends for the foreseeable future.</w:t>
      </w:r>
    </w:p>
    <w:p>
      <w:pPr>
        <w:spacing w:after="0" w:line="50" w:lineRule="exact"/>
        <w:rPr>
          <w:sz w:val="20"/>
          <w:szCs w:val="20"/>
          <w:color w:val="auto"/>
        </w:rPr>
      </w:pPr>
    </w:p>
    <w:p>
      <w:pPr>
        <w:ind w:left="4" w:right="20"/>
        <w:spacing w:after="0" w:line="294" w:lineRule="auto"/>
        <w:rPr>
          <w:sz w:val="20"/>
          <w:szCs w:val="20"/>
          <w:color w:val="auto"/>
        </w:rPr>
      </w:pPr>
      <w:r>
        <w:rPr>
          <w:rFonts w:ascii="Times New Roman" w:cs="Times New Roman" w:eastAsia="Times New Roman" w:hAnsi="Times New Roman"/>
          <w:sz w:val="20"/>
          <w:szCs w:val="20"/>
          <w:color w:val="231F20"/>
        </w:rPr>
        <w:t xml:space="preserve">The Company accounts for forfeitures as they occur. Stock-based compensation expense is recorded in research and development expense or general and administrative expense in the Consolidated Statements of Operations and Comprehensive Loss, based on the employee or non-employee’s functional role within the Company. See Note 8, </w:t>
      </w:r>
      <w:r>
        <w:rPr>
          <w:rFonts w:ascii="Times New Roman" w:cs="Times New Roman" w:eastAsia="Times New Roman" w:hAnsi="Times New Roman"/>
          <w:sz w:val="20"/>
          <w:szCs w:val="20"/>
          <w:i w:val="1"/>
          <w:iCs w:val="1"/>
          <w:color w:val="231F20"/>
        </w:rPr>
        <w:t>Equity Incentive Plans</w:t>
      </w:r>
      <w:r>
        <w:rPr>
          <w:rFonts w:ascii="Times New Roman" w:cs="Times New Roman" w:eastAsia="Times New Roman" w:hAnsi="Times New Roman"/>
          <w:sz w:val="20"/>
          <w:szCs w:val="20"/>
          <w:color w:val="231F20"/>
        </w:rPr>
        <w:t>, for additional information.</w:t>
      </w: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ind w:left="4" w:right="160"/>
        <w:spacing w:after="0" w:line="246" w:lineRule="auto"/>
        <w:rPr>
          <w:sz w:val="20"/>
          <w:szCs w:val="20"/>
          <w:color w:val="auto"/>
        </w:rPr>
      </w:pPr>
      <w:r>
        <w:rPr>
          <w:rFonts w:ascii="Times New Roman" w:cs="Times New Roman" w:eastAsia="Times New Roman" w:hAnsi="Times New Roman"/>
          <w:sz w:val="20"/>
          <w:szCs w:val="20"/>
          <w:color w:val="231F20"/>
        </w:rPr>
        <w:t xml:space="preserve">The Company accounts for income taxes under the asset and liability method in accordance with ASC Topic 740,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(“ASC 740”), which requires the recognition of deferred tax assets and liabilities for the expected future tax consequences of events that have been included in the consolidated financial statements. Under this method, the Company determined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83" w:lineRule="exact"/>
        <w:rPr>
          <w:sz w:val="20"/>
          <w:szCs w:val="20"/>
          <w:color w:val="auto"/>
        </w:rPr>
      </w:pPr>
    </w:p>
    <w:p>
      <w:pPr>
        <w:ind w:left="4" w:right="180"/>
        <w:spacing w:after="0" w:line="249" w:lineRule="auto"/>
        <w:rPr>
          <w:sz w:val="20"/>
          <w:szCs w:val="20"/>
          <w:color w:val="auto"/>
        </w:rPr>
      </w:pPr>
      <w:r>
        <w:rPr>
          <w:rFonts w:ascii="Times New Roman" w:cs="Times New Roman" w:eastAsia="Times New Roman" w:hAnsi="Times New Roman"/>
          <w:sz w:val="20"/>
          <w:szCs w:val="20"/>
          <w:color w:val="231F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77"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9"/>
          <w:szCs w:val="19"/>
          <w:color w:val="231F20"/>
        </w:rPr>
        <w:t>The Company records uncertain tax positions in accordance with ASC 740 on the basis of a two-step process in which (1) the Company determines whether it is more likely than not that the tax positions will be sustained on the basis of the technical merits of the position and</w:t>
      </w:r>
    </w:p>
    <w:p>
      <w:pPr>
        <w:ind w:left="4" w:right="60" w:hanging="4"/>
        <w:spacing w:after="0" w:line="244" w:lineRule="auto"/>
        <w:tabs>
          <w:tab w:leader="none" w:pos="287"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for those tax positions that meet the more-likely-than-not recognition threshold, the Company recognizes the largest amount of tax benefit that is more than 50 percent likely to be realized upon ultimate settlement with the related tax authority. Refer to Note 13, </w:t>
      </w:r>
      <w:r>
        <w:rPr>
          <w:rFonts w:ascii="Times New Roman" w:cs="Times New Roman" w:eastAsia="Times New Roman" w:hAnsi="Times New Roman"/>
          <w:sz w:val="20"/>
          <w:szCs w:val="20"/>
          <w:i w:val="1"/>
          <w:iCs w:val="1"/>
          <w:color w:val="231F20"/>
        </w:rPr>
        <w:t>Income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Taxes</w:t>
      </w:r>
      <w:r>
        <w:rPr>
          <w:rFonts w:ascii="Times New Roman" w:cs="Times New Roman" w:eastAsia="Times New Roman" w:hAnsi="Times New Roman"/>
          <w:sz w:val="20"/>
          <w:szCs w:val="20"/>
          <w:color w:val="231F20"/>
        </w:rPr>
        <w:t>, for further information.</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Net Loss per Share</w:t>
      </w:r>
    </w:p>
    <w:p>
      <w:pPr>
        <w:spacing w:after="0" w:line="120" w:lineRule="exact"/>
        <w:rPr>
          <w:sz w:val="20"/>
          <w:szCs w:val="20"/>
          <w:color w:val="auto"/>
        </w:rPr>
      </w:pPr>
    </w:p>
    <w:p>
      <w:pPr>
        <w:ind w:left="4" w:right="240"/>
        <w:spacing w:after="0" w:line="249" w:lineRule="auto"/>
        <w:rPr>
          <w:sz w:val="20"/>
          <w:szCs w:val="20"/>
          <w:color w:val="auto"/>
        </w:rPr>
      </w:pPr>
      <w:r>
        <w:rPr>
          <w:rFonts w:ascii="Times New Roman" w:cs="Times New Roman" w:eastAsia="Times New Roman" w:hAnsi="Times New Roman"/>
          <w:sz w:val="20"/>
          <w:szCs w:val="20"/>
          <w:color w:val="231F20"/>
        </w:rPr>
        <w:t xml:space="preserve">Basic and diluted net loss per common share is calculated in accordance with ASC 260, </w:t>
      </w:r>
      <w:r>
        <w:rPr>
          <w:rFonts w:ascii="Times New Roman" w:cs="Times New Roman" w:eastAsia="Times New Roman" w:hAnsi="Times New Roman"/>
          <w:sz w:val="20"/>
          <w:szCs w:val="20"/>
          <w:i w:val="1"/>
          <w:iCs w:val="1"/>
          <w:color w:val="231F20"/>
        </w:rPr>
        <w:t>Earnings per Share</w:t>
      </w:r>
      <w:r>
        <w:rPr>
          <w:rFonts w:ascii="Times New Roman" w:cs="Times New Roman" w:eastAsia="Times New Roman" w:hAnsi="Times New Roman"/>
          <w:sz w:val="20"/>
          <w:szCs w:val="20"/>
          <w:color w:val="231F20"/>
        </w:rPr>
        <w:t xml:space="preserve">, by dividing net loss by the weighted-average number of common shares outstanding during the period. Potentially dilutive securities, including stock options and restricted stock units, are excluded from the computation of diluted net loss per share because their effect would be anti-dilutive for all periods presented. Refer to Note 9, </w:t>
      </w:r>
      <w:r>
        <w:rPr>
          <w:rFonts w:ascii="Times New Roman" w:cs="Times New Roman" w:eastAsia="Times New Roman" w:hAnsi="Times New Roman"/>
          <w:sz w:val="20"/>
          <w:szCs w:val="20"/>
          <w:i w:val="1"/>
          <w:iCs w:val="1"/>
          <w:color w:val="231F20"/>
        </w:rPr>
        <w:t>Net Loss per Share</w:t>
      </w:r>
      <w:r>
        <w:rPr>
          <w:rFonts w:ascii="Times New Roman" w:cs="Times New Roman" w:eastAsia="Times New Roman" w:hAnsi="Times New Roman"/>
          <w:sz w:val="20"/>
          <w:szCs w:val="20"/>
          <w:color w:val="231F20"/>
        </w:rPr>
        <w:t>, for the detailed computation of basic and diluted net loss per share and information regarding the potentially dilutive securities excluded from the computation.</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Comprehensive Loss</w:t>
      </w:r>
    </w:p>
    <w:p>
      <w:pPr>
        <w:spacing w:after="0" w:line="120" w:lineRule="exact"/>
        <w:rPr>
          <w:sz w:val="20"/>
          <w:szCs w:val="20"/>
          <w:color w:val="auto"/>
        </w:rPr>
      </w:pPr>
    </w:p>
    <w:p>
      <w:pPr>
        <w:ind w:left="4" w:right="540"/>
        <w:spacing w:after="0" w:line="258" w:lineRule="auto"/>
        <w:rPr>
          <w:sz w:val="20"/>
          <w:szCs w:val="20"/>
          <w:color w:val="auto"/>
        </w:rPr>
      </w:pPr>
      <w:r>
        <w:rPr>
          <w:rFonts w:ascii="Times New Roman" w:cs="Times New Roman" w:eastAsia="Times New Roman" w:hAnsi="Times New Roman"/>
          <w:sz w:val="20"/>
          <w:szCs w:val="20"/>
          <w:color w:val="231F20"/>
        </w:rPr>
        <w:t xml:space="preserve">Comprehensive loss is determined in accordance with ASC 220, </w:t>
      </w:r>
      <w:r>
        <w:rPr>
          <w:rFonts w:ascii="Times New Roman" w:cs="Times New Roman" w:eastAsia="Times New Roman" w:hAnsi="Times New Roman"/>
          <w:sz w:val="20"/>
          <w:szCs w:val="20"/>
          <w:i w:val="1"/>
          <w:iCs w:val="1"/>
          <w:color w:val="231F20"/>
        </w:rPr>
        <w:t>Comprehensive Income</w:t>
      </w:r>
      <w:r>
        <w:rPr>
          <w:rFonts w:ascii="Times New Roman" w:cs="Times New Roman" w:eastAsia="Times New Roman" w:hAnsi="Times New Roman"/>
          <w:sz w:val="20"/>
          <w:szCs w:val="20"/>
          <w:color w:val="231F20"/>
        </w:rPr>
        <w:t>, and includes net loss and other changes in stockholders’ equity resulting from transactions and economic events other than those with stockholders. For the Company, comprehensive loss consists of net loss plus foreign currency translation adjustments for all periods presented.</w:t>
      </w:r>
    </w:p>
    <w:p>
      <w:pPr>
        <w:spacing w:after="0" w:line="2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F-12</w:t>
      </w:r>
    </w:p>
    <w:p>
      <w:pPr>
        <w:sectPr>
          <w:pgSz w:w="11880" w:h="15480" w:orient="portrait"/>
          <w:cols w:equalWidth="0" w:num="1">
            <w:col w:w="11084"/>
          </w:cols>
          <w:pgMar w:left="396" w:top="750" w:right="400" w:bottom="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Recently Adopted Accounting Standards</w:t>
      </w:r>
    </w:p>
    <w:p>
      <w:pPr>
        <w:spacing w:after="0" w:line="12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 xml:space="preserve">In December 2023, the FASB issued ASU No. 2023-09,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adopted ASU 2023-09 during the year ended December 31, 2025. The adoption of this standard impacted the Company’s disclosures but did not have a material impact on its consolidated financial statements, results of operations, or financial position.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Recently Issued Accounting Standards Not Yet Adopted</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 xml:space="preserve">In January 2025, the FASB issued ASU No. 2025-01 to clarify the effective date of ASU No. 2024-03 </w:t>
      </w:r>
      <w:r>
        <w:rPr>
          <w:rFonts w:ascii="Times New Roman" w:cs="Times New Roman" w:eastAsia="Times New Roman" w:hAnsi="Times New Roman"/>
          <w:sz w:val="20"/>
          <w:szCs w:val="20"/>
          <w:i w:val="1"/>
          <w:iCs w:val="1"/>
          <w:color w:val="231F20"/>
        </w:rPr>
        <w:t>Income Statement—Reporting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Comprehensive Income—Expense Disaggregation Disclosures </w:t>
      </w:r>
      <w:r>
        <w:rPr>
          <w:rFonts w:ascii="Times New Roman" w:cs="Times New Roman" w:eastAsia="Times New Roman" w:hAnsi="Times New Roman"/>
          <w:sz w:val="20"/>
          <w:szCs w:val="20"/>
          <w:color w:val="231F20"/>
        </w:rPr>
        <w:t>(Subtopic 220-40) (“ASU 2024-03”), which requires disaggregated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disclosure of 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this standard on its financial statements and related disclosures.</w:t>
      </w:r>
    </w:p>
    <w:p>
      <w:pPr>
        <w:spacing w:after="0" w:line="19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 xml:space="preserve">In December 2025, the FASB issued ASU No. 2025-11, </w:t>
      </w:r>
      <w:r>
        <w:rPr>
          <w:rFonts w:ascii="Times New Roman" w:cs="Times New Roman" w:eastAsia="Times New Roman" w:hAnsi="Times New Roman"/>
          <w:sz w:val="20"/>
          <w:szCs w:val="20"/>
          <w:i w:val="1"/>
          <w:iCs w:val="1"/>
          <w:color w:val="231F20"/>
        </w:rPr>
        <w:t>Interim Reporting (Topic 270)</w:t>
      </w:r>
      <w:r>
        <w:rPr>
          <w:rFonts w:ascii="Times New Roman" w:cs="Times New Roman" w:eastAsia="Times New Roman" w:hAnsi="Times New Roman"/>
          <w:sz w:val="20"/>
          <w:szCs w:val="20"/>
          <w:color w:val="231F20"/>
        </w:rPr>
        <w:t xml:space="preserve"> (“ASU 2025-11”) to clarify the applicability of ASC 270 and improve the organization of the guidance. The ASU clarifies when an entity is subject to interim reporting requirements and establishes disclosure principles for material events occurring since the end of the most recent annual reporting period. ASU 2025-11 is effective for interim reporting periods within annual reporting periods beginning after December 15, 2027. Early adoption is permitted. The Company is currently evaluating the impact of this standard on its financial statements and related disclosures.</w:t>
      </w:r>
    </w:p>
    <w:p>
      <w:pPr>
        <w:spacing w:after="0" w:line="23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231F20"/>
        </w:rPr>
        <w:t xml:space="preserve">In December 2025, the FASB issued ASU No. 2025-12, </w:t>
      </w:r>
      <w:r>
        <w:rPr>
          <w:rFonts w:ascii="Times New Roman" w:cs="Times New Roman" w:eastAsia="Times New Roman" w:hAnsi="Times New Roman"/>
          <w:sz w:val="20"/>
          <w:szCs w:val="20"/>
          <w:i w:val="1"/>
          <w:iCs w:val="1"/>
          <w:color w:val="231F20"/>
        </w:rPr>
        <w:t>Improvements to Accounting Standards Codification</w:t>
      </w:r>
      <w:r>
        <w:rPr>
          <w:rFonts w:ascii="Times New Roman" w:cs="Times New Roman" w:eastAsia="Times New Roman" w:hAnsi="Times New Roman"/>
          <w:sz w:val="20"/>
          <w:szCs w:val="20"/>
          <w:color w:val="231F20"/>
        </w:rPr>
        <w:t xml:space="preserve"> (“ASU 2025-12</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which addresses stakeholder suggestions and makes incremental improvements to U.S. GAAP. The amendments clarify guidance, correct errors, and make minor improvements to the Accounting Standards Codification. ASU 2025-12 is effective for fiscal years beginning after December 15, 2026, including interim periods within those fiscal years. The Company is currently evaluating the impact of this standard on its financial statements and related disclosures.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MERGER</w:t>
      </w:r>
    </w:p>
    <w:p>
      <w:pPr>
        <w:spacing w:after="0" w:line="12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231F20"/>
        </w:rPr>
        <w:t xml:space="preserve">As described in Note 1, </w:t>
      </w:r>
      <w:r>
        <w:rPr>
          <w:rFonts w:ascii="Times New Roman" w:cs="Times New Roman" w:eastAsia="Times New Roman" w:hAnsi="Times New Roman"/>
          <w:sz w:val="20"/>
          <w:szCs w:val="20"/>
          <w:i w:val="1"/>
          <w:iCs w:val="1"/>
          <w:color w:val="231F20"/>
        </w:rPr>
        <w:t>Nature of the Business</w:t>
      </w:r>
      <w:r>
        <w:rPr>
          <w:rFonts w:ascii="Times New Roman" w:cs="Times New Roman" w:eastAsia="Times New Roman" w:hAnsi="Times New Roman"/>
          <w:sz w:val="20"/>
          <w:szCs w:val="20"/>
          <w:color w:val="231F20"/>
        </w:rPr>
        <w:t>,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220" w:type="dxa"/>
            <w:vAlign w:val="bottom"/>
          </w:tcPr>
          <w:p>
            <w:pPr>
              <w:jc w:val="right"/>
              <w:ind w:right="1360"/>
              <w:spacing w:after="0"/>
              <w:rPr>
                <w:sz w:val="20"/>
                <w:szCs w:val="20"/>
                <w:color w:val="auto"/>
              </w:rPr>
            </w:pPr>
            <w:r>
              <w:rPr>
                <w:rFonts w:ascii="Times New Roman" w:cs="Times New Roman" w:eastAsia="Times New Roman" w:hAnsi="Times New Roman"/>
                <w:sz w:val="20"/>
                <w:szCs w:val="20"/>
                <w:color w:val="231F20"/>
                <w:w w:val="99"/>
              </w:rPr>
              <w:t>As part of the recapitalization, Legacy Tectonic recognized the assets and liabilities listed below:</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42"/>
        </w:trPr>
        <w:tc>
          <w:tcPr>
            <w:tcW w:w="9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660" w:type="dxa"/>
            <w:vAlign w:val="bottom"/>
            <w:gridSpan w:val="2"/>
          </w:tcPr>
          <w:p>
            <w:pPr>
              <w:jc w:val="right"/>
              <w:ind w:right="475"/>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85,230</w:t>
            </w:r>
          </w:p>
        </w:tc>
        <w:tc>
          <w:tcPr>
            <w:tcW w:w="60" w:type="dxa"/>
            <w:vAlign w:val="bottom"/>
          </w:tcPr>
          <w:p>
            <w:pPr>
              <w:spacing w:after="0"/>
              <w:rPr>
                <w:sz w:val="24"/>
                <w:szCs w:val="24"/>
                <w:color w:val="auto"/>
              </w:rPr>
            </w:pPr>
          </w:p>
        </w:tc>
      </w:tr>
      <w:tr>
        <w:trPr>
          <w:trHeight w:val="244"/>
        </w:trPr>
        <w:tc>
          <w:tcPr>
            <w:tcW w:w="9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319</w:t>
            </w:r>
          </w:p>
        </w:tc>
        <w:tc>
          <w:tcPr>
            <w:tcW w:w="60" w:type="dxa"/>
            <w:vAlign w:val="bottom"/>
          </w:tcPr>
          <w:p>
            <w:pPr>
              <w:spacing w:after="0"/>
              <w:rPr>
                <w:sz w:val="21"/>
                <w:szCs w:val="21"/>
                <w:color w:val="auto"/>
              </w:rPr>
            </w:pPr>
          </w:p>
        </w:tc>
      </w:tr>
      <w:tr>
        <w:trPr>
          <w:trHeight w:val="244"/>
        </w:trPr>
        <w:tc>
          <w:tcPr>
            <w:tcW w:w="9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Accounts payable .......................................................................................................................................</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(1,988)</w:t>
            </w:r>
          </w:p>
        </w:tc>
      </w:tr>
      <w:tr>
        <w:trPr>
          <w:trHeight w:val="249"/>
        </w:trPr>
        <w:tc>
          <w:tcPr>
            <w:tcW w:w="9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(5,405)</w:t>
            </w:r>
          </w:p>
        </w:tc>
      </w:tr>
      <w:tr>
        <w:trPr>
          <w:trHeight w:val="239"/>
        </w:trPr>
        <w:tc>
          <w:tcPr>
            <w:tcW w:w="92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.....................................................................................................................................Netassetsacquired</w:t>
            </w:r>
          </w:p>
        </w:tc>
        <w:tc>
          <w:tcPr>
            <w:tcW w:w="20" w:type="dxa"/>
            <w:vAlign w:val="bottom"/>
          </w:tcPr>
          <w:p>
            <w:pPr>
              <w:spacing w:after="0"/>
              <w:rPr>
                <w:sz w:val="20"/>
                <w:szCs w:val="20"/>
                <w:color w:val="auto"/>
              </w:rPr>
            </w:pPr>
          </w:p>
        </w:tc>
        <w:tc>
          <w:tcPr>
            <w:tcW w:w="640" w:type="dxa"/>
            <w:vAlign w:val="bottom"/>
            <w:tcBorders>
              <w:top w:val="single" w:sz="8" w:color="231F20"/>
              <w:bottom w:val="single" w:sz="8" w:color="231F20"/>
            </w:tcBorders>
          </w:tcPr>
          <w:p>
            <w:pPr>
              <w:jc w:val="right"/>
              <w:ind w:right="475"/>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78,156</w:t>
            </w:r>
          </w:p>
        </w:tc>
        <w:tc>
          <w:tcPr>
            <w:tcW w:w="60" w:type="dxa"/>
            <w:vAlign w:val="bottom"/>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1" w:lineRule="exact"/>
        <w:rPr>
          <w:sz w:val="20"/>
          <w:szCs w:val="20"/>
          <w:color w:val="auto"/>
        </w:rPr>
      </w:pPr>
    </w:p>
    <w:p>
      <w:pPr>
        <w:ind w:right="1040"/>
        <w:spacing w:after="0" w:line="277" w:lineRule="auto"/>
        <w:rPr>
          <w:sz w:val="20"/>
          <w:szCs w:val="20"/>
          <w:color w:val="auto"/>
        </w:rPr>
      </w:pPr>
      <w:r>
        <w:rPr>
          <w:rFonts w:ascii="Times New Roman" w:cs="Times New Roman" w:eastAsia="Times New Roman" w:hAnsi="Times New Roman"/>
          <w:sz w:val="20"/>
          <w:szCs w:val="20"/>
          <w:color w:val="231F20"/>
        </w:rPr>
        <w:t>The Company incurred transaction costs of $9.3 million which was recorded as a reduction to additional paid-in capital in the Consolidated Balance Sheet for the year ended December 31, 2024.</w:t>
      </w:r>
    </w:p>
    <w:p>
      <w:pPr>
        <w:sectPr>
          <w:pgSz w:w="11880" w:h="15480" w:orient="portrait"/>
          <w:cols w:equalWidth="0" w:num="1">
            <w:col w:w="11080"/>
          </w:cols>
          <w:pgMar w:left="400" w:top="750"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F-13</w:t>
      </w:r>
    </w:p>
    <w:p>
      <w:pPr>
        <w:sectPr>
          <w:pgSz w:w="11880" w:h="15480" w:orient="portrait"/>
          <w:cols w:equalWidth="0" w:num="1">
            <w:col w:w="11080"/>
          </w:cols>
          <w:pgMar w:left="400" w:top="750" w:right="400" w:bottom="6"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231F20"/>
        </w:rPr>
        <w:t>4. FAIR VALUE MEASUREMENTS</w:t>
      </w:r>
    </w:p>
    <w:p>
      <w:pPr>
        <w:spacing w:after="0" w:line="1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231F20"/>
        </w:rPr>
        <w:t>The following tables present information about financial assets and liabilities measured at fair value on a recurring basis and indicate the level of the fair value hierarchy utilized to determine such fair values:</w:t>
      </w:r>
    </w:p>
    <w:p>
      <w:pPr>
        <w:spacing w:after="0" w:line="293"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4"/>
          </w:tcPr>
          <w:p>
            <w:pPr>
              <w:jc w:val="right"/>
              <w:ind w:right="21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80" w:type="dxa"/>
            <w:vAlign w:val="bottom"/>
            <w:vMerge w:val="restart"/>
          </w:tcPr>
          <w:p>
            <w:pPr>
              <w:jc w:val="right"/>
              <w:ind w:right="4520"/>
              <w:spacing w:after="0"/>
              <w:rPr>
                <w:sz w:val="20"/>
                <w:szCs w:val="20"/>
                <w:color w:val="auto"/>
              </w:rPr>
            </w:pPr>
            <w:r>
              <w:rPr>
                <w:rFonts w:ascii="Times New Roman" w:cs="Times New Roman" w:eastAsia="Times New Roman" w:hAnsi="Times New Roman"/>
                <w:sz w:val="20"/>
                <w:szCs w:val="20"/>
                <w:color w:val="231F20"/>
                <w:w w:val="93"/>
              </w:rPr>
              <w:t>Assets:</w:t>
            </w:r>
          </w:p>
        </w:tc>
        <w:tc>
          <w:tcPr>
            <w:tcW w:w="20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20" w:type="dxa"/>
            <w:vAlign w:val="bottom"/>
          </w:tcPr>
          <w:p>
            <w:pPr>
              <w:spacing w:after="0"/>
              <w:rPr>
                <w:sz w:val="16"/>
                <w:szCs w:val="16"/>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26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80" w:type="dxa"/>
            <w:vAlign w:val="bottom"/>
          </w:tcPr>
          <w:p>
            <w:pPr>
              <w:jc w:val="right"/>
              <w:ind w:right="3480"/>
              <w:spacing w:after="0"/>
              <w:rPr>
                <w:sz w:val="20"/>
                <w:szCs w:val="20"/>
                <w:color w:val="auto"/>
              </w:rPr>
            </w:pPr>
            <w:r>
              <w:rPr>
                <w:rFonts w:ascii="Times New Roman" w:cs="Times New Roman" w:eastAsia="Times New Roman" w:hAnsi="Times New Roman"/>
                <w:sz w:val="20"/>
                <w:szCs w:val="20"/>
                <w:color w:val="231F20"/>
              </w:rPr>
              <w:t>Cash equivalents: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Money market funds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253,498</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253,498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..................................................................................Totalassets</w:t>
            </w:r>
          </w:p>
        </w:tc>
        <w:tc>
          <w:tcPr>
            <w:tcW w:w="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253,498</w:t>
            </w:r>
          </w:p>
        </w:tc>
        <w:tc>
          <w:tcPr>
            <w:tcW w:w="100" w:type="dxa"/>
            <w:vAlign w:val="bottom"/>
            <w:tcBorders>
              <w:top w:val="single" w:sz="8" w:color="231F20"/>
              <w:bottom w:val="single" w:sz="8" w:color="231F20"/>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gridSpan w:val="2"/>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840" w:type="dxa"/>
            <w:vAlign w:val="bottom"/>
            <w:tcBorders>
              <w:top w:val="single" w:sz="8" w:color="231F20"/>
              <w:bottom w:val="single" w:sz="8" w:color="231F20"/>
            </w:tcBorders>
          </w:tcPr>
          <w:p>
            <w:pPr>
              <w:jc w:val="right"/>
              <w:ind w:right="650"/>
              <w:spacing w:after="0"/>
              <w:rPr>
                <w:sz w:val="20"/>
                <w:szCs w:val="20"/>
                <w:color w:val="auto"/>
              </w:rPr>
            </w:pPr>
            <w:r>
              <w:rPr>
                <w:rFonts w:ascii="Times New Roman" w:cs="Times New Roman" w:eastAsia="Times New Roman" w:hAnsi="Times New Roman"/>
                <w:sz w:val="20"/>
                <w:szCs w:val="20"/>
                <w:color w:val="231F20"/>
                <w:w w:val="79"/>
              </w:rPr>
              <w:t>$</w:t>
            </w:r>
          </w:p>
        </w:tc>
        <w:tc>
          <w:tcPr>
            <w:tcW w:w="360" w:type="dxa"/>
            <w:vAlign w:val="bottom"/>
            <w:tcBorders>
              <w:top w:val="single" w:sz="8" w:color="231F20"/>
              <w:bottom w:val="single" w:sz="8" w:color="231F20"/>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24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253,498</w:t>
            </w:r>
          </w:p>
        </w:tc>
        <w:tc>
          <w:tcPr>
            <w:tcW w:w="60" w:type="dxa"/>
            <w:vAlign w:val="bottom"/>
            <w:tcBorders>
              <w:top w:val="single" w:sz="8" w:color="231F20"/>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21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vMerge w:val="restart"/>
          </w:tcPr>
          <w:p>
            <w:pPr>
              <w:jc w:val="right"/>
              <w:ind w:right="4520"/>
              <w:spacing w:after="0"/>
              <w:rPr>
                <w:sz w:val="20"/>
                <w:szCs w:val="20"/>
                <w:color w:val="auto"/>
              </w:rPr>
            </w:pPr>
            <w:r>
              <w:rPr>
                <w:rFonts w:ascii="Times New Roman" w:cs="Times New Roman" w:eastAsia="Times New Roman" w:hAnsi="Times New Roman"/>
                <w:sz w:val="20"/>
                <w:szCs w:val="20"/>
                <w:color w:val="231F20"/>
                <w:w w:val="93"/>
              </w:rPr>
              <w:t>Assets:</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87"/>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vMerge w:val="continue"/>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900" w:type="dxa"/>
            <w:vAlign w:val="bottom"/>
            <w:tcBorders>
              <w:top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900" w:type="dxa"/>
            <w:vAlign w:val="bottom"/>
            <w:tcBorders>
              <w:top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231F20"/>
            </w:tcBorders>
          </w:tcPr>
          <w:p>
            <w:pPr>
              <w:spacing w:after="0"/>
              <w:rPr>
                <w:sz w:val="20"/>
                <w:szCs w:val="20"/>
                <w:color w:val="auto"/>
              </w:rPr>
            </w:pPr>
          </w:p>
        </w:tc>
        <w:tc>
          <w:tcPr>
            <w:tcW w:w="260" w:type="dxa"/>
            <w:vAlign w:val="bottom"/>
            <w:tcBorders>
              <w:top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231F20"/>
            </w:tcBorders>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80" w:type="dxa"/>
            <w:vAlign w:val="bottom"/>
          </w:tcPr>
          <w:p>
            <w:pPr>
              <w:jc w:val="right"/>
              <w:ind w:right="3480"/>
              <w:spacing w:after="0"/>
              <w:rPr>
                <w:sz w:val="20"/>
                <w:szCs w:val="20"/>
                <w:color w:val="auto"/>
              </w:rPr>
            </w:pPr>
            <w:r>
              <w:rPr>
                <w:rFonts w:ascii="Times New Roman" w:cs="Times New Roman" w:eastAsia="Times New Roman" w:hAnsi="Times New Roman"/>
                <w:sz w:val="20"/>
                <w:szCs w:val="20"/>
                <w:color w:val="231F20"/>
              </w:rPr>
              <w:t>Cash equivalents: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Money market funds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139,610</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..................................................................................Totalassets</w:t>
            </w:r>
          </w:p>
        </w:tc>
        <w:tc>
          <w:tcPr>
            <w:tcW w:w="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139,610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tcPr>
          <w:p>
            <w:pPr>
              <w:ind w:left="680"/>
              <w:spacing w:after="0"/>
              <w:rPr>
                <w:sz w:val="20"/>
                <w:szCs w:val="20"/>
                <w:color w:val="auto"/>
              </w:rPr>
            </w:pPr>
            <w:r>
              <w:rPr>
                <w:rFonts w:ascii="Times New Roman" w:cs="Times New Roman" w:eastAsia="Times New Roman" w:hAnsi="Times New Roman"/>
                <w:sz w:val="20"/>
                <w:szCs w:val="20"/>
                <w:color w:val="231F20"/>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231F20"/>
              <w:bottom w:val="single" w:sz="8" w:color="231F20"/>
            </w:tcBorders>
          </w:tcPr>
          <w:p>
            <w:pPr>
              <w:jc w:val="right"/>
              <w:ind w:right="650"/>
              <w:spacing w:after="0"/>
              <w:rPr>
                <w:sz w:val="20"/>
                <w:szCs w:val="20"/>
                <w:color w:val="auto"/>
              </w:rPr>
            </w:pPr>
            <w:r>
              <w:rPr>
                <w:rFonts w:ascii="Times New Roman" w:cs="Times New Roman" w:eastAsia="Times New Roman" w:hAnsi="Times New Roman"/>
                <w:sz w:val="20"/>
                <w:szCs w:val="20"/>
                <w:color w:val="231F20"/>
                <w:w w:val="79"/>
              </w:rPr>
              <w:t>$</w:t>
            </w:r>
          </w:p>
        </w:tc>
        <w:tc>
          <w:tcPr>
            <w:tcW w:w="260" w:type="dxa"/>
            <w:vAlign w:val="bottom"/>
            <w:tcBorders>
              <w:top w:val="single" w:sz="8" w:color="231F20"/>
              <w:bottom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-1919605</wp:posOffset>
            </wp:positionV>
            <wp:extent cx="324548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3245485" cy="3810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-816610</wp:posOffset>
            </wp:positionV>
            <wp:extent cx="324548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3245485" cy="38100"/>
                    </a:xfrm>
                    <a:prstGeom prst="rect">
                      <a:avLst/>
                    </a:prstGeom>
                    <a:noFill/>
                  </pic:spPr>
                </pic:pic>
              </a:graphicData>
            </a:graphic>
          </wp:anchor>
        </w:drawing>
      </w:r>
    </w:p>
    <w:p>
      <w:pPr>
        <w:spacing w:after="0" w:line="19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Money market funds are included in cash and cash equivalents on the Consolidated Balance Sheets and are measured at fair value on a recurring basis. These instruments are classified within Level 1 of the fair value hierarchy because they are valued using quoted prices in active markets for identical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There were no transfers between the Level 1, Level 2 or Level 3 categories during the years ended December 31, 2025 and 2024.</w:t>
      </w:r>
    </w:p>
    <w:p>
      <w:pPr>
        <w:spacing w:after="0" w:line="12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231F20"/>
        </w:rPr>
        <w:t>The carrying amounts reflected in the Company's Consolidated Balance Sheets for prepaid expenses and other current assets, accounts payable, and accrued expenses and other current liabilities approximate their fair values, due to their short-term nature.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SAFE Liabilities</w:t>
      </w:r>
    </w:p>
    <w:p>
      <w:pPr>
        <w:spacing w:after="0" w:line="12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231F20"/>
        </w:rPr>
        <w:t>From October through December 2023, Legacy Tectonic entered into multiple SAFE agreements with certain existing investors and received proceeds of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w:t>
      </w:r>
    </w:p>
    <w:p>
      <w:pPr>
        <w:spacing w:after="0" w:line="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Upon the closing of the Merger, the principal balance of the SAFE instruments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No level 3 instruments remain outstanding after the Merger.</w:t>
      </w:r>
    </w:p>
    <w:p>
      <w:pPr>
        <w:spacing w:after="0" w:line="8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231F20"/>
        </w:rPr>
        <w:t>The following table presents activity for the SAFE liabilities that were measured at fair value using significant unobservable Level 3 inputs during the year ended December 31, 2024:</w:t>
      </w:r>
    </w:p>
    <w:p>
      <w:pPr>
        <w:spacing w:after="0" w:line="339"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8440" w:type="dxa"/>
            <w:vAlign w:val="bottom"/>
            <w:vMerge w:val="restart"/>
          </w:tcPr>
          <w:p>
            <w:pPr>
              <w:jc w:val="right"/>
              <w:ind w:right="5940"/>
              <w:spacing w:after="0"/>
              <w:rPr>
                <w:sz w:val="20"/>
                <w:szCs w:val="20"/>
                <w:color w:val="auto"/>
              </w:rPr>
            </w:pPr>
            <w:r>
              <w:rPr>
                <w:rFonts w:ascii="Times New Roman" w:cs="Times New Roman" w:eastAsia="Times New Roman" w:hAnsi="Times New Roman"/>
                <w:sz w:val="20"/>
                <w:szCs w:val="20"/>
                <w:color w:val="231F20"/>
                <w:w w:val="99"/>
              </w:rPr>
              <w:t>Balance as of January 1, 2024</w:t>
            </w: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66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SAFE Liabilities</w:t>
            </w:r>
          </w:p>
        </w:tc>
        <w:tc>
          <w:tcPr>
            <w:tcW w:w="0" w:type="dxa"/>
            <w:vAlign w:val="bottom"/>
          </w:tcPr>
          <w:p>
            <w:pPr>
              <w:spacing w:after="0"/>
              <w:rPr>
                <w:sz w:val="1"/>
                <w:szCs w:val="1"/>
                <w:color w:val="auto"/>
              </w:rPr>
            </w:pPr>
          </w:p>
        </w:tc>
      </w:tr>
      <w:tr>
        <w:trPr>
          <w:trHeight w:val="234"/>
        </w:trPr>
        <w:tc>
          <w:tcPr>
            <w:tcW w:w="8440" w:type="dxa"/>
            <w:vAlign w:val="bottom"/>
            <w:vMerge w:val="continue"/>
          </w:tcPr>
          <w:p>
            <w:pPr>
              <w:jc w:val="right"/>
              <w:ind w:right="14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30,515</w:t>
            </w:r>
          </w:p>
        </w:tc>
        <w:tc>
          <w:tcPr>
            <w:tcW w:w="0" w:type="dxa"/>
            <w:vAlign w:val="bottom"/>
          </w:tcPr>
          <w:p>
            <w:pPr>
              <w:spacing w:after="0"/>
              <w:rPr>
                <w:sz w:val="1"/>
                <w:szCs w:val="1"/>
                <w:color w:val="auto"/>
              </w:rPr>
            </w:pPr>
          </w:p>
        </w:tc>
      </w:tr>
      <w:tr>
        <w:trPr>
          <w:trHeight w:val="244"/>
        </w:trPr>
        <w:tc>
          <w:tcPr>
            <w:tcW w:w="8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Fair value adjustments............................................................................................................................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3,610</w:t>
            </w:r>
          </w:p>
        </w:tc>
        <w:tc>
          <w:tcPr>
            <w:tcW w:w="0" w:type="dxa"/>
            <w:vAlign w:val="bottom"/>
          </w:tcPr>
          <w:p>
            <w:pPr>
              <w:spacing w:after="0"/>
              <w:rPr>
                <w:sz w:val="1"/>
                <w:szCs w:val="1"/>
                <w:color w:val="auto"/>
              </w:rPr>
            </w:pPr>
          </w:p>
        </w:tc>
      </w:tr>
      <w:tr>
        <w:trPr>
          <w:trHeight w:val="249"/>
        </w:trPr>
        <w:tc>
          <w:tcPr>
            <w:tcW w:w="8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Redemption ............................................................................................................................................</w:t>
            </w:r>
          </w:p>
        </w:tc>
        <w:tc>
          <w:tcPr>
            <w:tcW w:w="2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(34,125)</w:t>
            </w:r>
          </w:p>
        </w:tc>
        <w:tc>
          <w:tcPr>
            <w:tcW w:w="0" w:type="dxa"/>
            <w:vAlign w:val="bottom"/>
          </w:tcPr>
          <w:p>
            <w:pPr>
              <w:spacing w:after="0"/>
              <w:rPr>
                <w:sz w:val="1"/>
                <w:szCs w:val="1"/>
                <w:color w:val="auto"/>
              </w:rPr>
            </w:pPr>
          </w:p>
        </w:tc>
      </w:tr>
      <w:tr>
        <w:trPr>
          <w:trHeight w:val="239"/>
        </w:trPr>
        <w:tc>
          <w:tcPr>
            <w:tcW w:w="8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..............................................................................................................BalanceasofDecember31,2024</w:t>
            </w:r>
          </w:p>
        </w:tc>
        <w:tc>
          <w:tcPr>
            <w:tcW w:w="20" w:type="dxa"/>
            <w:vAlign w:val="bottom"/>
          </w:tcPr>
          <w:p>
            <w:pPr>
              <w:spacing w:after="0"/>
              <w:rPr>
                <w:sz w:val="20"/>
                <w:szCs w:val="20"/>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6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6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1080"/>
          </w:cols>
          <w:pgMar w:left="400" w:top="976"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F-14</w:t>
      </w:r>
    </w:p>
    <w:p>
      <w:pPr>
        <w:sectPr>
          <w:pgSz w:w="11880" w:h="15480" w:orient="portrait"/>
          <w:cols w:equalWidth="0" w:num="1">
            <w:col w:w="11080"/>
          </w:cols>
          <w:pgMar w:left="400" w:top="976" w:right="400" w:bottom="6" w:gutter="0" w:footer="0" w:header="0"/>
          <w:type w:val="continuous"/>
        </w:sectPr>
      </w:pPr>
    </w:p>
    <w:bookmarkStart w:id="108" w:name="page109"/>
    <w:bookmarkEnd w:id="108"/>
    <w:p>
      <w:pPr>
        <w:spacing w:after="0" w:line="200" w:lineRule="exact"/>
        <w:rPr>
          <w:sz w:val="20"/>
          <w:szCs w:val="20"/>
          <w:color w:val="auto"/>
        </w:rPr>
      </w:pP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5. PROPERTY AND EQUIPMENT, NET</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Property and equipment, net is comprised of the following:</w:t>
      </w:r>
    </w:p>
    <w:p>
      <w:pPr>
        <w:spacing w:after="0" w:line="134" w:lineRule="exact"/>
        <w:rPr>
          <w:sz w:val="20"/>
          <w:szCs w:val="20"/>
          <w:color w:val="auto"/>
        </w:rPr>
      </w:pPr>
    </w:p>
    <w:tbl>
      <w:tblPr>
        <w:tblLayout w:type="fixed"/>
        <w:tblInd w:w="784"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7000" w:type="dxa"/>
            <w:vAlign w:val="bottom"/>
            <w:vMerge w:val="restart"/>
          </w:tcPr>
          <w:p>
            <w:pPr>
              <w:jc w:val="right"/>
              <w:ind w:right="5120"/>
              <w:spacing w:after="0"/>
              <w:rPr>
                <w:sz w:val="20"/>
                <w:szCs w:val="20"/>
                <w:color w:val="auto"/>
              </w:rPr>
            </w:pPr>
            <w:r>
              <w:rPr>
                <w:rFonts w:ascii="Times New Roman" w:cs="Times New Roman" w:eastAsia="Times New Roman" w:hAnsi="Times New Roman"/>
                <w:sz w:val="20"/>
                <w:szCs w:val="20"/>
                <w:color w:val="231F20"/>
                <w:w w:val="98"/>
              </w:rPr>
              <w:t>Laboratory equipment</w:t>
            </w:r>
          </w:p>
        </w:tc>
        <w:tc>
          <w:tcPr>
            <w:tcW w:w="2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28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Office equipment, furniture and fixtures........................................................................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Leasehold improvements................................................................................................</w:t>
            </w:r>
          </w:p>
        </w:tc>
        <w:tc>
          <w:tcPr>
            <w:tcW w:w="2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Less: accumulated depreciation......................................................................................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(3,407)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(2,745)</w:t>
            </w:r>
          </w:p>
        </w:tc>
        <w:tc>
          <w:tcPr>
            <w:tcW w:w="0" w:type="dxa"/>
            <w:vAlign w:val="bottom"/>
          </w:tcPr>
          <w:p>
            <w:pPr>
              <w:spacing w:after="0"/>
              <w:rPr>
                <w:sz w:val="1"/>
                <w:szCs w:val="1"/>
                <w:color w:val="auto"/>
              </w:rPr>
            </w:pPr>
          </w:p>
        </w:tc>
      </w:tr>
      <w:tr>
        <w:trPr>
          <w:trHeight w:val="23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...........................................................................................Propertyandequipment,net</w:t>
            </w:r>
          </w:p>
        </w:tc>
        <w:tc>
          <w:tcPr>
            <w:tcW w:w="2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4" w:right="160"/>
        <w:spacing w:after="0" w:line="277" w:lineRule="auto"/>
        <w:rPr>
          <w:sz w:val="20"/>
          <w:szCs w:val="20"/>
          <w:color w:val="auto"/>
        </w:rPr>
      </w:pPr>
      <w:r>
        <w:rPr>
          <w:rFonts w:ascii="Times New Roman" w:cs="Times New Roman" w:eastAsia="Times New Roman" w:hAnsi="Times New Roman"/>
          <w:sz w:val="20"/>
          <w:szCs w:val="20"/>
          <w:color w:val="231F20"/>
        </w:rPr>
        <w:t>Depreciation expense was $1.0 million and $1.2 million for the years ended December 31, 2025 and 2024, respectively, and is primarily attributable to research and development activities.</w:t>
      </w:r>
    </w:p>
    <w:p>
      <w:pPr>
        <w:spacing w:after="0" w:line="45" w:lineRule="exact"/>
        <w:rPr>
          <w:sz w:val="20"/>
          <w:szCs w:val="20"/>
          <w:color w:val="auto"/>
        </w:rPr>
      </w:pPr>
    </w:p>
    <w:p>
      <w:pPr>
        <w:ind w:left="4" w:right="4940" w:hanging="4"/>
        <w:spacing w:after="0" w:line="441" w:lineRule="auto"/>
        <w:tabs>
          <w:tab w:leader="none" w:pos="204" w:val="left"/>
        </w:tabs>
        <w:numPr>
          <w:ilvl w:val="0"/>
          <w:numId w:val="58"/>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ACCRUED EXPENSES AND OTHER CURRENT LIABILITIES </w:t>
      </w:r>
      <w:r>
        <w:rPr>
          <w:rFonts w:ascii="Times New Roman" w:cs="Times New Roman" w:eastAsia="Times New Roman" w:hAnsi="Times New Roman"/>
          <w:sz w:val="19"/>
          <w:szCs w:val="19"/>
          <w:color w:val="231F20"/>
        </w:rPr>
        <w:t>Accrued expenses and other current liabilities is comprised of the following:</w:t>
      </w:r>
    </w:p>
    <w:p>
      <w:pPr>
        <w:spacing w:after="0" w:line="145" w:lineRule="exact"/>
        <w:rPr>
          <w:sz w:val="20"/>
          <w:szCs w:val="20"/>
          <w:color w:val="auto"/>
        </w:rPr>
      </w:pPr>
    </w:p>
    <w:tbl>
      <w:tblPr>
        <w:tblLayout w:type="fixed"/>
        <w:tblInd w:w="664"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7000" w:type="dxa"/>
            <w:vAlign w:val="bottom"/>
            <w:vMerge w:val="restart"/>
          </w:tcPr>
          <w:p>
            <w:pPr>
              <w:jc w:val="right"/>
              <w:ind w:right="3360"/>
              <w:spacing w:after="0"/>
              <w:rPr>
                <w:sz w:val="20"/>
                <w:szCs w:val="20"/>
                <w:color w:val="auto"/>
              </w:rPr>
            </w:pPr>
            <w:r>
              <w:rPr>
                <w:rFonts w:ascii="Times New Roman" w:cs="Times New Roman" w:eastAsia="Times New Roman" w:hAnsi="Times New Roman"/>
                <w:sz w:val="20"/>
                <w:szCs w:val="20"/>
                <w:color w:val="231F20"/>
                <w:w w:val="99"/>
              </w:rPr>
              <w:t>Accrued compensation and related expenses</w:t>
            </w:r>
          </w:p>
        </w:tc>
        <w:tc>
          <w:tcPr>
            <w:tcW w:w="1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700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4,110</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3,585</w:t>
            </w:r>
          </w:p>
        </w:tc>
        <w:tc>
          <w:tcPr>
            <w:tcW w:w="0" w:type="dxa"/>
            <w:vAlign w:val="bottom"/>
          </w:tcPr>
          <w:p>
            <w:pPr>
              <w:spacing w:after="0"/>
              <w:rPr>
                <w:sz w:val="1"/>
                <w:szCs w:val="1"/>
                <w:color w:val="auto"/>
              </w:rPr>
            </w:pPr>
          </w:p>
        </w:tc>
      </w:tr>
      <w:tr>
        <w:trPr>
          <w:trHeight w:val="24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Accrued research and development expenses................................................................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2,787</w:t>
            </w:r>
          </w:p>
        </w:tc>
        <w:tc>
          <w:tcPr>
            <w:tcW w:w="0" w:type="dxa"/>
            <w:vAlign w:val="bottom"/>
          </w:tcPr>
          <w:p>
            <w:pPr>
              <w:spacing w:after="0"/>
              <w:rPr>
                <w:sz w:val="1"/>
                <w:szCs w:val="1"/>
                <w:color w:val="auto"/>
              </w:rPr>
            </w:pP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Accrued other expenses .................................................................................................</w:t>
            </w:r>
          </w:p>
        </w:tc>
        <w:tc>
          <w:tcPr>
            <w:tcW w:w="18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929</w:t>
            </w:r>
          </w:p>
        </w:tc>
        <w:tc>
          <w:tcPr>
            <w:tcW w:w="28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1,478</w:t>
            </w:r>
          </w:p>
        </w:tc>
        <w:tc>
          <w:tcPr>
            <w:tcW w:w="0" w:type="dxa"/>
            <w:vAlign w:val="bottom"/>
          </w:tcPr>
          <w:p>
            <w:pPr>
              <w:spacing w:after="0"/>
              <w:rPr>
                <w:sz w:val="1"/>
                <w:szCs w:val="1"/>
                <w:color w:val="auto"/>
              </w:rPr>
            </w:pPr>
          </w:p>
        </w:tc>
      </w:tr>
      <w:tr>
        <w:trPr>
          <w:trHeight w:val="23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..................................................Totalaccruedexpensesandothercurrentliabilities</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7,340</w:t>
            </w:r>
          </w:p>
        </w:tc>
        <w:tc>
          <w:tcPr>
            <w:tcW w:w="28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7,850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4" w:right="8280" w:hanging="4"/>
        <w:spacing w:after="0" w:line="367" w:lineRule="auto"/>
        <w:tabs>
          <w:tab w:leader="none" w:pos="204" w:val="left"/>
        </w:tabs>
        <w:numPr>
          <w:ilvl w:val="0"/>
          <w:numId w:val="5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STOCKHOLDERS’ EQUITY </w:t>
      </w:r>
      <w:r>
        <w:rPr>
          <w:rFonts w:ascii="Times New Roman" w:cs="Times New Roman" w:eastAsia="Times New Roman" w:hAnsi="Times New Roman"/>
          <w:sz w:val="20"/>
          <w:szCs w:val="20"/>
          <w:b w:val="1"/>
          <w:bCs w:val="1"/>
          <w:i w:val="1"/>
          <w:iCs w:val="1"/>
          <w:color w:val="231F20"/>
        </w:rPr>
        <w:t>Common Stock</w:t>
      </w:r>
    </w:p>
    <w:p>
      <w:pPr>
        <w:spacing w:after="0" w:line="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20"/>
          <w:szCs w:val="20"/>
          <w:color w:val="231F20"/>
        </w:rPr>
        <w:t>The Company is authorized to issue 150,000,000 shares of common stock at a par value of $0.0001 per share. Holders of voting common stock are entitled to one vote per share. In addition, holders of voting common stock are entitled to receive dividends, if and when declared by the Company’s Board of Directors. As of December 31, 2025, no dividends have been declared.</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Company reserved common stock for future issuance as follows:</w:t>
      </w:r>
    </w:p>
    <w:p>
      <w:pPr>
        <w:spacing w:after="0" w:line="134" w:lineRule="exact"/>
        <w:rPr>
          <w:sz w:val="20"/>
          <w:szCs w:val="20"/>
          <w:color w:val="auto"/>
        </w:rPr>
      </w:pPr>
    </w:p>
    <w:tbl>
      <w:tblPr>
        <w:tblLayout w:type="fixed"/>
        <w:tblInd w:w="784"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146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300" w:type="dxa"/>
            <w:vAlign w:val="bottom"/>
          </w:tcPr>
          <w:p>
            <w:pPr>
              <w:spacing w:after="0"/>
              <w:rPr>
                <w:sz w:val="16"/>
                <w:szCs w:val="16"/>
                <w:color w:val="auto"/>
              </w:rPr>
            </w:pPr>
          </w:p>
        </w:tc>
        <w:tc>
          <w:tcPr>
            <w:tcW w:w="146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Outstanding options to purchase common stock</w:t>
            </w:r>
          </w:p>
        </w:tc>
        <w:tc>
          <w:tcPr>
            <w:tcW w:w="1460" w:type="dxa"/>
            <w:vAlign w:val="bottom"/>
          </w:tcPr>
          <w:p>
            <w:pPr>
              <w:jc w:val="right"/>
              <w:ind w:right="48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760" w:type="dxa"/>
            <w:vAlign w:val="bottom"/>
            <w:gridSpan w:val="2"/>
          </w:tcPr>
          <w:p>
            <w:pPr>
              <w:jc w:val="right"/>
              <w:ind w:right="48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7020" w:type="dxa"/>
            <w:vAlign w:val="bottom"/>
            <w:vMerge w:val="continue"/>
          </w:tcPr>
          <w:p>
            <w:pPr>
              <w:jc w:val="right"/>
              <w:ind w:right="4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4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1,951,417</w:t>
            </w:r>
          </w:p>
        </w:tc>
        <w:tc>
          <w:tcPr>
            <w:tcW w:w="300" w:type="dxa"/>
            <w:vAlign w:val="bottom"/>
          </w:tcPr>
          <w:p>
            <w:pPr>
              <w:spacing w:after="0"/>
              <w:rPr>
                <w:sz w:val="20"/>
                <w:szCs w:val="20"/>
                <w:color w:val="auto"/>
              </w:rPr>
            </w:pPr>
          </w:p>
        </w:tc>
        <w:tc>
          <w:tcPr>
            <w:tcW w:w="14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1,626,841</w:t>
            </w:r>
          </w:p>
        </w:tc>
        <w:tc>
          <w:tcPr>
            <w:tcW w:w="0" w:type="dxa"/>
            <w:vAlign w:val="bottom"/>
          </w:tcPr>
          <w:p>
            <w:pPr>
              <w:spacing w:after="0"/>
              <w:rPr>
                <w:sz w:val="1"/>
                <w:szCs w:val="1"/>
                <w:color w:val="auto"/>
              </w:rPr>
            </w:pPr>
          </w:p>
        </w:tc>
      </w:tr>
      <w:tr>
        <w:trPr>
          <w:trHeight w:val="244"/>
        </w:trPr>
        <w:tc>
          <w:tcPr>
            <w:tcW w:w="7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231F20"/>
                <w:w w:val="99"/>
              </w:rPr>
              <w:t>Unvested 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262,184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25,612</w:t>
            </w:r>
          </w:p>
        </w:tc>
        <w:tc>
          <w:tcPr>
            <w:tcW w:w="0" w:type="dxa"/>
            <w:vAlign w:val="bottom"/>
          </w:tcPr>
          <w:p>
            <w:pPr>
              <w:spacing w:after="0"/>
              <w:rPr>
                <w:sz w:val="1"/>
                <w:szCs w:val="1"/>
                <w:color w:val="auto"/>
              </w:rPr>
            </w:pPr>
          </w:p>
        </w:tc>
      </w:tr>
      <w:tr>
        <w:trPr>
          <w:trHeight w:val="24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Equity awards available for future issuance under the 2024 Equity Incentive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925,367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976,082</w:t>
            </w:r>
          </w:p>
        </w:tc>
        <w:tc>
          <w:tcPr>
            <w:tcW w:w="0" w:type="dxa"/>
            <w:vAlign w:val="bottom"/>
          </w:tcPr>
          <w:p>
            <w:pPr>
              <w:spacing w:after="0"/>
              <w:rPr>
                <w:sz w:val="1"/>
                <w:szCs w:val="1"/>
                <w:color w:val="auto"/>
              </w:rPr>
            </w:pPr>
          </w:p>
        </w:tc>
      </w:tr>
      <w:tr>
        <w:trPr>
          <w:trHeight w:val="249"/>
        </w:trPr>
        <w:tc>
          <w:tcPr>
            <w:tcW w:w="7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231F20"/>
                <w:w w:val="99"/>
              </w:rPr>
              <w:t>Shares reserved for purchase under the 2024 Employee Stock Purchase Plan ........</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295,906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147,343</w:t>
            </w:r>
          </w:p>
        </w:tc>
        <w:tc>
          <w:tcPr>
            <w:tcW w:w="0" w:type="dxa"/>
            <w:vAlign w:val="bottom"/>
          </w:tcPr>
          <w:p>
            <w:pPr>
              <w:spacing w:after="0"/>
              <w:rPr>
                <w:sz w:val="1"/>
                <w:szCs w:val="1"/>
                <w:color w:val="auto"/>
              </w:rPr>
            </w:pPr>
          </w:p>
        </w:tc>
      </w:tr>
      <w:tr>
        <w:trPr>
          <w:trHeight w:val="239"/>
        </w:trPr>
        <w:tc>
          <w:tcPr>
            <w:tcW w:w="702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231F20"/>
                <w:w w:val="99"/>
              </w:rPr>
              <w:t>..........................................................................................................................Total</w:t>
            </w:r>
          </w:p>
        </w:tc>
        <w:tc>
          <w:tcPr>
            <w:tcW w:w="14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3,434,874</w:t>
            </w:r>
          </w:p>
        </w:tc>
        <w:tc>
          <w:tcPr>
            <w:tcW w:w="300" w:type="dxa"/>
            <w:vAlign w:val="bottom"/>
          </w:tcPr>
          <w:p>
            <w:pPr>
              <w:spacing w:after="0"/>
              <w:rPr>
                <w:sz w:val="20"/>
                <w:szCs w:val="20"/>
                <w:color w:val="auto"/>
              </w:rPr>
            </w:pPr>
          </w:p>
        </w:tc>
        <w:tc>
          <w:tcPr>
            <w:tcW w:w="14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2,775,878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Preferred Stock</w:t>
      </w:r>
    </w:p>
    <w:p>
      <w:pPr>
        <w:spacing w:after="0" w:line="120" w:lineRule="exact"/>
        <w:rPr>
          <w:sz w:val="20"/>
          <w:szCs w:val="20"/>
          <w:color w:val="auto"/>
        </w:rPr>
      </w:pPr>
    </w:p>
    <w:p>
      <w:pPr>
        <w:ind w:left="4" w:right="260"/>
        <w:spacing w:after="0" w:line="277" w:lineRule="auto"/>
        <w:rPr>
          <w:sz w:val="20"/>
          <w:szCs w:val="20"/>
          <w:color w:val="auto"/>
        </w:rPr>
      </w:pPr>
      <w:r>
        <w:rPr>
          <w:rFonts w:ascii="Times New Roman" w:cs="Times New Roman" w:eastAsia="Times New Roman" w:hAnsi="Times New Roman"/>
          <w:sz w:val="20"/>
          <w:szCs w:val="20"/>
          <w:color w:val="231F20"/>
        </w:rPr>
        <w:t>The Company is authorized to issue 10,000,000 shares of undesignated preferred stock at a par value of $0.0001 per share, however no such shares were issued or outstanding as of December 31, 2025.</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Convertible Preferred Stock</w:t>
      </w:r>
    </w:p>
    <w:p>
      <w:pPr>
        <w:spacing w:after="0" w:line="120" w:lineRule="exact"/>
        <w:rPr>
          <w:sz w:val="20"/>
          <w:szCs w:val="20"/>
          <w:color w:val="auto"/>
        </w:rPr>
      </w:pPr>
    </w:p>
    <w:p>
      <w:pPr>
        <w:ind w:left="4" w:right="100"/>
        <w:spacing w:after="0" w:line="252" w:lineRule="auto"/>
        <w:rPr>
          <w:sz w:val="20"/>
          <w:szCs w:val="20"/>
          <w:color w:val="auto"/>
        </w:rPr>
      </w:pPr>
      <w:r>
        <w:rPr>
          <w:rFonts w:ascii="Times New Roman" w:cs="Times New Roman" w:eastAsia="Times New Roman" w:hAnsi="Times New Roman"/>
          <w:sz w:val="20"/>
          <w:szCs w:val="20"/>
          <w:color w:val="231F20"/>
        </w:rPr>
        <w:t>Prior to the conversion upon the closing of the Merger, Legacy Tectonic issued Series A-1, A-2, A-3 and A-4 convertible preferred stock (the “Convertible Preferred Stock”). Upon the closing of the Merger, all outstanding shares of the Convertible Preferred Stock were converted into 3,647,675 shares of common stock. No shares of Convertible Preferred Stock are authorized for issuance as of December 31, 2025.</w:t>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Changes in Capital Structure</w:t>
      </w:r>
    </w:p>
    <w:p>
      <w:pPr>
        <w:sectPr>
          <w:pgSz w:w="11880" w:h="15480" w:orient="portrait"/>
          <w:cols w:equalWidth="0" w:num="1">
            <w:col w:w="11064"/>
          </w:cols>
          <w:pgMar w:left="396" w:top="1440" w:right="420" w:bottom="6"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231F20"/>
        </w:rPr>
        <w:t>F-15</w:t>
      </w:r>
    </w:p>
    <w:p>
      <w:pPr>
        <w:sectPr>
          <w:pgSz w:w="11880" w:h="15480" w:orient="portrait"/>
          <w:cols w:equalWidth="0" w:num="1">
            <w:col w:w="11064"/>
          </w:cols>
          <w:pgMar w:left="396" w:top="1440" w:right="420" w:bottom="6" w:gutter="0" w:footer="0" w:header="0"/>
          <w:type w:val="continuous"/>
        </w:sectPr>
      </w:pPr>
    </w:p>
    <w:bookmarkStart w:id="109" w:name="page110"/>
    <w:bookmarkEnd w:id="109"/>
    <w:p>
      <w:pPr>
        <w:ind w:left="4" w:right="220"/>
        <w:spacing w:after="0" w:line="252" w:lineRule="auto"/>
        <w:rPr>
          <w:sz w:val="20"/>
          <w:szCs w:val="20"/>
          <w:color w:val="auto"/>
        </w:rPr>
      </w:pPr>
      <w:r>
        <w:rPr>
          <w:rFonts w:ascii="Times New Roman" w:cs="Times New Roman" w:eastAsia="Times New Roman" w:hAnsi="Times New Roman"/>
          <w:sz w:val="20"/>
          <w:szCs w:val="20"/>
          <w:color w:val="231F20"/>
        </w:rPr>
        <w:t>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The net proceeds from the Private Placement were approximately $173.1 million.</w:t>
      </w:r>
    </w:p>
    <w:p>
      <w:pPr>
        <w:spacing w:after="0" w:line="74" w:lineRule="exact"/>
        <w:rPr>
          <w:sz w:val="20"/>
          <w:szCs w:val="20"/>
          <w:color w:val="auto"/>
        </w:rPr>
      </w:pPr>
    </w:p>
    <w:p>
      <w:pPr>
        <w:ind w:left="4" w:right="180"/>
        <w:spacing w:after="0" w:line="278" w:lineRule="auto"/>
        <w:rPr>
          <w:sz w:val="20"/>
          <w:szCs w:val="20"/>
          <w:color w:val="auto"/>
        </w:rPr>
      </w:pPr>
      <w:r>
        <w:rPr>
          <w:rFonts w:ascii="Times New Roman" w:cs="Times New Roman" w:eastAsia="Times New Roman" w:hAnsi="Times New Roman"/>
          <w:sz w:val="19"/>
          <w:szCs w:val="19"/>
          <w:color w:val="231F20"/>
        </w:rPr>
        <w:t xml:space="preserve">Upon the closing of the Merger as described in Note 3, </w:t>
      </w:r>
      <w:r>
        <w:rPr>
          <w:rFonts w:ascii="Times New Roman" w:cs="Times New Roman" w:eastAsia="Times New Roman" w:hAnsi="Times New Roman"/>
          <w:sz w:val="19"/>
          <w:szCs w:val="19"/>
          <w:i w:val="1"/>
          <w:iCs w:val="1"/>
          <w:color w:val="231F20"/>
        </w:rPr>
        <w:t>Merger</w:t>
      </w:r>
      <w:r>
        <w:rPr>
          <w:rFonts w:ascii="Times New Roman" w:cs="Times New Roman" w:eastAsia="Times New Roman" w:hAnsi="Times New Roman"/>
          <w:sz w:val="19"/>
          <w:szCs w:val="19"/>
          <w:color w:val="231F20"/>
        </w:rPr>
        <w:t>, all outstanding shares of convertible preferred stock were converted into an aggregate of 3,647,675 shares of the Company’s common stock and $80.6 million of mezzanine equity was reclassified to common stock and additional paid-in capital. As of December 31, 2024, there were no shares of convertible preferred stock issued or outstanding.</w:t>
      </w:r>
    </w:p>
    <w:p>
      <w:pPr>
        <w:spacing w:after="0" w:line="49" w:lineRule="exact"/>
        <w:rPr>
          <w:sz w:val="20"/>
          <w:szCs w:val="20"/>
          <w:color w:val="auto"/>
        </w:rPr>
      </w:pPr>
    </w:p>
    <w:p>
      <w:pPr>
        <w:ind w:left="4" w:right="100"/>
        <w:spacing w:after="0" w:line="251" w:lineRule="auto"/>
        <w:rPr>
          <w:sz w:val="20"/>
          <w:szCs w:val="20"/>
          <w:color w:val="auto"/>
        </w:rPr>
      </w:pPr>
      <w:r>
        <w:rPr>
          <w:rFonts w:ascii="Times New Roman" w:cs="Times New Roman" w:eastAsia="Times New Roman" w:hAnsi="Times New Roman"/>
          <w:sz w:val="20"/>
          <w:szCs w:val="20"/>
          <w:color w:val="231F20"/>
        </w:rPr>
        <w:t>Upon the closing of the Merger, the principal balance of the SAFE instruments was automatically redeemed for 2,752,216 shares of Legacy Tectonic common stock at the conversion price of $12.40 per share immediately prior to the Merger closing. At closing, shares of Legacy Tectonic common stock issued pursuant to the redemption of Legacy Tectonic SAFEs were converted into 1,470,839 shares of common stock based on the Exchange Ratio, pursuant to the Merger Agreement.</w:t>
      </w:r>
    </w:p>
    <w:p>
      <w:pPr>
        <w:spacing w:after="0" w:line="76"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20"/>
          <w:szCs w:val="20"/>
          <w:color w:val="231F20"/>
        </w:rPr>
        <w:t>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common stock upon the closing of the Merger based on the exchange ratio, pursuant to the Merger Agreement.</w:t>
      </w:r>
    </w:p>
    <w:p>
      <w:pPr>
        <w:spacing w:after="0" w:line="72" w:lineRule="exact"/>
        <w:rPr>
          <w:sz w:val="20"/>
          <w:szCs w:val="20"/>
          <w:color w:val="auto"/>
        </w:rPr>
      </w:pPr>
    </w:p>
    <w:p>
      <w:pPr>
        <w:ind w:left="4" w:right="8200" w:hanging="4"/>
        <w:spacing w:after="0" w:line="367" w:lineRule="auto"/>
        <w:tabs>
          <w:tab w:leader="none" w:pos="204" w:val="left"/>
        </w:tabs>
        <w:numPr>
          <w:ilvl w:val="0"/>
          <w:numId w:val="6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EQUITY INCENTIVE PLANS </w:t>
      </w:r>
      <w:r>
        <w:rPr>
          <w:rFonts w:ascii="Times New Roman" w:cs="Times New Roman" w:eastAsia="Times New Roman" w:hAnsi="Times New Roman"/>
          <w:sz w:val="20"/>
          <w:szCs w:val="20"/>
          <w:b w:val="1"/>
          <w:bCs w:val="1"/>
          <w:i w:val="1"/>
          <w:iCs w:val="1"/>
          <w:color w:val="231F20"/>
        </w:rPr>
        <w:t>2019 Equity Incentive Plan</w:t>
      </w:r>
    </w:p>
    <w:p>
      <w:pPr>
        <w:spacing w:after="0" w:line="1"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20"/>
          <w:szCs w:val="20"/>
          <w:color w:val="231F20"/>
        </w:rPr>
        <w:t>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as described below, no further grants are to be made under the 2019 Plan; however, outstanding equity awards granted under the 2019 Plan continue to be governed by the terms of the 2019 Plan.</w:t>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2024 Equity Incentive Plan</w:t>
      </w:r>
    </w:p>
    <w:p>
      <w:pPr>
        <w:spacing w:after="0" w:line="120" w:lineRule="exact"/>
        <w:rPr>
          <w:sz w:val="20"/>
          <w:szCs w:val="20"/>
          <w:color w:val="auto"/>
        </w:rPr>
      </w:pPr>
    </w:p>
    <w:p>
      <w:pPr>
        <w:ind w:left="4"/>
        <w:spacing w:after="0" w:line="245" w:lineRule="auto"/>
        <w:rPr>
          <w:sz w:val="20"/>
          <w:szCs w:val="20"/>
          <w:color w:val="auto"/>
        </w:rPr>
      </w:pPr>
      <w:r>
        <w:rPr>
          <w:rFonts w:ascii="Times New Roman" w:cs="Times New Roman" w:eastAsia="Times New Roman" w:hAnsi="Times New Roman"/>
          <w:sz w:val="20"/>
          <w:szCs w:val="20"/>
          <w:color w:val="231F20"/>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number of shares of common stock available for issuance under the 2024 Plan will automatically increase on January 1st of each year through January 1, 2034, in an amount equal to the lesser of (a) 5% of the total number of shares of common stock issued and outstanding determined as of the day prior to such increase, or (b) an amount determined by the Board of Directors. </w:t>
      </w:r>
      <w:r>
        <w:rPr>
          <w:rFonts w:ascii="Times New Roman" w:cs="Times New Roman" w:eastAsia="Times New Roman" w:hAnsi="Times New Roman"/>
          <w:sz w:val="19"/>
          <w:szCs w:val="19"/>
          <w:color w:val="231F20"/>
        </w:rPr>
        <w:t>On January 1, 2026, the number of shares of common stock available for issuance under the 2024 Plan automatically increased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by 936,912 shares.</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2024 Employee Stock Purchase Plan</w:t>
      </w:r>
    </w:p>
    <w:p>
      <w:pPr>
        <w:spacing w:after="0" w:line="120" w:lineRule="exact"/>
        <w:rPr>
          <w:sz w:val="20"/>
          <w:szCs w:val="20"/>
          <w:color w:val="auto"/>
        </w:rPr>
      </w:pPr>
    </w:p>
    <w:p>
      <w:pPr>
        <w:ind w:left="4"/>
        <w:spacing w:after="0" w:line="247" w:lineRule="auto"/>
        <w:rPr>
          <w:sz w:val="20"/>
          <w:szCs w:val="20"/>
          <w:color w:val="auto"/>
        </w:rPr>
      </w:pPr>
      <w:r>
        <w:rPr>
          <w:rFonts w:ascii="Times New Roman" w:cs="Times New Roman" w:eastAsia="Times New Roman" w:hAnsi="Times New Roman"/>
          <w:sz w:val="20"/>
          <w:szCs w:val="20"/>
          <w:color w:val="231F20"/>
        </w:rPr>
        <w:t xml:space="preserve">On June 20, 2024, the Company adopted the 2024 Employee Stock Purchase Plan (the “ESPP”), which became effective upon completion of the Merger. </w:t>
      </w:r>
      <w:r>
        <w:rPr>
          <w:rFonts w:ascii="Times New Roman" w:cs="Times New Roman" w:eastAsia="Times New Roman" w:hAnsi="Times New Roman"/>
          <w:sz w:val="19"/>
          <w:szCs w:val="19"/>
          <w:color w:val="231F20"/>
        </w:rPr>
        <w:t>The number of shares of our common stock available for issuance under the ESPP will automatically increase on January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1st of each year through </w:t>
      </w:r>
      <w:r>
        <w:rPr>
          <w:rFonts w:ascii="Times New Roman" w:cs="Times New Roman" w:eastAsia="Times New Roman" w:hAnsi="Times New Roman"/>
          <w:sz w:val="20"/>
          <w:szCs w:val="20"/>
          <w:color w:val="231F20"/>
        </w:rPr>
        <w:t>2034, in an amount equal to the lesser of (a) 1% of the total number of shares of common stock issued and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 xml:space="preserve">outstanding determined as of the day prior to such increase, (b) a number of shares qual to three times the initial share reserve , or (c) </w:t>
      </w:r>
      <w:r>
        <w:rPr>
          <w:rFonts w:ascii="Times New Roman" w:cs="Times New Roman" w:eastAsia="Times New Roman" w:hAnsi="Times New Roman"/>
          <w:sz w:val="19"/>
          <w:szCs w:val="19"/>
          <w:color w:val="231F20"/>
        </w:rPr>
        <w:t>an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amount determined by the Board of Directors</w:t>
      </w:r>
      <w:r>
        <w:rPr>
          <w:rFonts w:ascii="Times New Roman" w:cs="Times New Roman" w:eastAsia="Times New Roman" w:hAnsi="Times New Roman"/>
          <w:sz w:val="20"/>
          <w:szCs w:val="20"/>
          <w:color w:val="231F20"/>
        </w:rPr>
        <w:t>.</w:t>
      </w:r>
      <w:r>
        <w:rPr>
          <w:rFonts w:ascii="Times New Roman" w:cs="Times New Roman" w:eastAsia="Times New Roman" w:hAnsi="Times New Roman"/>
          <w:sz w:val="19"/>
          <w:szCs w:val="19"/>
          <w:color w:val="231F20"/>
        </w:rPr>
        <w:t xml:space="preserve"> On January 1, 2026, the number of shares of common stock available for issuance under the ESPP increased by 187,382 shares. </w:t>
      </w:r>
      <w:r>
        <w:rPr>
          <w:rFonts w:ascii="Times New Roman" w:cs="Times New Roman" w:eastAsia="Times New Roman" w:hAnsi="Times New Roman"/>
          <w:sz w:val="20"/>
          <w:szCs w:val="20"/>
          <w:color w:val="231F20"/>
        </w:rPr>
        <w:t>No offering periods under the ESPP have been initiated as of December 31, 2025.</w:t>
      </w:r>
    </w:p>
    <w:p>
      <w:pPr>
        <w:spacing w:after="0" w:line="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Stock options granted to employees generally vest over a four-year period in multiple tranches and have a contractual term of ten years.</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Options granted to the Board of Directors generally vest over a one-year period.</w:t>
      </w: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following table summarizes the stock option activity under the 2019 Plan and 2024 Plan for the year ended December 31, 2025:</w:t>
      </w:r>
    </w:p>
    <w:p>
      <w:pPr>
        <w:sectPr>
          <w:pgSz w:w="11880" w:h="15480" w:orient="portrait"/>
          <w:cols w:equalWidth="0" w:num="1">
            <w:col w:w="11084"/>
          </w:cols>
          <w:pgMar w:left="396" w:top="750"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11084"/>
          </w:cols>
          <w:pgMar w:left="396" w:top="750" w:right="400" w:bottom="6" w:gutter="0" w:footer="0" w:header="0"/>
          <w:type w:val="continuous"/>
        </w:sectPr>
      </w:pPr>
    </w:p>
    <w:bookmarkStart w:id="110" w:name="page111"/>
    <w:bookmarkEnd w:id="110"/>
    <w:tbl>
      <w:tblPr>
        <w:tblLayout w:type="fixed"/>
        <w:tblInd w:w="78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Outstanding Options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14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w w:val="98"/>
              </w:rPr>
              <w:t>Weighted-</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Underlying</w:t>
            </w:r>
          </w:p>
        </w:tc>
        <w:tc>
          <w:tcPr>
            <w:tcW w:w="14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14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Contractual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8"/>
              </w:rPr>
              <w:t>Intrinsic</w:t>
            </w:r>
          </w:p>
        </w:tc>
        <w:tc>
          <w:tcPr>
            <w:tcW w:w="0" w:type="dxa"/>
            <w:vAlign w:val="bottom"/>
          </w:tcPr>
          <w:p>
            <w:pPr>
              <w:spacing w:after="0"/>
              <w:rPr>
                <w:sz w:val="1"/>
                <w:szCs w:val="1"/>
                <w:color w:val="auto"/>
              </w:rPr>
            </w:pPr>
          </w:p>
        </w:tc>
      </w:tr>
      <w:tr>
        <w:trPr>
          <w:trHeight w:val="203"/>
        </w:trPr>
        <w:tc>
          <w:tcPr>
            <w:tcW w:w="51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Outstanding as of January 1, 2025</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Options</w:t>
            </w:r>
          </w:p>
        </w:tc>
        <w:tc>
          <w:tcPr>
            <w:tcW w:w="140" w:type="dxa"/>
            <w:vAlign w:val="bottom"/>
          </w:tcPr>
          <w:p>
            <w:pPr>
              <w:spacing w:after="0"/>
              <w:rPr>
                <w:sz w:val="17"/>
                <w:szCs w:val="17"/>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w w:val="95"/>
              </w:rPr>
              <w:t>Price</w:t>
            </w: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Term (Years)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0" w:type="dxa"/>
            <w:vAlign w:val="bottom"/>
          </w:tcPr>
          <w:p>
            <w:pPr>
              <w:spacing w:after="0"/>
              <w:rPr>
                <w:sz w:val="1"/>
                <w:szCs w:val="1"/>
                <w:color w:val="auto"/>
              </w:rPr>
            </w:pPr>
          </w:p>
        </w:tc>
      </w:tr>
      <w:tr>
        <w:trPr>
          <w:trHeight w:val="234"/>
        </w:trPr>
        <w:tc>
          <w:tcPr>
            <w:tcW w:w="5180" w:type="dxa"/>
            <w:vAlign w:val="bottom"/>
            <w:vMerge w:val="continue"/>
          </w:tcPr>
          <w:p>
            <w:pPr>
              <w:jc w:val="right"/>
              <w:ind w:right="6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1,534,361</w:t>
            </w:r>
          </w:p>
        </w:tc>
        <w:tc>
          <w:tcPr>
            <w:tcW w:w="240" w:type="dxa"/>
            <w:vAlign w:val="bottom"/>
          </w:tcPr>
          <w:p>
            <w:pPr>
              <w:spacing w:after="0"/>
              <w:rPr>
                <w:sz w:val="20"/>
                <w:szCs w:val="20"/>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12.49</w:t>
            </w:r>
          </w:p>
        </w:tc>
        <w:tc>
          <w:tcPr>
            <w:tcW w:w="220" w:type="dxa"/>
            <w:vAlign w:val="bottom"/>
          </w:tcPr>
          <w:p>
            <w:pPr>
              <w:spacing w:after="0"/>
              <w:rPr>
                <w:sz w:val="20"/>
                <w:szCs w:val="20"/>
                <w:color w:val="auto"/>
              </w:rPr>
            </w:pPr>
          </w:p>
        </w:tc>
        <w:tc>
          <w:tcPr>
            <w:tcW w:w="1120" w:type="dxa"/>
            <w:vAlign w:val="bottom"/>
            <w:tcBorders>
              <w:top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231F20"/>
            </w:tcBorders>
          </w:tcPr>
          <w:p>
            <w:pPr>
              <w:spacing w:after="0"/>
              <w:rPr>
                <w:sz w:val="20"/>
                <w:szCs w:val="20"/>
                <w:color w:val="auto"/>
              </w:rPr>
            </w:pPr>
          </w:p>
        </w:tc>
        <w:tc>
          <w:tcPr>
            <w:tcW w:w="94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Options granted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559,873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35.21</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Options exercised ...................................................................</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(114,558)</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3,240</w:t>
            </w:r>
          </w:p>
        </w:tc>
        <w:tc>
          <w:tcPr>
            <w:tcW w:w="0" w:type="dxa"/>
            <w:vAlign w:val="bottom"/>
          </w:tcPr>
          <w:p>
            <w:pPr>
              <w:spacing w:after="0"/>
              <w:rPr>
                <w:sz w:val="1"/>
                <w:szCs w:val="1"/>
                <w:color w:val="auto"/>
              </w:rPr>
            </w:pPr>
          </w:p>
        </w:tc>
      </w:tr>
      <w:tr>
        <w:trPr>
          <w:trHeight w:val="249"/>
        </w:trPr>
        <w:tc>
          <w:tcPr>
            <w:tcW w:w="5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Options forfeited and expired.................................................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(28,259)</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14.27</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.......................................OutstandingasofDecember31,2025</w:t>
            </w: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1,951,417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12,532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Options vested and exercisable as of December 31, 2025</w:t>
            </w: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13.45</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8,004</w:t>
            </w:r>
          </w:p>
        </w:tc>
        <w:tc>
          <w:tcPr>
            <w:tcW w:w="0" w:type="dxa"/>
            <w:vAlign w:val="bottom"/>
          </w:tcPr>
          <w:p>
            <w:pPr>
              <w:spacing w:after="0" w:line="20" w:lineRule="exact"/>
              <w:rPr>
                <w:sz w:val="1"/>
                <w:szCs w:val="1"/>
                <w:color w:val="auto"/>
              </w:rPr>
            </w:pPr>
          </w:p>
        </w:tc>
      </w:tr>
      <w:tr>
        <w:trPr>
          <w:trHeight w:val="229"/>
        </w:trPr>
        <w:tc>
          <w:tcPr>
            <w:tcW w:w="5180" w:type="dxa"/>
            <w:vAlign w:val="bottom"/>
            <w:vMerge w:val="continue"/>
          </w:tcPr>
          <w:p>
            <w:pPr>
              <w:jc w:val="right"/>
              <w:ind w:right="6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792,535</w:t>
            </w:r>
          </w:p>
        </w:tc>
        <w:tc>
          <w:tcPr>
            <w:tcW w:w="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w w:val="99"/>
              </w:rPr>
              <w:t>Options vested and expected to vest as of December 31, 2025..</w:t>
            </w: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19.55</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8.2</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12,532</w:t>
            </w:r>
          </w:p>
        </w:tc>
        <w:tc>
          <w:tcPr>
            <w:tcW w:w="0" w:type="dxa"/>
            <w:vAlign w:val="bottom"/>
          </w:tcPr>
          <w:p>
            <w:pPr>
              <w:spacing w:after="0" w:line="20" w:lineRule="exact"/>
              <w:rPr>
                <w:sz w:val="1"/>
                <w:szCs w:val="1"/>
                <w:color w:val="auto"/>
              </w:rPr>
            </w:pPr>
          </w:p>
        </w:tc>
      </w:tr>
      <w:tr>
        <w:trPr>
          <w:trHeight w:val="229"/>
        </w:trPr>
        <w:tc>
          <w:tcPr>
            <w:tcW w:w="5180" w:type="dxa"/>
            <w:vAlign w:val="bottom"/>
            <w:vMerge w:val="continue"/>
          </w:tcPr>
          <w:p>
            <w:pPr>
              <w:spacing w:after="0"/>
              <w:rPr>
                <w:sz w:val="19"/>
                <w:szCs w:val="19"/>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1,951,417</w:t>
            </w:r>
          </w:p>
        </w:tc>
        <w:tc>
          <w:tcPr>
            <w:tcW w:w="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-1805305</wp:posOffset>
            </wp:positionV>
            <wp:extent cx="325755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3257550" cy="381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During the years ended December 31, 2025 and 2024, the Company granted options with a weighted-average grant-date fair value of</w:t>
      </w:r>
    </w:p>
    <w:p>
      <w:pPr>
        <w:spacing w:after="0" w:line="2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231F20"/>
        </w:rPr>
        <w:t>$29.04 and $14.90 per share, respectively. The aggregate intrinsic value of stock options exercised during the years ended December 31, 2025 and 2024 was $3.2 million and $5.6 million, respectively.</w:t>
      </w:r>
    </w:p>
    <w:p>
      <w:pPr>
        <w:spacing w:after="0" w:line="7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stock option activity for the options that were assumed from AVROBIO upon the Merger closing for the year ended December 31, 2025:</w:t>
      </w:r>
    </w:p>
    <w:p>
      <w:pPr>
        <w:spacing w:after="0" w:line="148" w:lineRule="exact"/>
        <w:rPr>
          <w:sz w:val="20"/>
          <w:szCs w:val="20"/>
          <w:color w:val="auto"/>
        </w:rPr>
      </w:pPr>
    </w:p>
    <w:tbl>
      <w:tblPr>
        <w:tblLayout w:type="fixed"/>
        <w:tblInd w:w="78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Outstanding Options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Number of Shares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Underlying</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rPr>
              <w:t>Exercise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0" w:type="dxa"/>
            <w:vAlign w:val="bottom"/>
          </w:tcPr>
          <w:p>
            <w:pPr>
              <w:spacing w:after="0"/>
              <w:rPr>
                <w:sz w:val="1"/>
                <w:szCs w:val="1"/>
                <w:color w:val="auto"/>
              </w:rPr>
            </w:pPr>
          </w:p>
        </w:tc>
      </w:tr>
      <w:tr>
        <w:trPr>
          <w:trHeight w:val="203"/>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Outstanding as of January 1, 2025</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9"/>
              </w:rPr>
              <w:t>Options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Price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0" w:type="dxa"/>
            <w:vAlign w:val="bottom"/>
          </w:tcPr>
          <w:p>
            <w:pPr>
              <w:spacing w:after="0"/>
              <w:rPr>
                <w:sz w:val="1"/>
                <w:szCs w:val="1"/>
                <w:color w:val="auto"/>
              </w:rPr>
            </w:pPr>
          </w:p>
        </w:tc>
      </w:tr>
      <w:tr>
        <w:trPr>
          <w:trHeight w:val="234"/>
        </w:trPr>
        <w:tc>
          <w:tcPr>
            <w:tcW w:w="5960" w:type="dxa"/>
            <w:vAlign w:val="bottom"/>
            <w:vMerge w:val="continue"/>
          </w:tcPr>
          <w:p>
            <w:pPr>
              <w:jc w:val="right"/>
              <w:ind w:right="8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108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Options exercised...................................................................................</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(71,215)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12.61</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2,099</w:t>
            </w:r>
          </w:p>
        </w:tc>
        <w:tc>
          <w:tcPr>
            <w:tcW w:w="0" w:type="dxa"/>
            <w:vAlign w:val="bottom"/>
          </w:tcPr>
          <w:p>
            <w:pPr>
              <w:spacing w:after="0"/>
              <w:rPr>
                <w:sz w:val="1"/>
                <w:szCs w:val="1"/>
                <w:color w:val="auto"/>
              </w:rPr>
            </w:pPr>
          </w:p>
        </w:tc>
      </w:tr>
      <w:tr>
        <w:trPr>
          <w:trHeight w:val="249"/>
        </w:trPr>
        <w:tc>
          <w:tcPr>
            <w:tcW w:w="5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Options forfeited and expired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(21,265)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56.44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.......................................................OutstandingasofDecember31,2025</w:t>
            </w:r>
          </w:p>
        </w:tc>
        <w:tc>
          <w:tcPr>
            <w:tcW w:w="12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Options vested and exercisable as of December 31, 2025</w:t>
            </w:r>
          </w:p>
        </w:tc>
        <w:tc>
          <w:tcPr>
            <w:tcW w:w="1380" w:type="dxa"/>
            <w:vAlign w:val="bottom"/>
            <w:gridSpan w:val="2"/>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line="20" w:lineRule="exact"/>
              <w:rPr>
                <w:sz w:val="1"/>
                <w:szCs w:val="1"/>
                <w:color w:val="auto"/>
              </w:rPr>
            </w:pPr>
          </w:p>
        </w:tc>
      </w:tr>
      <w:tr>
        <w:trPr>
          <w:trHeight w:val="229"/>
        </w:trPr>
        <w:tc>
          <w:tcPr>
            <w:tcW w:w="5960" w:type="dxa"/>
            <w:vAlign w:val="bottom"/>
            <w:vMerge w:val="continue"/>
          </w:tcPr>
          <w:p>
            <w:pPr>
              <w:jc w:val="right"/>
              <w:ind w:right="8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Options vested and expected to vest as of December 31, 2025</w:t>
            </w:r>
          </w:p>
        </w:tc>
        <w:tc>
          <w:tcPr>
            <w:tcW w:w="1380" w:type="dxa"/>
            <w:vAlign w:val="bottom"/>
            <w:gridSpan w:val="2"/>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line="20" w:lineRule="exact"/>
              <w:rPr>
                <w:sz w:val="1"/>
                <w:szCs w:val="1"/>
                <w:color w:val="auto"/>
              </w:rPr>
            </w:pPr>
          </w:p>
        </w:tc>
      </w:tr>
      <w:tr>
        <w:trPr>
          <w:trHeight w:val="229"/>
        </w:trPr>
        <w:tc>
          <w:tcPr>
            <w:tcW w:w="5960" w:type="dxa"/>
            <w:vAlign w:val="bottom"/>
            <w:vMerge w:val="continue"/>
          </w:tcPr>
          <w:p>
            <w:pPr>
              <w:jc w:val="right"/>
              <w:ind w:right="8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-1533525</wp:posOffset>
            </wp:positionV>
            <wp:extent cx="27559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2755900" cy="381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no unexercised or outstanding stock options related to the Merger remain.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Stock Options Granted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utilizes the BSM option-pricing model to determine the fair value of stock options granted.</w:t>
      </w:r>
    </w:p>
    <w:p>
      <w:pPr>
        <w:spacing w:after="0" w:line="120"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assumptions used for estimating the fair value of stock options granted under the BSM option-pricing model:</w:t>
      </w:r>
    </w:p>
    <w:p>
      <w:pPr>
        <w:spacing w:after="0" w:line="183"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3280" w:type="dxa"/>
            <w:vAlign w:val="bottom"/>
            <w:tcBorders>
              <w:bottom w:val="single" w:sz="8" w:color="231F20"/>
            </w:tcBorders>
            <w:gridSpan w:val="3"/>
          </w:tcPr>
          <w:p>
            <w:pPr>
              <w:ind w:left="14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4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80" w:type="dxa"/>
            <w:vAlign w:val="bottom"/>
            <w:vMerge w:val="restart"/>
          </w:tcPr>
          <w:p>
            <w:pPr>
              <w:jc w:val="right"/>
              <w:ind w:right="3520"/>
              <w:spacing w:after="0"/>
              <w:rPr>
                <w:sz w:val="20"/>
                <w:szCs w:val="20"/>
                <w:color w:val="auto"/>
              </w:rPr>
            </w:pPr>
            <w:r>
              <w:rPr>
                <w:rFonts w:ascii="Times New Roman" w:cs="Times New Roman" w:eastAsia="Times New Roman" w:hAnsi="Times New Roman"/>
                <w:sz w:val="20"/>
                <w:szCs w:val="20"/>
                <w:color w:val="231F20"/>
                <w:w w:val="98"/>
              </w:rPr>
              <w:t>Expected term (in years)</w:t>
            </w:r>
          </w:p>
        </w:tc>
        <w:tc>
          <w:tcPr>
            <w:tcW w:w="2360" w:type="dxa"/>
            <w:vAlign w:val="bottom"/>
            <w:tcBorders>
              <w:bottom w:val="single" w:sz="8" w:color="231F20"/>
            </w:tcBorders>
          </w:tcPr>
          <w:p>
            <w:pPr>
              <w:jc w:val="right"/>
              <w:ind w:right="9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Pr>
          <w:p>
            <w:pPr>
              <w:spacing w:after="0"/>
              <w:rPr>
                <w:sz w:val="16"/>
                <w:szCs w:val="16"/>
                <w:color w:val="auto"/>
              </w:rPr>
            </w:pPr>
          </w:p>
        </w:tc>
        <w:tc>
          <w:tcPr>
            <w:tcW w:w="680" w:type="dxa"/>
            <w:vAlign w:val="bottom"/>
            <w:tcBorders>
              <w:bottom w:val="single" w:sz="8" w:color="231F20"/>
            </w:tcBorders>
          </w:tcPr>
          <w:p>
            <w:pPr>
              <w:spacing w:after="0"/>
              <w:rPr>
                <w:sz w:val="16"/>
                <w:szCs w:val="16"/>
                <w:color w:val="auto"/>
              </w:rPr>
            </w:pPr>
          </w:p>
        </w:tc>
        <w:tc>
          <w:tcPr>
            <w:tcW w:w="1440" w:type="dxa"/>
            <w:vAlign w:val="bottom"/>
            <w:tcBorders>
              <w:bottom w:val="single" w:sz="8" w:color="231F20"/>
            </w:tcBorders>
          </w:tcPr>
          <w:p>
            <w:pPr>
              <w:jc w:val="right"/>
              <w:ind w:right="80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5580" w:type="dxa"/>
            <w:vAlign w:val="bottom"/>
            <w:vMerge w:val="continue"/>
          </w:tcPr>
          <w:p>
            <w:pPr>
              <w:jc w:val="right"/>
              <w:ind w:right="16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5.50 - 6.25</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6.00 - 6.25</w:t>
            </w:r>
          </w:p>
        </w:tc>
        <w:tc>
          <w:tcPr>
            <w:tcW w:w="0" w:type="dxa"/>
            <w:vAlign w:val="bottom"/>
          </w:tcPr>
          <w:p>
            <w:pPr>
              <w:spacing w:after="0"/>
              <w:rPr>
                <w:sz w:val="1"/>
                <w:szCs w:val="1"/>
                <w:color w:val="auto"/>
              </w:rPr>
            </w:pPr>
          </w:p>
        </w:tc>
      </w:tr>
      <w:tr>
        <w:trPr>
          <w:trHeight w:val="244"/>
        </w:trPr>
        <w:tc>
          <w:tcPr>
            <w:tcW w:w="55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99"/>
              </w:rPr>
              <w:t>Expected volatility............................................................................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102.6% - 103.7%</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 - 104.0%</w:t>
            </w:r>
          </w:p>
        </w:tc>
        <w:tc>
          <w:tcPr>
            <w:tcW w:w="0" w:type="dxa"/>
            <w:vAlign w:val="bottom"/>
          </w:tcPr>
          <w:p>
            <w:pPr>
              <w:spacing w:after="0"/>
              <w:rPr>
                <w:sz w:val="1"/>
                <w:szCs w:val="1"/>
                <w:color w:val="auto"/>
              </w:rPr>
            </w:pPr>
          </w:p>
        </w:tc>
      </w:tr>
      <w:tr>
        <w:trPr>
          <w:trHeight w:val="244"/>
        </w:trPr>
        <w:tc>
          <w:tcPr>
            <w:tcW w:w="55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99"/>
              </w:rPr>
              <w:t>Risk-free interest rate........................................................................</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 - 4.43%</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4.10% - 4.26%</w:t>
            </w:r>
          </w:p>
        </w:tc>
        <w:tc>
          <w:tcPr>
            <w:tcW w:w="0" w:type="dxa"/>
            <w:vAlign w:val="bottom"/>
          </w:tcPr>
          <w:p>
            <w:pPr>
              <w:spacing w:after="0"/>
              <w:rPr>
                <w:sz w:val="1"/>
                <w:szCs w:val="1"/>
                <w:color w:val="auto"/>
              </w:rPr>
            </w:pPr>
          </w:p>
        </w:tc>
      </w:tr>
      <w:tr>
        <w:trPr>
          <w:trHeight w:val="266"/>
        </w:trPr>
        <w:tc>
          <w:tcPr>
            <w:tcW w:w="55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99"/>
              </w:rPr>
              <w:t>Expected dividend yield ...................................................................</w:t>
            </w:r>
          </w:p>
        </w:tc>
        <w:tc>
          <w:tcPr>
            <w:tcW w:w="2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 xml:space="preserve">Restricted stock units (“RSUs”), which are granted to employees, generally vest over a three-year period. The value of an RSU award is </w:t>
      </w:r>
      <w:r>
        <w:rPr>
          <w:rFonts w:ascii="Times New Roman" w:cs="Times New Roman" w:eastAsia="Times New Roman" w:hAnsi="Times New Roman"/>
          <w:sz w:val="19"/>
          <w:szCs w:val="19"/>
          <w:color w:val="231F20"/>
        </w:rPr>
        <w:t>based on the quoted market price of the Company's stock on the grant date</w:t>
      </w:r>
      <w:r>
        <w:rPr>
          <w:rFonts w:ascii="Times New Roman" w:cs="Times New Roman" w:eastAsia="Times New Roman" w:hAnsi="Times New Roman"/>
          <w:sz w:val="20"/>
          <w:szCs w:val="20"/>
          <w:color w:val="231F20"/>
        </w:rPr>
        <w:t>. The shares underlying the RSUs are not issued until the RSUs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vest. The following table summarizes the RSU activity for the year ended December 31, 2025:</w:t>
      </w:r>
    </w:p>
    <w:p>
      <w:pPr>
        <w:sectPr>
          <w:pgSz w:w="11880" w:h="15480" w:orient="portrait"/>
          <w:cols w:equalWidth="0" w:num="1">
            <w:col w:w="11080"/>
          </w:cols>
          <w:pgMar w:left="400" w:top="849"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F-17</w:t>
      </w:r>
    </w:p>
    <w:p>
      <w:pPr>
        <w:sectPr>
          <w:pgSz w:w="11880" w:h="15480" w:orient="portrait"/>
          <w:cols w:equalWidth="0" w:num="1">
            <w:col w:w="11080"/>
          </w:cols>
          <w:pgMar w:left="400" w:top="849" w:right="400" w:bottom="6" w:gutter="0" w:footer="0" w:header="0"/>
          <w:type w:val="continuous"/>
        </w:sectPr>
      </w:pPr>
    </w:p>
    <w:bookmarkStart w:id="111" w:name="page112"/>
    <w:bookmarkEnd w:id="111"/>
    <w:tbl>
      <w:tblPr>
        <w:tblLayout w:type="fixed"/>
        <w:tblInd w:w="78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3780" w:type="dxa"/>
            <w:vAlign w:val="bottom"/>
            <w:tcBorders>
              <w:bottom w:val="single" w:sz="8" w:color="231F20"/>
            </w:tcBorders>
            <w:gridSpan w:val="4"/>
          </w:tcPr>
          <w:p>
            <w:pPr>
              <w:jc w:val="right"/>
              <w:ind w:right="1168"/>
              <w:spacing w:after="0"/>
              <w:rPr>
                <w:sz w:val="20"/>
                <w:szCs w:val="20"/>
                <w:color w:val="auto"/>
              </w:rPr>
            </w:pPr>
            <w:r>
              <w:rPr>
                <w:rFonts w:ascii="Times New Roman" w:cs="Times New Roman" w:eastAsia="Times New Roman" w:hAnsi="Times New Roman"/>
                <w:sz w:val="16"/>
                <w:szCs w:val="16"/>
                <w:b w:val="1"/>
                <w:bCs w:val="1"/>
                <w:color w:val="231F20"/>
              </w:rPr>
              <w:t>Outstanding RSUs</w:t>
            </w: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ind w:right="28"/>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Weighted-</w:t>
            </w:r>
          </w:p>
        </w:tc>
        <w:tc>
          <w:tcPr>
            <w:tcW w:w="0" w:type="dxa"/>
            <w:vAlign w:val="bottom"/>
          </w:tcPr>
          <w:p>
            <w:pPr>
              <w:spacing w:after="0"/>
              <w:rPr>
                <w:sz w:val="1"/>
                <w:szCs w:val="1"/>
                <w:color w:val="auto"/>
              </w:rPr>
            </w:pPr>
          </w:p>
        </w:tc>
      </w:tr>
      <w:tr>
        <w:trPr>
          <w:trHeight w:val="184"/>
        </w:trPr>
        <w:tc>
          <w:tcPr>
            <w:tcW w:w="646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Number of Shares</w:t>
            </w:r>
          </w:p>
        </w:tc>
        <w:tc>
          <w:tcPr>
            <w:tcW w:w="100" w:type="dxa"/>
            <w:vAlign w:val="bottom"/>
          </w:tcPr>
          <w:p>
            <w:pPr>
              <w:spacing w:after="0"/>
              <w:rPr>
                <w:sz w:val="16"/>
                <w:szCs w:val="16"/>
                <w:color w:val="auto"/>
              </w:rPr>
            </w:pPr>
          </w:p>
        </w:tc>
        <w:tc>
          <w:tcPr>
            <w:tcW w:w="16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0" w:type="dxa"/>
            <w:vAlign w:val="bottom"/>
          </w:tcPr>
          <w:p>
            <w:pPr>
              <w:spacing w:after="0"/>
              <w:rPr>
                <w:sz w:val="1"/>
                <w:szCs w:val="1"/>
                <w:color w:val="auto"/>
              </w:rPr>
            </w:pPr>
          </w:p>
        </w:tc>
      </w:tr>
      <w:tr>
        <w:trPr>
          <w:trHeight w:val="184"/>
        </w:trPr>
        <w:tc>
          <w:tcPr>
            <w:tcW w:w="646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9"/>
              </w:rPr>
              <w:t>Underlying Outstanding</w:t>
            </w:r>
          </w:p>
        </w:tc>
        <w:tc>
          <w:tcPr>
            <w:tcW w:w="100" w:type="dxa"/>
            <w:vAlign w:val="bottom"/>
          </w:tcPr>
          <w:p>
            <w:pPr>
              <w:spacing w:after="0"/>
              <w:rPr>
                <w:sz w:val="16"/>
                <w:szCs w:val="16"/>
                <w:color w:val="auto"/>
              </w:rPr>
            </w:pPr>
          </w:p>
        </w:tc>
        <w:tc>
          <w:tcPr>
            <w:tcW w:w="16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w w:val="99"/>
              </w:rPr>
              <w:t>Grant Date Fair Value</w:t>
            </w:r>
          </w:p>
        </w:tc>
        <w:tc>
          <w:tcPr>
            <w:tcW w:w="0" w:type="dxa"/>
            <w:vAlign w:val="bottom"/>
          </w:tcPr>
          <w:p>
            <w:pPr>
              <w:spacing w:after="0"/>
              <w:rPr>
                <w:sz w:val="1"/>
                <w:szCs w:val="1"/>
                <w:color w:val="auto"/>
              </w:rPr>
            </w:pPr>
          </w:p>
        </w:tc>
      </w:tr>
      <w:tr>
        <w:trPr>
          <w:trHeight w:val="203"/>
        </w:trPr>
        <w:tc>
          <w:tcPr>
            <w:tcW w:w="64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Outstanding as of January 1, 2025</w:t>
            </w: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Units</w:t>
            </w:r>
          </w:p>
        </w:tc>
        <w:tc>
          <w:tcPr>
            <w:tcW w:w="100" w:type="dxa"/>
            <w:vAlign w:val="bottom"/>
          </w:tcPr>
          <w:p>
            <w:pPr>
              <w:spacing w:after="0"/>
              <w:rPr>
                <w:sz w:val="17"/>
                <w:szCs w:val="17"/>
                <w:color w:val="auto"/>
              </w:rPr>
            </w:pPr>
          </w:p>
        </w:tc>
        <w:tc>
          <w:tcPr>
            <w:tcW w:w="16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per Unit</w:t>
            </w:r>
          </w:p>
        </w:tc>
        <w:tc>
          <w:tcPr>
            <w:tcW w:w="0" w:type="dxa"/>
            <w:vAlign w:val="bottom"/>
          </w:tcPr>
          <w:p>
            <w:pPr>
              <w:spacing w:after="0"/>
              <w:rPr>
                <w:sz w:val="1"/>
                <w:szCs w:val="1"/>
                <w:color w:val="auto"/>
              </w:rPr>
            </w:pPr>
          </w:p>
        </w:tc>
      </w:tr>
      <w:tr>
        <w:trPr>
          <w:trHeight w:val="234"/>
        </w:trPr>
        <w:tc>
          <w:tcPr>
            <w:tcW w:w="646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25,612</w:t>
            </w:r>
          </w:p>
        </w:tc>
        <w:tc>
          <w:tcPr>
            <w:tcW w:w="260" w:type="dxa"/>
            <w:vAlign w:val="bottom"/>
          </w:tcPr>
          <w:p>
            <w:pPr>
              <w:spacing w:after="0"/>
              <w:rPr>
                <w:sz w:val="20"/>
                <w:szCs w:val="20"/>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44.90</w:t>
            </w:r>
          </w:p>
        </w:tc>
        <w:tc>
          <w:tcPr>
            <w:tcW w:w="0" w:type="dxa"/>
            <w:vAlign w:val="bottom"/>
          </w:tcPr>
          <w:p>
            <w:pPr>
              <w:spacing w:after="0"/>
              <w:rPr>
                <w:sz w:val="1"/>
                <w:szCs w:val="1"/>
                <w:color w:val="auto"/>
              </w:rPr>
            </w:pPr>
          </w:p>
        </w:tc>
      </w:tr>
      <w:tr>
        <w:trPr>
          <w:trHeight w:val="244"/>
        </w:trPr>
        <w:tc>
          <w:tcPr>
            <w:tcW w:w="64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Restricted stock units 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246,262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36.13</w:t>
            </w:r>
          </w:p>
        </w:tc>
        <w:tc>
          <w:tcPr>
            <w:tcW w:w="0" w:type="dxa"/>
            <w:vAlign w:val="bottom"/>
          </w:tcPr>
          <w:p>
            <w:pPr>
              <w:spacing w:after="0"/>
              <w:rPr>
                <w:sz w:val="1"/>
                <w:szCs w:val="1"/>
                <w:color w:val="auto"/>
              </w:rPr>
            </w:pPr>
          </w:p>
        </w:tc>
      </w:tr>
      <w:tr>
        <w:trPr>
          <w:trHeight w:val="244"/>
        </w:trPr>
        <w:tc>
          <w:tcPr>
            <w:tcW w:w="64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Restricted stock units vested ...........................................................................</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(7,561)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44.08</w:t>
            </w:r>
          </w:p>
        </w:tc>
        <w:tc>
          <w:tcPr>
            <w:tcW w:w="0" w:type="dxa"/>
            <w:vAlign w:val="bottom"/>
          </w:tcPr>
          <w:p>
            <w:pPr>
              <w:spacing w:after="0"/>
              <w:rPr>
                <w:sz w:val="1"/>
                <w:szCs w:val="1"/>
                <w:color w:val="auto"/>
              </w:rPr>
            </w:pPr>
          </w:p>
        </w:tc>
      </w:tr>
      <w:tr>
        <w:trPr>
          <w:trHeight w:val="249"/>
        </w:trPr>
        <w:tc>
          <w:tcPr>
            <w:tcW w:w="64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Restricted stock units forfeited........................................................................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(2,129)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48.01</w:t>
            </w:r>
          </w:p>
        </w:tc>
        <w:tc>
          <w:tcPr>
            <w:tcW w:w="0" w:type="dxa"/>
            <w:vAlign w:val="bottom"/>
          </w:tcPr>
          <w:p>
            <w:pPr>
              <w:spacing w:after="0"/>
              <w:rPr>
                <w:sz w:val="1"/>
                <w:szCs w:val="1"/>
                <w:color w:val="auto"/>
              </w:rPr>
            </w:pPr>
          </w:p>
        </w:tc>
      </w:tr>
      <w:tr>
        <w:trPr>
          <w:trHeight w:val="239"/>
        </w:trPr>
        <w:tc>
          <w:tcPr>
            <w:tcW w:w="64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................................................................OutstandingasofDecember31,2025</w:t>
            </w:r>
          </w:p>
        </w:tc>
        <w:tc>
          <w:tcPr>
            <w:tcW w:w="1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262,184</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Unvested and expected to vest as of December 31, 2025</w:t>
            </w:r>
          </w:p>
        </w:tc>
        <w:tc>
          <w:tcPr>
            <w:tcW w:w="17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36.66</w:t>
            </w:r>
          </w:p>
        </w:tc>
        <w:tc>
          <w:tcPr>
            <w:tcW w:w="0" w:type="dxa"/>
            <w:vAlign w:val="bottom"/>
          </w:tcPr>
          <w:p>
            <w:pPr>
              <w:spacing w:after="0" w:line="20" w:lineRule="exact"/>
              <w:rPr>
                <w:sz w:val="1"/>
                <w:szCs w:val="1"/>
                <w:color w:val="auto"/>
              </w:rPr>
            </w:pPr>
          </w:p>
        </w:tc>
      </w:tr>
      <w:tr>
        <w:trPr>
          <w:trHeight w:val="229"/>
        </w:trPr>
        <w:tc>
          <w:tcPr>
            <w:tcW w:w="6460" w:type="dxa"/>
            <w:vAlign w:val="bottom"/>
            <w:vMerge w:val="continue"/>
          </w:tcPr>
          <w:p>
            <w:pPr>
              <w:jc w:val="right"/>
              <w:ind w:right="10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1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262,184</w:t>
            </w:r>
          </w:p>
        </w:tc>
        <w:tc>
          <w:tcPr>
            <w:tcW w:w="2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7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During the years ended December 31, 2025 and 2024, the Company granted RSUs with a weighted-average grant date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$36.13 and $44.62 per unit, respectively. The total fair value of RSUs vested during the year ended December 31, 2025 was $0.1 million.</w:t>
      </w:r>
    </w:p>
    <w:p>
      <w:pPr>
        <w:spacing w:after="0"/>
        <w:rPr>
          <w:sz w:val="20"/>
          <w:szCs w:val="20"/>
          <w:color w:val="auto"/>
        </w:rPr>
      </w:pPr>
      <w:r>
        <w:rPr>
          <w:rFonts w:ascii="Times New Roman" w:cs="Times New Roman" w:eastAsia="Times New Roman" w:hAnsi="Times New Roman"/>
          <w:sz w:val="20"/>
          <w:szCs w:val="20"/>
          <w:color w:val="231F20"/>
        </w:rPr>
        <w:t>No RSUs vested during the year ended December 31, 2024.</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Upon vesting of RSUs, the Company withholds shares with a fair value equal to the minimum statutory tax withholding requirements. During the year ended December 31, 2025, 859 shares were withheld for tax purposes. Shares withheld are accounted for as a reduction of additional paid-in capital within stockholders’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is a summary of stock-based compensation expense recognized by function:</w:t>
      </w:r>
    </w:p>
    <w:p>
      <w:pPr>
        <w:spacing w:after="0" w:line="134"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700" w:type="dxa"/>
            <w:vAlign w:val="bottom"/>
            <w:tcBorders>
              <w:bottom w:val="single" w:sz="8" w:color="231F20"/>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5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vMerge w:val="restart"/>
          </w:tcPr>
          <w:p>
            <w:pPr>
              <w:jc w:val="right"/>
              <w:ind w:right="4760"/>
              <w:spacing w:after="0"/>
              <w:rPr>
                <w:sz w:val="20"/>
                <w:szCs w:val="20"/>
                <w:color w:val="auto"/>
              </w:rPr>
            </w:pPr>
            <w:r>
              <w:rPr>
                <w:rFonts w:ascii="Times New Roman" w:cs="Times New Roman" w:eastAsia="Times New Roman" w:hAnsi="Times New Roman"/>
                <w:sz w:val="20"/>
                <w:szCs w:val="20"/>
                <w:color w:val="231F20"/>
                <w:w w:val="98"/>
              </w:rPr>
              <w:t>General and administrative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2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top w:val="single" w:sz="8" w:color="231F20"/>
            </w:tcBorders>
          </w:tcPr>
          <w:p>
            <w:pPr>
              <w:jc w:val="right"/>
              <w:ind w:right="710"/>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6,003</w:t>
            </w:r>
          </w:p>
        </w:tc>
        <w:tc>
          <w:tcPr>
            <w:tcW w:w="260" w:type="dxa"/>
            <w:vAlign w:val="bottom"/>
          </w:tcPr>
          <w:p>
            <w:pPr>
              <w:spacing w:after="0"/>
              <w:rPr>
                <w:sz w:val="20"/>
                <w:szCs w:val="20"/>
                <w:color w:val="auto"/>
              </w:rPr>
            </w:pPr>
          </w:p>
        </w:tc>
        <w:tc>
          <w:tcPr>
            <w:tcW w:w="960" w:type="dxa"/>
            <w:vAlign w:val="bottom"/>
            <w:tcBorders>
              <w:top w:val="single" w:sz="8" w:color="231F20"/>
            </w:tcBorders>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2,309</w:t>
            </w:r>
          </w:p>
        </w:tc>
        <w:tc>
          <w:tcPr>
            <w:tcW w:w="0" w:type="dxa"/>
            <w:vAlign w:val="bottom"/>
          </w:tcPr>
          <w:p>
            <w:pPr>
              <w:spacing w:after="0"/>
              <w:rPr>
                <w:sz w:val="1"/>
                <w:szCs w:val="1"/>
                <w:color w:val="auto"/>
              </w:rPr>
            </w:pPr>
          </w:p>
        </w:tc>
      </w:tr>
      <w:tr>
        <w:trPr>
          <w:trHeight w:val="249"/>
        </w:trPr>
        <w:tc>
          <w:tcPr>
            <w:tcW w:w="7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Research and development.............................................................................................</w:t>
            </w:r>
          </w:p>
        </w:tc>
        <w:tc>
          <w:tcPr>
            <w:tcW w:w="9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4,494</w:t>
            </w:r>
          </w:p>
        </w:tc>
        <w:tc>
          <w:tcPr>
            <w:tcW w:w="260" w:type="dxa"/>
            <w:vAlign w:val="bottom"/>
          </w:tcPr>
          <w:p>
            <w:pPr>
              <w:spacing w:after="0"/>
              <w:rPr>
                <w:sz w:val="21"/>
                <w:szCs w:val="21"/>
                <w:color w:val="auto"/>
              </w:rPr>
            </w:pPr>
          </w:p>
        </w:tc>
        <w:tc>
          <w:tcPr>
            <w:tcW w:w="96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1,182</w:t>
            </w:r>
          </w:p>
        </w:tc>
        <w:tc>
          <w:tcPr>
            <w:tcW w:w="0" w:type="dxa"/>
            <w:vAlign w:val="bottom"/>
          </w:tcPr>
          <w:p>
            <w:pPr>
              <w:spacing w:after="0"/>
              <w:rPr>
                <w:sz w:val="1"/>
                <w:szCs w:val="1"/>
                <w:color w:val="auto"/>
              </w:rPr>
            </w:pPr>
          </w:p>
        </w:tc>
      </w:tr>
      <w:tr>
        <w:trPr>
          <w:trHeight w:val="239"/>
        </w:trPr>
        <w:tc>
          <w:tcPr>
            <w:tcW w:w="7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.....................................................................Totalstock-basedcompensationexpense</w:t>
            </w:r>
          </w:p>
        </w:tc>
        <w:tc>
          <w:tcPr>
            <w:tcW w:w="900" w:type="dxa"/>
            <w:vAlign w:val="bottom"/>
            <w:tcBorders>
              <w:bottom w:val="single" w:sz="8" w:color="231F20"/>
            </w:tcBorders>
          </w:tcPr>
          <w:p>
            <w:pPr>
              <w:jc w:val="right"/>
              <w:ind w:right="710"/>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10,497</w:t>
            </w:r>
          </w:p>
        </w:tc>
        <w:tc>
          <w:tcPr>
            <w:tcW w:w="260" w:type="dxa"/>
            <w:vAlign w:val="bottom"/>
          </w:tcPr>
          <w:p>
            <w:pPr>
              <w:spacing w:after="0"/>
              <w:rPr>
                <w:sz w:val="20"/>
                <w:szCs w:val="20"/>
                <w:color w:val="auto"/>
              </w:rPr>
            </w:pPr>
          </w:p>
        </w:tc>
        <w:tc>
          <w:tcPr>
            <w:tcW w:w="960" w:type="dxa"/>
            <w:vAlign w:val="bottom"/>
            <w:tcBorders>
              <w:bottom w:val="single" w:sz="8" w:color="231F20"/>
            </w:tcBorders>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3,491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unrecognized compensation expense and the weighted-average remaining period over which it is expected to be recognized, by type of award:</w:t>
      </w:r>
    </w:p>
    <w:p>
      <w:pPr>
        <w:spacing w:after="0" w:line="258"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6260" w:type="dxa"/>
            <w:vAlign w:val="bottom"/>
            <w:tcBorders>
              <w:bottom w:val="single" w:sz="8" w:color="231F20"/>
            </w:tcBorders>
            <w:gridSpan w:val="4"/>
          </w:tcPr>
          <w:p>
            <w:pPr>
              <w:ind w:left="2280"/>
              <w:spacing w:after="0"/>
              <w:rPr>
                <w:sz w:val="20"/>
                <w:szCs w:val="20"/>
                <w:color w:val="auto"/>
              </w:rPr>
            </w:pPr>
            <w:r>
              <w:rPr>
                <w:rFonts w:ascii="Times New Roman" w:cs="Times New Roman" w:eastAsia="Times New Roman" w:hAnsi="Times New Roman"/>
                <w:sz w:val="16"/>
                <w:szCs w:val="16"/>
                <w:b w:val="1"/>
                <w:bCs w:val="1"/>
                <w:color w:val="231F20"/>
              </w:rPr>
              <w:t>As of December 31, 2025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20" w:type="dxa"/>
            <w:vAlign w:val="bottom"/>
            <w:gridSpan w:val="2"/>
          </w:tcPr>
          <w:p>
            <w:pPr>
              <w:jc w:val="center"/>
              <w:ind w:right="40"/>
              <w:spacing w:after="0" w:line="215" w:lineRule="exact"/>
              <w:rPr>
                <w:sz w:val="20"/>
                <w:szCs w:val="20"/>
                <w:color w:val="auto"/>
              </w:rPr>
            </w:pPr>
            <w:r>
              <w:rPr>
                <w:rFonts w:ascii="Times New Roman" w:cs="Times New Roman" w:eastAsia="Times New Roman" w:hAnsi="Times New Roman"/>
                <w:sz w:val="20"/>
                <w:szCs w:val="20"/>
                <w:b w:val="1"/>
                <w:bCs w:val="1"/>
                <w:color w:val="231F20"/>
                <w:w w:val="99"/>
              </w:rPr>
              <w:t>Weighted Average Remaining</w:t>
            </w:r>
          </w:p>
        </w:tc>
        <w:tc>
          <w:tcPr>
            <w:tcW w:w="0" w:type="dxa"/>
            <w:vAlign w:val="bottom"/>
          </w:tcPr>
          <w:p>
            <w:pPr>
              <w:spacing w:after="0"/>
              <w:rPr>
                <w:sz w:val="1"/>
                <w:szCs w:val="1"/>
                <w:color w:val="auto"/>
              </w:rPr>
            </w:pPr>
          </w:p>
        </w:tc>
      </w:tr>
      <w:tr>
        <w:trPr>
          <w:trHeight w:val="253"/>
        </w:trPr>
        <w:tc>
          <w:tcPr>
            <w:tcW w:w="3960" w:type="dxa"/>
            <w:vAlign w:val="bottom"/>
            <w:vMerge w:val="restart"/>
          </w:tcPr>
          <w:p>
            <w:pPr>
              <w:jc w:val="right"/>
              <w:ind w:right="2760"/>
              <w:spacing w:after="0"/>
              <w:rPr>
                <w:sz w:val="20"/>
                <w:szCs w:val="20"/>
                <w:color w:val="auto"/>
              </w:rPr>
            </w:pPr>
            <w:r>
              <w:rPr>
                <w:rFonts w:ascii="Times New Roman" w:cs="Times New Roman" w:eastAsia="Times New Roman" w:hAnsi="Times New Roman"/>
                <w:sz w:val="20"/>
                <w:szCs w:val="20"/>
                <w:color w:val="231F20"/>
                <w:w w:val="98"/>
              </w:rPr>
              <w:t>Stock options</w:t>
            </w:r>
          </w:p>
        </w:tc>
        <w:tc>
          <w:tcPr>
            <w:tcW w:w="2900" w:type="dxa"/>
            <w:vAlign w:val="bottom"/>
          </w:tcPr>
          <w:p>
            <w:pPr>
              <w:jc w:val="right"/>
              <w:ind w:right="405"/>
              <w:spacing w:after="0"/>
              <w:rPr>
                <w:sz w:val="20"/>
                <w:szCs w:val="20"/>
                <w:color w:val="auto"/>
              </w:rPr>
            </w:pPr>
            <w:r>
              <w:rPr>
                <w:rFonts w:ascii="Times New Roman" w:cs="Times New Roman" w:eastAsia="Times New Roman" w:hAnsi="Times New Roman"/>
                <w:sz w:val="20"/>
                <w:szCs w:val="20"/>
                <w:b w:val="1"/>
                <w:bCs w:val="1"/>
                <w:color w:val="231F20"/>
              </w:rPr>
              <w:t>Unamortized Expense</w:t>
            </w:r>
          </w:p>
        </w:tc>
        <w:tc>
          <w:tcPr>
            <w:tcW w:w="440" w:type="dxa"/>
            <w:vAlign w:val="bottom"/>
          </w:tcPr>
          <w:p>
            <w:pPr>
              <w:spacing w:after="0"/>
              <w:rPr>
                <w:sz w:val="22"/>
                <w:szCs w:val="22"/>
                <w:color w:val="auto"/>
              </w:rPr>
            </w:pPr>
          </w:p>
        </w:tc>
        <w:tc>
          <w:tcPr>
            <w:tcW w:w="29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231F20"/>
                <w:w w:val="99"/>
              </w:rPr>
              <w:t>Recognition Period (Years)</w:t>
            </w:r>
          </w:p>
        </w:tc>
        <w:tc>
          <w:tcPr>
            <w:tcW w:w="0" w:type="dxa"/>
            <w:vAlign w:val="bottom"/>
          </w:tcPr>
          <w:p>
            <w:pPr>
              <w:spacing w:after="0"/>
              <w:rPr>
                <w:sz w:val="1"/>
                <w:szCs w:val="1"/>
                <w:color w:val="auto"/>
              </w:rPr>
            </w:pPr>
          </w:p>
        </w:tc>
      </w:tr>
      <w:tr>
        <w:trPr>
          <w:trHeight w:val="234"/>
        </w:trPr>
        <w:tc>
          <w:tcPr>
            <w:tcW w:w="3960" w:type="dxa"/>
            <w:vAlign w:val="bottom"/>
            <w:vMerge w:val="continue"/>
          </w:tcPr>
          <w:p>
            <w:pPr>
              <w:jc w:val="right"/>
              <w:ind w:right="26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2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21,445</w:t>
            </w:r>
          </w:p>
        </w:tc>
        <w:tc>
          <w:tcPr>
            <w:tcW w:w="440" w:type="dxa"/>
            <w:vAlign w:val="bottom"/>
          </w:tcPr>
          <w:p>
            <w:pPr>
              <w:spacing w:after="0"/>
              <w:rPr>
                <w:sz w:val="20"/>
                <w:szCs w:val="20"/>
                <w:color w:val="auto"/>
              </w:rPr>
            </w:pPr>
          </w:p>
        </w:tc>
        <w:tc>
          <w:tcPr>
            <w:tcW w:w="2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9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w w:val="98"/>
              </w:rPr>
              <w:t>RSUs ..............................................................</w:t>
            </w:r>
          </w:p>
        </w:tc>
        <w:tc>
          <w:tcPr>
            <w:tcW w:w="2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7,163</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Modification of Certain Stock Options</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 xml:space="preserve">In July 2024, the Company entered into a separation agreement with the Company’s Chief Operating Officer (the “Former Executive”). As part of the termination of employment, the Former Executive served as an advisor to the Company through March 31, 2025 (“Consulting Period”) on an as needed basis. Pursuant to the separation agreement, certain modifications to the Former Executive’s vested and non-vested 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w:t>
      </w:r>
      <w:r>
        <w:rPr>
          <w:rFonts w:ascii="Times New Roman" w:cs="Times New Roman" w:eastAsia="Times New Roman" w:hAnsi="Times New Roman"/>
          <w:sz w:val="20"/>
          <w:szCs w:val="20"/>
          <w:i w:val="1"/>
          <w:iCs w:val="1"/>
          <w:color w:val="231F20"/>
        </w:rPr>
        <w:t>Compensation—Stock Compensation</w:t>
      </w:r>
      <w:r>
        <w:rPr>
          <w:rFonts w:ascii="Times New Roman" w:cs="Times New Roman" w:eastAsia="Times New Roman" w:hAnsi="Times New Roman"/>
          <w:sz w:val="20"/>
          <w:szCs w:val="20"/>
          <w:color w:val="231F20"/>
        </w:rPr>
        <w:t>; therefore, the continued vesting of these awards represents a modification to the original award. During the year ended December 31, 2024, the Company recorded the incremental stock-based compensation expense of $0.4 million for the modification of the stock options of the Former Executive. This amount is included in general and administrative expenses on the Consolidated Statement of Operations and Comprehensive Loss.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NET LOSS PER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the computation of basic and diluted net loss per share:</w:t>
      </w:r>
    </w:p>
    <w:p>
      <w:pPr>
        <w:sectPr>
          <w:pgSz w:w="11880" w:h="15480" w:orient="portrait"/>
          <w:cols w:equalWidth="0" w:num="1">
            <w:col w:w="11060"/>
          </w:cols>
          <w:pgMar w:left="400" w:top="849" w:right="4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F-18</w:t>
      </w:r>
    </w:p>
    <w:p>
      <w:pPr>
        <w:sectPr>
          <w:pgSz w:w="11880" w:h="15480" w:orient="portrait"/>
          <w:cols w:equalWidth="0" w:num="1">
            <w:col w:w="11060"/>
          </w:cols>
          <w:pgMar w:left="400" w:top="849" w:right="420" w:bottom="6" w:gutter="0" w:footer="0" w:header="0"/>
          <w:type w:val="continuous"/>
        </w:sectPr>
      </w:pPr>
    </w:p>
    <w:bookmarkStart w:id="112" w:name="page113"/>
    <w:bookmarkEnd w:id="112"/>
    <w:tbl>
      <w:tblPr>
        <w:tblLayout w:type="fixed"/>
        <w:tblInd w:w="780" w:type="dxa"/>
        <w:tblCellMar>
          <w:top w:w="0" w:type="dxa"/>
          <w:left w:w="0" w:type="dxa"/>
          <w:bottom w:w="0" w:type="dxa"/>
          <w:right w:w="0" w:type="dxa"/>
        </w:tblCellMar>
      </w:tblPr>
      <w:tr>
        <w:trPr>
          <w:trHeight w:val="253"/>
        </w:trPr>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3000" w:type="dxa"/>
            <w:vAlign w:val="bottom"/>
            <w:tcBorders>
              <w:bottom w:val="single" w:sz="8" w:color="231F20"/>
            </w:tcBorders>
            <w:gridSpan w:val="4"/>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0" w:type="dxa"/>
            <w:vAlign w:val="bottom"/>
          </w:tcPr>
          <w:p>
            <w:pPr>
              <w:spacing w:after="0"/>
              <w:rPr>
                <w:sz w:val="1"/>
                <w:szCs w:val="1"/>
                <w:color w:val="auto"/>
              </w:rPr>
            </w:pPr>
          </w:p>
        </w:tc>
      </w:tr>
      <w:tr>
        <w:trPr>
          <w:trHeight w:val="239"/>
        </w:trPr>
        <w:tc>
          <w:tcPr>
            <w:tcW w:w="70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Numerator:</w:t>
            </w:r>
          </w:p>
        </w:tc>
        <w:tc>
          <w:tcPr>
            <w:tcW w:w="2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0" w:type="dxa"/>
            <w:vAlign w:val="bottom"/>
          </w:tcPr>
          <w:p>
            <w:pPr>
              <w:spacing w:after="0"/>
              <w:rPr>
                <w:sz w:val="1"/>
                <w:szCs w:val="1"/>
                <w:color w:val="auto"/>
              </w:rPr>
            </w:pPr>
          </w:p>
        </w:tc>
      </w:tr>
      <w:tr>
        <w:trPr>
          <w:trHeight w:val="234"/>
        </w:trPr>
        <w:tc>
          <w:tcPr>
            <w:tcW w:w="7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(74,151)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(57,982)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Denominator:</w:t>
            </w:r>
          </w:p>
        </w:tc>
        <w:tc>
          <w:tcPr>
            <w:tcW w:w="2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Weighted-average common shares outstanding, basic and diluted............................</w:t>
            </w:r>
          </w:p>
        </w:tc>
        <w:tc>
          <w:tcPr>
            <w:tcW w:w="2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18,322,533</w:t>
            </w:r>
          </w:p>
        </w:tc>
        <w:tc>
          <w:tcPr>
            <w:tcW w:w="1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8,490,171</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Net loss per share, basic and diluted</w:t>
            </w:r>
          </w:p>
        </w:tc>
        <w:tc>
          <w:tcPr>
            <w:tcW w:w="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vMerge w:val="continue"/>
          </w:tcPr>
          <w:p>
            <w:pPr>
              <w:ind w:left="3100"/>
              <w:spacing w:after="0" w:line="185"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9"/>
                <w:szCs w:val="19"/>
                <w:color w:val="auto"/>
              </w:rPr>
            </w:pPr>
          </w:p>
        </w:tc>
        <w:tc>
          <w:tcPr>
            <w:tcW w:w="280" w:type="dxa"/>
            <w:vAlign w:val="bottom"/>
            <w:tcBorders>
              <w:top w:val="single" w:sz="8" w:color="231F20"/>
              <w:bottom w:val="single" w:sz="8" w:color="231F20"/>
            </w:tcBorders>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(4.05)</w:t>
            </w:r>
          </w:p>
        </w:tc>
        <w:tc>
          <w:tcPr>
            <w:tcW w:w="160" w:type="dxa"/>
            <w:vAlign w:val="bottom"/>
          </w:tcPr>
          <w:p>
            <w:pPr>
              <w:spacing w:after="0"/>
              <w:rPr>
                <w:sz w:val="19"/>
                <w:szCs w:val="19"/>
                <w:color w:val="auto"/>
              </w:rPr>
            </w:pPr>
          </w:p>
        </w:tc>
        <w:tc>
          <w:tcPr>
            <w:tcW w:w="320" w:type="dxa"/>
            <w:vAlign w:val="bottom"/>
            <w:tcBorders>
              <w:top w:val="single" w:sz="8" w:color="231F20"/>
              <w:bottom w:val="single" w:sz="8" w:color="231F20"/>
            </w:tcBorders>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following outstanding shares of potentially dilutive securities were excluded from the computation of diluted net loss per share for the periods presented because including them would have been antidilutive:</w:t>
      </w: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253"/>
        </w:trPr>
        <w:tc>
          <w:tcPr>
            <w:tcW w:w="6960" w:type="dxa"/>
            <w:vAlign w:val="bottom"/>
          </w:tcPr>
          <w:p>
            <w:pPr>
              <w:spacing w:after="0"/>
              <w:rPr>
                <w:sz w:val="22"/>
                <w:szCs w:val="22"/>
                <w:color w:val="auto"/>
              </w:rPr>
            </w:pPr>
          </w:p>
        </w:tc>
        <w:tc>
          <w:tcPr>
            <w:tcW w:w="3340" w:type="dxa"/>
            <w:vAlign w:val="bottom"/>
            <w:tcBorders>
              <w:bottom w:val="single" w:sz="8" w:color="231F20"/>
            </w:tcBorders>
            <w:gridSpan w:val="3"/>
          </w:tcPr>
          <w:p>
            <w:pPr>
              <w:jc w:val="right"/>
              <w:ind w:right="780"/>
              <w:spacing w:after="0"/>
              <w:rPr>
                <w:sz w:val="20"/>
                <w:szCs w:val="20"/>
                <w:color w:val="auto"/>
              </w:rPr>
            </w:pPr>
            <w:r>
              <w:rPr>
                <w:rFonts w:ascii="Times New Roman" w:cs="Times New Roman" w:eastAsia="Times New Roman" w:hAnsi="Times New Roman"/>
                <w:sz w:val="20"/>
                <w:szCs w:val="20"/>
                <w:b w:val="1"/>
                <w:bCs w:val="1"/>
                <w:color w:val="231F20"/>
              </w:rPr>
              <w:t>As of December 31,</w:t>
            </w:r>
          </w:p>
        </w:tc>
        <w:tc>
          <w:tcPr>
            <w:tcW w:w="0" w:type="dxa"/>
            <w:vAlign w:val="bottom"/>
          </w:tcPr>
          <w:p>
            <w:pPr>
              <w:spacing w:after="0"/>
              <w:rPr>
                <w:sz w:val="1"/>
                <w:szCs w:val="1"/>
                <w:color w:val="auto"/>
              </w:rPr>
            </w:pPr>
          </w:p>
        </w:tc>
      </w:tr>
      <w:tr>
        <w:trPr>
          <w:trHeight w:val="239"/>
        </w:trPr>
        <w:tc>
          <w:tcPr>
            <w:tcW w:w="6960" w:type="dxa"/>
            <w:vAlign w:val="bottom"/>
            <w:vMerge w:val="restart"/>
          </w:tcPr>
          <w:p>
            <w:pPr>
              <w:jc w:val="right"/>
              <w:ind w:right="4040"/>
              <w:spacing w:after="0"/>
              <w:rPr>
                <w:sz w:val="20"/>
                <w:szCs w:val="20"/>
                <w:color w:val="auto"/>
              </w:rPr>
            </w:pPr>
            <w:r>
              <w:rPr>
                <w:rFonts w:ascii="Times New Roman" w:cs="Times New Roman" w:eastAsia="Times New Roman" w:hAnsi="Times New Roman"/>
                <w:sz w:val="20"/>
                <w:szCs w:val="20"/>
                <w:color w:val="231F20"/>
                <w:w w:val="99"/>
              </w:rPr>
              <w:t>Options to purchase common stock</w:t>
            </w:r>
          </w:p>
        </w:tc>
        <w:tc>
          <w:tcPr>
            <w:tcW w:w="1600" w:type="dxa"/>
            <w:vAlign w:val="bottom"/>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0" w:type="dxa"/>
            <w:vAlign w:val="bottom"/>
          </w:tcPr>
          <w:p>
            <w:pPr>
              <w:spacing w:after="0"/>
              <w:rPr>
                <w:sz w:val="1"/>
                <w:szCs w:val="1"/>
                <w:color w:val="auto"/>
              </w:rPr>
            </w:pPr>
          </w:p>
        </w:tc>
      </w:tr>
      <w:tr>
        <w:trPr>
          <w:trHeight w:val="234"/>
        </w:trPr>
        <w:tc>
          <w:tcPr>
            <w:tcW w:w="6960" w:type="dxa"/>
            <w:vAlign w:val="bottom"/>
            <w:vMerge w:val="continue"/>
          </w:tcPr>
          <w:p>
            <w:pPr>
              <w:jc w:val="right"/>
              <w:ind w:right="100"/>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1,951,417</w:t>
            </w:r>
          </w:p>
        </w:tc>
        <w:tc>
          <w:tcPr>
            <w:tcW w:w="180" w:type="dxa"/>
            <w:vAlign w:val="bottom"/>
          </w:tcPr>
          <w:p>
            <w:pPr>
              <w:spacing w:after="0"/>
              <w:rPr>
                <w:sz w:val="20"/>
                <w:szCs w:val="20"/>
                <w:color w:val="auto"/>
              </w:rPr>
            </w:pPr>
          </w:p>
        </w:tc>
        <w:tc>
          <w:tcPr>
            <w:tcW w:w="15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1,626,841</w:t>
            </w:r>
          </w:p>
        </w:tc>
        <w:tc>
          <w:tcPr>
            <w:tcW w:w="0" w:type="dxa"/>
            <w:vAlign w:val="bottom"/>
          </w:tcPr>
          <w:p>
            <w:pPr>
              <w:spacing w:after="0"/>
              <w:rPr>
                <w:sz w:val="1"/>
                <w:szCs w:val="1"/>
                <w:color w:val="auto"/>
              </w:rPr>
            </w:pPr>
          </w:p>
        </w:tc>
      </w:tr>
      <w:tr>
        <w:trPr>
          <w:trHeight w:val="249"/>
        </w:trPr>
        <w:tc>
          <w:tcPr>
            <w:tcW w:w="6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Unvested restricted stock units......................................................................................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262,184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25,612</w:t>
            </w:r>
          </w:p>
        </w:tc>
        <w:tc>
          <w:tcPr>
            <w:tcW w:w="0" w:type="dxa"/>
            <w:vAlign w:val="bottom"/>
          </w:tcPr>
          <w:p>
            <w:pPr>
              <w:spacing w:after="0"/>
              <w:rPr>
                <w:sz w:val="1"/>
                <w:szCs w:val="1"/>
                <w:color w:val="auto"/>
              </w:rPr>
            </w:pPr>
          </w:p>
        </w:tc>
      </w:tr>
      <w:tr>
        <w:trPr>
          <w:trHeight w:val="239"/>
        </w:trPr>
        <w:tc>
          <w:tcPr>
            <w:tcW w:w="6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.............................................................................................................................Total</w:t>
            </w:r>
          </w:p>
        </w:tc>
        <w:tc>
          <w:tcPr>
            <w:tcW w:w="1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2,213,601</w:t>
            </w:r>
          </w:p>
        </w:tc>
        <w:tc>
          <w:tcPr>
            <w:tcW w:w="180" w:type="dxa"/>
            <w:vAlign w:val="bottom"/>
          </w:tcPr>
          <w:p>
            <w:pPr>
              <w:spacing w:after="0"/>
              <w:rPr>
                <w:sz w:val="20"/>
                <w:szCs w:val="20"/>
                <w:color w:val="auto"/>
              </w:rPr>
            </w:pPr>
          </w:p>
        </w:tc>
        <w:tc>
          <w:tcPr>
            <w:tcW w:w="15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1,652,453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LEASES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Company has lease obligations, including amounts due on leases of certain laboratory equipment and office and laboratory space under the terms of non-cancelable operating and finance leases.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Office and Laboratory Facilities Lease</w:t>
      </w:r>
    </w:p>
    <w:p>
      <w:pPr>
        <w:spacing w:after="0" w:line="1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231F20"/>
        </w:rPr>
        <w:t xml:space="preserve">In November 2020, the Company executed a facilities lease agreement to occupy approximately 19,000 square feet of office and laboratory space, which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consistent with the Company’s current facilities plan noted below, will not be renewed. </w:t>
      </w:r>
      <w:r>
        <w:rPr>
          <w:rFonts w:ascii="Times New Roman" w:cs="Times New Roman" w:eastAsia="Times New Roman" w:hAnsi="Times New Roman"/>
          <w:sz w:val="19"/>
          <w:szCs w:val="19"/>
          <w:color w:val="231F20"/>
        </w:rPr>
        <w:t>Operating lease cost is allocated between research and development and general and administrative expenses based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on the usage of the leased facilities. The Company recognizes variable lease costs for operating leases, including its proportionate share of facilities operating expenses. These costs are excluded from the measurement of the lease liability. </w:t>
      </w:r>
      <w:r>
        <w:rPr>
          <w:rFonts w:ascii="Times New Roman" w:cs="Times New Roman" w:eastAsia="Times New Roman" w:hAnsi="Times New Roman"/>
          <w:sz w:val="20"/>
          <w:szCs w:val="20"/>
          <w:color w:val="231F20"/>
        </w:rPr>
        <w:t>The reported lease term excludes the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Company’s renewal options under its office and laboratory lease agreements, as the Company does not consider it reasonably certain to exercise the options.</w:t>
      </w:r>
    </w:p>
    <w:p>
      <w:pPr>
        <w:spacing w:after="0" w:line="8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231F20"/>
        </w:rPr>
        <w:t>The Company also has a limited operating lease arrangement for laboratory space that provides the right to use designated research premises through December 31, 2026. The Company initially entered into the lease in December 2023 for a one-year term. The lease term has subsequently been extended pursuant to amendments executed in the ordinary course of business, including an amendment entered into in December 2025 that extended the term through December 31, 2026. The Company has recognized a corresponding right-of-use asset and lease liability of $0.8 million on its Consolidated Balance Sheet related to this arrangement. The lease requires the Company to pay fixed base rent, which is included in the measurement of the lease liability.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Laboratory Equipment Leases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has entered into various financing leases for laboratory equipment used in research and development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Lease Commencements</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In September 2025, the Company entered into a non-cancelable operating lease for office and laboratory space in Watertown, Massachusetts. The total future minimum lease payments under this agreement are approximately $5.3 million over the lease term of three years. As of December 31, 2025, the lease has not yet commenced, and therefore no right-of-use asset or lease liability has been recognized on the Company’s Consolidated Balance Sheet. The lease will be recorded on the balance sheet upon commencement in January 2026, at which time the Company will recognize a right-of-use asset and corresponding lease liability based on the present value of lease payments over the lease term.</w:t>
      </w:r>
    </w:p>
    <w:p>
      <w:pPr>
        <w:sectPr>
          <w:pgSz w:w="11880" w:h="15480" w:orient="portrait"/>
          <w:cols w:equalWidth="0" w:num="1">
            <w:col w:w="11080"/>
          </w:cols>
          <w:pgMar w:left="400" w:top="760"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11080"/>
          </w:cols>
          <w:pgMar w:left="400" w:top="760" w:right="400" w:bottom="6" w:gutter="0" w:footer="0" w:header="0"/>
          <w:type w:val="continuous"/>
        </w:sectPr>
      </w:pPr>
    </w:p>
    <w:bookmarkStart w:id="113" w:name="page114"/>
    <w:bookmarkEnd w:id="113"/>
    <w:p>
      <w:pPr>
        <w:ind w:left="4"/>
        <w:spacing w:after="0"/>
        <w:rPr>
          <w:sz w:val="20"/>
          <w:szCs w:val="20"/>
          <w:color w:val="auto"/>
        </w:rPr>
      </w:pPr>
      <w:r>
        <w:rPr>
          <w:rFonts w:ascii="Times New Roman" w:cs="Times New Roman" w:eastAsia="Times New Roman" w:hAnsi="Times New Roman"/>
          <w:sz w:val="20"/>
          <w:szCs w:val="20"/>
          <w:color w:val="231F20"/>
        </w:rPr>
        <w:t>The following table summarizes the components of lease costs for the years ended December 31, 2025 and 2024:</w:t>
      </w:r>
    </w:p>
    <w:p>
      <w:pPr>
        <w:spacing w:after="0" w:line="200" w:lineRule="exact"/>
        <w:rPr>
          <w:sz w:val="20"/>
          <w:szCs w:val="20"/>
          <w:color w:val="auto"/>
        </w:rPr>
      </w:pPr>
    </w:p>
    <w:p>
      <w:pPr>
        <w:spacing w:after="0" w:line="284" w:lineRule="exact"/>
        <w:rPr>
          <w:sz w:val="20"/>
          <w:szCs w:val="20"/>
          <w:color w:val="auto"/>
        </w:rPr>
      </w:pPr>
    </w:p>
    <w:tbl>
      <w:tblPr>
        <w:tblLayout w:type="fixed"/>
        <w:tblInd w:w="784"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231F20"/>
            </w:tcBorders>
          </w:tcPr>
          <w:p>
            <w:pPr>
              <w:spacing w:after="0"/>
              <w:rPr>
                <w:sz w:val="17"/>
                <w:szCs w:val="17"/>
                <w:color w:val="auto"/>
              </w:rPr>
            </w:pPr>
          </w:p>
        </w:tc>
        <w:tc>
          <w:tcPr>
            <w:tcW w:w="194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2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Operating lease cost:</w:t>
            </w: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0" w:type="dxa"/>
            <w:vAlign w:val="bottom"/>
            <w:tcBorders>
              <w:bottom w:val="single" w:sz="8" w:color="231F20"/>
            </w:tcBorders>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bottom w:val="single" w:sz="8" w:color="231F20"/>
            </w:tcBorders>
          </w:tcPr>
          <w:p>
            <w:pPr>
              <w:spacing w:after="0"/>
              <w:rPr>
                <w:sz w:val="16"/>
                <w:szCs w:val="16"/>
                <w:color w:val="auto"/>
              </w:rPr>
            </w:pPr>
          </w:p>
        </w:tc>
        <w:tc>
          <w:tcPr>
            <w:tcW w:w="1280" w:type="dxa"/>
            <w:vAlign w:val="bottom"/>
            <w:tcBorders>
              <w:bottom w:val="single" w:sz="8" w:color="231F20"/>
            </w:tcBorders>
          </w:tcPr>
          <w:p>
            <w:pPr>
              <w:jc w:val="right"/>
              <w:ind w:right="7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576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7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rPr>
              <w:t>Fixed lease cost .........................................................................</w:t>
            </w:r>
          </w:p>
        </w:tc>
        <w:tc>
          <w:tcPr>
            <w:tcW w:w="1260" w:type="dxa"/>
            <w:vAlign w:val="bottom"/>
          </w:tcPr>
          <w:p>
            <w:pPr>
              <w:jc w:val="right"/>
              <w:ind w:right="1097"/>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2,220</w:t>
            </w:r>
          </w:p>
        </w:tc>
        <w:tc>
          <w:tcPr>
            <w:tcW w:w="1140" w:type="dxa"/>
            <w:vAlign w:val="bottom"/>
            <w:gridSpan w:val="3"/>
          </w:tcPr>
          <w:p>
            <w:pPr>
              <w:jc w:val="right"/>
              <w:ind w:right="615"/>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1,608</w:t>
            </w:r>
          </w:p>
        </w:tc>
        <w:tc>
          <w:tcPr>
            <w:tcW w:w="0" w:type="dxa"/>
            <w:vAlign w:val="bottom"/>
          </w:tcPr>
          <w:p>
            <w:pPr>
              <w:spacing w:after="0"/>
              <w:rPr>
                <w:sz w:val="1"/>
                <w:szCs w:val="1"/>
                <w:color w:val="auto"/>
              </w:rPr>
            </w:pPr>
          </w:p>
        </w:tc>
      </w:tr>
      <w:tr>
        <w:trPr>
          <w:trHeight w:val="466"/>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Finance lease cost:</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rPr>
              <w:t>Amortization of right-of-use assets...........................................</w:t>
            </w:r>
          </w:p>
        </w:tc>
        <w:tc>
          <w:tcPr>
            <w:tcW w:w="1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0" w:type="dxa"/>
            <w:vAlign w:val="bottom"/>
          </w:tcPr>
          <w:p>
            <w:pPr>
              <w:spacing w:after="0"/>
              <w:rPr>
                <w:sz w:val="1"/>
                <w:szCs w:val="1"/>
                <w:color w:val="auto"/>
              </w:rPr>
            </w:pPr>
          </w:p>
        </w:tc>
      </w:tr>
      <w:tr>
        <w:trPr>
          <w:trHeight w:val="266"/>
        </w:trPr>
        <w:tc>
          <w:tcPr>
            <w:tcW w:w="57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rPr>
              <w:t>Interest on lease liabilities.........................................................</w:t>
            </w:r>
          </w:p>
        </w:tc>
        <w:tc>
          <w:tcPr>
            <w:tcW w:w="1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0" w:type="dxa"/>
            <w:vAlign w:val="bottom"/>
          </w:tcPr>
          <w:p>
            <w:pPr>
              <w:spacing w:after="0"/>
              <w:rPr>
                <w:sz w:val="1"/>
                <w:szCs w:val="1"/>
                <w:color w:val="auto"/>
              </w:rPr>
            </w:pPr>
          </w:p>
        </w:tc>
      </w:tr>
      <w:tr>
        <w:trPr>
          <w:trHeight w:val="488"/>
        </w:trPr>
        <w:tc>
          <w:tcPr>
            <w:tcW w:w="57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w w:val="99"/>
              </w:rPr>
              <w:t>Short-term lease costs..................................................................</w:t>
            </w:r>
          </w:p>
        </w:tc>
        <w:tc>
          <w:tcPr>
            <w:tcW w:w="1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545</w:t>
            </w:r>
          </w:p>
        </w:tc>
        <w:tc>
          <w:tcPr>
            <w:tcW w:w="0" w:type="dxa"/>
            <w:vAlign w:val="bottom"/>
          </w:tcPr>
          <w:p>
            <w:pPr>
              <w:spacing w:after="0"/>
              <w:rPr>
                <w:sz w:val="1"/>
                <w:szCs w:val="1"/>
                <w:color w:val="auto"/>
              </w:rPr>
            </w:pPr>
          </w:p>
        </w:tc>
      </w:tr>
      <w:tr>
        <w:trPr>
          <w:trHeight w:val="471"/>
        </w:trPr>
        <w:tc>
          <w:tcPr>
            <w:tcW w:w="57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w w:val="99"/>
              </w:rPr>
              <w:t>Variable lease costs .....................................................................</w:t>
            </w:r>
          </w:p>
        </w:tc>
        <w:tc>
          <w:tcPr>
            <w:tcW w:w="126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911</w:t>
            </w:r>
          </w:p>
        </w:tc>
        <w:tc>
          <w:tcPr>
            <w:tcW w:w="0" w:type="dxa"/>
            <w:vAlign w:val="bottom"/>
          </w:tcPr>
          <w:p>
            <w:pPr>
              <w:spacing w:after="0"/>
              <w:rPr>
                <w:sz w:val="1"/>
                <w:szCs w:val="1"/>
                <w:color w:val="auto"/>
              </w:rPr>
            </w:pPr>
          </w:p>
        </w:tc>
      </w:tr>
      <w:tr>
        <w:trPr>
          <w:trHeight w:val="239"/>
        </w:trPr>
        <w:tc>
          <w:tcPr>
            <w:tcW w:w="57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rPr>
              <w:t>............................................................................Totalleasecost</w:t>
            </w:r>
          </w:p>
        </w:tc>
        <w:tc>
          <w:tcPr>
            <w:tcW w:w="1260" w:type="dxa"/>
            <w:vAlign w:val="bottom"/>
          </w:tcPr>
          <w:p>
            <w:pPr>
              <w:jc w:val="right"/>
              <w:ind w:right="1097"/>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231F20"/>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following table summarizes the lease assumptions for the years ended December 31, 2025 and 2024.</w:t>
      </w:r>
    </w:p>
    <w:p>
      <w:pPr>
        <w:spacing w:after="0" w:line="134" w:lineRule="exact"/>
        <w:rPr>
          <w:sz w:val="20"/>
          <w:szCs w:val="20"/>
          <w:color w:val="auto"/>
        </w:rPr>
      </w:pPr>
    </w:p>
    <w:p>
      <w:pPr>
        <w:ind w:left="8404"/>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4912995</wp:posOffset>
                </wp:positionH>
                <wp:positionV relativeFrom="paragraph">
                  <wp:posOffset>16510</wp:posOffset>
                </wp:positionV>
                <wp:extent cx="212788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88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85pt,1.3pt" to="554.4pt,1.3pt" o:allowincell="f" strokecolor="#231F20" strokeweight="0.75pt"/>
            </w:pict>
          </mc:Fallback>
        </mc:AlternateContent>
      </w:r>
    </w:p>
    <w:p>
      <w:pPr>
        <w:spacing w:after="0" w:line="17" w:lineRule="exact"/>
        <w:rPr>
          <w:sz w:val="20"/>
          <w:szCs w:val="20"/>
          <w:color w:val="auto"/>
        </w:rPr>
      </w:pPr>
    </w:p>
    <w:tbl>
      <w:tblPr>
        <w:tblLayout w:type="fixed"/>
        <w:tblInd w:w="784" w:type="dxa"/>
        <w:tblCellMar>
          <w:top w:w="0" w:type="dxa"/>
          <w:left w:w="0" w:type="dxa"/>
          <w:bottom w:w="0" w:type="dxa"/>
          <w:right w:w="0" w:type="dxa"/>
        </w:tblCellMar>
      </w:tblPr>
      <w:tr>
        <w:trPr>
          <w:trHeight w:val="196"/>
        </w:trPr>
        <w:tc>
          <w:tcPr>
            <w:tcW w:w="7840" w:type="dxa"/>
            <w:vAlign w:val="bottom"/>
            <w:gridSpan w:val="2"/>
          </w:tcPr>
          <w:p>
            <w:pPr>
              <w:ind w:left="74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00" w:type="dxa"/>
            <w:vAlign w:val="bottom"/>
          </w:tcPr>
          <w:p>
            <w:pPr>
              <w:spacing w:after="0"/>
              <w:rPr>
                <w:sz w:val="17"/>
                <w:szCs w:val="17"/>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remaining lease terms in years</w:t>
            </w:r>
          </w:p>
        </w:tc>
        <w:tc>
          <w:tcPr>
            <w:tcW w:w="880" w:type="dxa"/>
            <w:vAlign w:val="bottom"/>
            <w:tcBorders>
              <w:top w:val="single" w:sz="8" w:color="231F20"/>
            </w:tcBorders>
          </w:tcPr>
          <w:p>
            <w:pPr>
              <w:spacing w:after="0"/>
              <w:rPr>
                <w:sz w:val="20"/>
                <w:szCs w:val="20"/>
                <w:color w:val="auto"/>
              </w:rPr>
            </w:pPr>
          </w:p>
        </w:tc>
        <w:tc>
          <w:tcPr>
            <w:tcW w:w="700" w:type="dxa"/>
            <w:vAlign w:val="bottom"/>
            <w:tcBorders>
              <w:top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Borders>
              <w:top w:val="single" w:sz="8" w:color="231F20"/>
            </w:tcBorders>
          </w:tcPr>
          <w:p>
            <w:pPr>
              <w:spacing w:after="0"/>
              <w:rPr>
                <w:sz w:val="20"/>
                <w:szCs w:val="20"/>
                <w:color w:val="auto"/>
              </w:rPr>
            </w:pPr>
          </w:p>
        </w:tc>
      </w:tr>
      <w:tr>
        <w:trPr>
          <w:trHeight w:val="244"/>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Operating leases ........................................................................................................</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0.86</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20"/>
                <w:szCs w:val="20"/>
                <w:color w:val="231F20"/>
              </w:rPr>
              <w:t>1.06</w:t>
            </w:r>
          </w:p>
        </w:tc>
      </w:tr>
      <w:tr>
        <w:trPr>
          <w:trHeight w:val="244"/>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1.03</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20"/>
                <w:szCs w:val="20"/>
                <w:color w:val="231F20"/>
              </w:rPr>
              <w:t>2.26</w:t>
            </w:r>
          </w:p>
        </w:tc>
      </w:tr>
      <w:tr>
        <w:trPr>
          <w:trHeight w:val="244"/>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Weighted-average discount rate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4"/>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Operating leases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15.50%</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20"/>
                <w:szCs w:val="20"/>
                <w:color w:val="231F20"/>
              </w:rPr>
              <w:t>8.49%</w:t>
            </w:r>
          </w:p>
        </w:tc>
      </w:tr>
      <w:tr>
        <w:trPr>
          <w:trHeight w:val="266"/>
        </w:trPr>
        <w:tc>
          <w:tcPr>
            <w:tcW w:w="78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10.08%</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20"/>
                <w:szCs w:val="20"/>
                <w:color w:val="231F20"/>
              </w:rPr>
              <w:t>9.76%</w:t>
            </w:r>
          </w:p>
        </w:tc>
      </w:tr>
    </w:tbl>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266"/>
        </w:trPr>
        <w:tc>
          <w:tcPr>
            <w:tcW w:w="796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Future commitments due under these lease agreements as of December 31, 2025 are as follows:</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554"/>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Operating Leas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3"/>
        </w:trPr>
        <w:tc>
          <w:tcPr>
            <w:tcW w:w="780" w:type="dxa"/>
            <w:vAlign w:val="bottom"/>
          </w:tcPr>
          <w:p>
            <w:pPr>
              <w:spacing w:after="0"/>
              <w:rPr>
                <w:sz w:val="22"/>
                <w:szCs w:val="22"/>
                <w:color w:val="auto"/>
              </w:rPr>
            </w:pPr>
          </w:p>
        </w:tc>
        <w:tc>
          <w:tcPr>
            <w:tcW w:w="4800" w:type="dxa"/>
            <w:vAlign w:val="bottom"/>
            <w:tcBorders>
              <w:bottom w:val="single" w:sz="8" w:color="231F20"/>
            </w:tcBorders>
          </w:tcPr>
          <w:p>
            <w:pPr>
              <w:jc w:val="right"/>
              <w:ind w:right="2500"/>
              <w:spacing w:after="0"/>
              <w:rPr>
                <w:sz w:val="20"/>
                <w:szCs w:val="20"/>
                <w:color w:val="auto"/>
              </w:rPr>
            </w:pPr>
            <w:r>
              <w:rPr>
                <w:rFonts w:ascii="Times New Roman" w:cs="Times New Roman" w:eastAsia="Times New Roman" w:hAnsi="Times New Roman"/>
                <w:sz w:val="20"/>
                <w:szCs w:val="20"/>
                <w:b w:val="1"/>
                <w:bCs w:val="1"/>
                <w:color w:val="231F20"/>
                <w:w w:val="99"/>
              </w:rPr>
              <w:t>Year ended December 31,</w:t>
            </w:r>
          </w:p>
        </w:tc>
        <w:tc>
          <w:tcPr>
            <w:tcW w:w="14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231F20"/>
              </w:rPr>
              <w:t>es</w:t>
            </w: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231F20"/>
              </w:rPr>
              <w:t>Finance Leases</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48"/>
        </w:trPr>
        <w:tc>
          <w:tcPr>
            <w:tcW w:w="780" w:type="dxa"/>
            <w:vAlign w:val="bottom"/>
          </w:tcPr>
          <w:p>
            <w:pPr>
              <w:spacing w:after="0"/>
              <w:rPr>
                <w:sz w:val="21"/>
                <w:szCs w:val="21"/>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2026.......................................................................................</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948</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363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1,311</w:t>
            </w:r>
          </w:p>
        </w:tc>
      </w:tr>
      <w:tr>
        <w:trPr>
          <w:trHeight w:val="258"/>
        </w:trPr>
        <w:tc>
          <w:tcPr>
            <w:tcW w:w="5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2027.......................................................................................</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44</w:t>
            </w:r>
          </w:p>
        </w:tc>
      </w:tr>
      <w:tr>
        <w:trPr>
          <w:trHeight w:val="264"/>
        </w:trPr>
        <w:tc>
          <w:tcPr>
            <w:tcW w:w="780" w:type="dxa"/>
            <w:vAlign w:val="bottom"/>
          </w:tcPr>
          <w:p>
            <w:pPr>
              <w:spacing w:after="0"/>
              <w:rPr>
                <w:sz w:val="22"/>
                <w:szCs w:val="22"/>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Thereafter ..............................................................................</w:t>
            </w:r>
          </w:p>
        </w:tc>
        <w:tc>
          <w:tcPr>
            <w:tcW w:w="14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r>
      <w:tr>
        <w:trPr>
          <w:trHeight w:val="248"/>
        </w:trPr>
        <w:tc>
          <w:tcPr>
            <w:tcW w:w="780" w:type="dxa"/>
            <w:vAlign w:val="bottom"/>
          </w:tcPr>
          <w:p>
            <w:pPr>
              <w:spacing w:after="0"/>
              <w:rPr>
                <w:sz w:val="21"/>
                <w:szCs w:val="21"/>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..............................................Totalundiscountedcashflows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948</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1,355</w:t>
            </w:r>
          </w:p>
        </w:tc>
      </w:tr>
      <w:tr>
        <w:trPr>
          <w:trHeight w:val="264"/>
        </w:trPr>
        <w:tc>
          <w:tcPr>
            <w:tcW w:w="780" w:type="dxa"/>
            <w:vAlign w:val="bottom"/>
          </w:tcPr>
          <w:p>
            <w:pPr>
              <w:spacing w:after="0"/>
              <w:rPr>
                <w:sz w:val="22"/>
                <w:szCs w:val="22"/>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Less: interest..........................................................................</w:t>
            </w:r>
          </w:p>
        </w:tc>
        <w:tc>
          <w:tcPr>
            <w:tcW w:w="14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140" w:type="dxa"/>
            <w:vAlign w:val="bottom"/>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4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w:t>
            </w:r>
          </w:p>
        </w:tc>
      </w:tr>
      <w:tr>
        <w:trPr>
          <w:trHeight w:val="248"/>
        </w:trPr>
        <w:tc>
          <w:tcPr>
            <w:tcW w:w="780" w:type="dxa"/>
            <w:vAlign w:val="bottom"/>
          </w:tcPr>
          <w:p>
            <w:pPr>
              <w:spacing w:after="0"/>
              <w:rPr>
                <w:sz w:val="21"/>
                <w:szCs w:val="21"/>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..............................................................Totalleaseliabilities</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889</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387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1,276</w:t>
            </w:r>
          </w:p>
        </w:tc>
      </w:tr>
      <w:tr>
        <w:trPr>
          <w:trHeight w:val="264"/>
        </w:trPr>
        <w:tc>
          <w:tcPr>
            <w:tcW w:w="780" w:type="dxa"/>
            <w:vAlign w:val="bottom"/>
          </w:tcPr>
          <w:p>
            <w:pPr>
              <w:spacing w:after="0"/>
              <w:rPr>
                <w:sz w:val="22"/>
                <w:szCs w:val="22"/>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Less: current portion...........................................................</w:t>
            </w:r>
          </w:p>
        </w:tc>
        <w:tc>
          <w:tcPr>
            <w:tcW w:w="14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(889)</w:t>
            </w:r>
          </w:p>
        </w:tc>
        <w:tc>
          <w:tcPr>
            <w:tcW w:w="140" w:type="dxa"/>
            <w:vAlign w:val="bottom"/>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(344)</w:t>
            </w:r>
          </w:p>
        </w:tc>
        <w:tc>
          <w:tcPr>
            <w:tcW w:w="14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(1,233)</w:t>
            </w:r>
          </w:p>
        </w:tc>
      </w:tr>
      <w:tr>
        <w:trPr>
          <w:trHeight w:val="253"/>
        </w:trPr>
        <w:tc>
          <w:tcPr>
            <w:tcW w:w="780" w:type="dxa"/>
            <w:vAlign w:val="bottom"/>
          </w:tcPr>
          <w:p>
            <w:pPr>
              <w:spacing w:after="0"/>
              <w:rPr>
                <w:sz w:val="22"/>
                <w:szCs w:val="22"/>
                <w:color w:val="auto"/>
              </w:rPr>
            </w:pP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......................................................................Leaseliabilities</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43</w:t>
            </w: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-1391285</wp:posOffset>
            </wp:positionV>
            <wp:extent cx="19824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1982470" cy="38100"/>
                    </a:xfrm>
                    <a:prstGeom prst="rect">
                      <a:avLst/>
                    </a:prstGeom>
                    <a:noFill/>
                  </pic:spPr>
                </pic:pic>
              </a:graphicData>
            </a:graphic>
          </wp:anchor>
        </w:drawing>
        <w:drawing>
          <wp:anchor simplePos="0" relativeHeight="251657728" behindDoc="1" locked="0" layoutInCell="0" allowOverlap="1">
            <wp:simplePos x="0" y="0"/>
            <wp:positionH relativeFrom="column">
              <wp:posOffset>4618355</wp:posOffset>
            </wp:positionH>
            <wp:positionV relativeFrom="paragraph">
              <wp:posOffset>-890270</wp:posOffset>
            </wp:positionV>
            <wp:extent cx="19824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1982470" cy="381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right="820"/>
        <w:spacing w:after="0" w:line="277" w:lineRule="auto"/>
        <w:rPr>
          <w:sz w:val="20"/>
          <w:szCs w:val="20"/>
          <w:color w:val="auto"/>
        </w:rPr>
      </w:pPr>
      <w:r>
        <w:rPr>
          <w:rFonts w:ascii="Times New Roman" w:cs="Times New Roman" w:eastAsia="Times New Roman" w:hAnsi="Times New Roman"/>
          <w:sz w:val="20"/>
          <w:szCs w:val="20"/>
          <w:color w:val="231F20"/>
        </w:rPr>
        <w:t>Future minimum lease payments of $5.3 million related to a lease entered into in September 2025 that had not commenced as of December 31, 2025 are excluded from the maturity table above, as no lease liability had been recognized as of that date.</w:t>
      </w:r>
    </w:p>
    <w:p>
      <w:pPr>
        <w:spacing w:after="0" w:line="385" w:lineRule="exact"/>
        <w:rPr>
          <w:sz w:val="20"/>
          <w:szCs w:val="20"/>
          <w:color w:val="auto"/>
        </w:rPr>
      </w:pPr>
    </w:p>
    <w:p>
      <w:pPr>
        <w:ind w:left="4" w:right="8440" w:hanging="4"/>
        <w:spacing w:after="0" w:line="386" w:lineRule="auto"/>
        <w:tabs>
          <w:tab w:leader="none" w:pos="304" w:val="left"/>
        </w:tabs>
        <w:numPr>
          <w:ilvl w:val="0"/>
          <w:numId w:val="61"/>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LICENSE AGREEMENTS </w:t>
      </w:r>
      <w:r>
        <w:rPr>
          <w:rFonts w:ascii="Times New Roman" w:cs="Times New Roman" w:eastAsia="Times New Roman" w:hAnsi="Times New Roman"/>
          <w:sz w:val="19"/>
          <w:szCs w:val="19"/>
          <w:b w:val="1"/>
          <w:bCs w:val="1"/>
          <w:i w:val="1"/>
          <w:iCs w:val="1"/>
          <w:color w:val="231F20"/>
        </w:rPr>
        <w:t>Harvard Agreement</w:t>
      </w:r>
    </w:p>
    <w:p>
      <w:pPr>
        <w:spacing w:after="0" w:line="1" w:lineRule="exact"/>
        <w:rPr>
          <w:sz w:val="20"/>
          <w:szCs w:val="20"/>
          <w:color w:val="auto"/>
        </w:rPr>
      </w:pPr>
    </w:p>
    <w:p>
      <w:pPr>
        <w:ind w:left="4" w:right="100"/>
        <w:spacing w:after="0" w:line="263" w:lineRule="auto"/>
        <w:rPr>
          <w:sz w:val="20"/>
          <w:szCs w:val="20"/>
          <w:color w:val="auto"/>
        </w:rPr>
      </w:pPr>
      <w:r>
        <w:rPr>
          <w:rFonts w:ascii="Times New Roman" w:cs="Times New Roman" w:eastAsia="Times New Roman" w:hAnsi="Times New Roman"/>
          <w:sz w:val="19"/>
          <w:szCs w:val="19"/>
          <w:color w:val="231F20"/>
        </w:rPr>
        <w:t>In July 2020, Tectonic entered into an agreement with the President and Fellows of Harvard College (“Harvard”), for an option fee in the low five digits, whereby Harvard granted Tectonic an exclusive option to negotiate a worldwide, exclusive, royalty-bearing license under Harvard’s interest in the patent rights covering certain technology that was developed by Harvard. In October 2021,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w:t>
      </w:r>
    </w:p>
    <w:p>
      <w:pPr>
        <w:spacing w:after="0" w:line="2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231F20"/>
        </w:rPr>
        <w:t>F-20</w:t>
      </w:r>
    </w:p>
    <w:p>
      <w:pPr>
        <w:sectPr>
          <w:pgSz w:w="11880" w:h="15480" w:orient="portrait"/>
          <w:cols w:equalWidth="0" w:num="1">
            <w:col w:w="11084"/>
          </w:cols>
          <w:pgMar w:left="396" w:top="750" w:right="400" w:bottom="0" w:gutter="0" w:footer="0" w:header="0"/>
        </w:sectPr>
      </w:pPr>
    </w:p>
    <w:bookmarkStart w:id="114" w:name="page115"/>
    <w:bookmarkEnd w:id="114"/>
    <w:p>
      <w:pPr>
        <w:ind w:left="4"/>
        <w:spacing w:after="0"/>
        <w:rPr>
          <w:sz w:val="20"/>
          <w:szCs w:val="20"/>
          <w:color w:val="auto"/>
        </w:rPr>
      </w:pPr>
      <w:r>
        <w:rPr>
          <w:rFonts w:ascii="Times New Roman" w:cs="Times New Roman" w:eastAsia="Times New Roman" w:hAnsi="Times New Roman"/>
          <w:sz w:val="20"/>
          <w:szCs w:val="20"/>
          <w:color w:val="231F20"/>
        </w:rPr>
        <w:t>claim within the patent rights covering a product developed under the License Agreement or the termination of the License Agreement.</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Company paid Harvard a one-time license fee and issued shares of common stock as consideration for the License Agreement.</w:t>
      </w:r>
    </w:p>
    <w:p>
      <w:pPr>
        <w:spacing w:after="0" w:line="92" w:lineRule="exact"/>
        <w:rPr>
          <w:sz w:val="20"/>
          <w:szCs w:val="20"/>
          <w:color w:val="auto"/>
        </w:rPr>
      </w:pPr>
    </w:p>
    <w:p>
      <w:pPr>
        <w:ind w:left="4"/>
        <w:spacing w:after="0" w:line="242" w:lineRule="auto"/>
        <w:rPr>
          <w:sz w:val="20"/>
          <w:szCs w:val="20"/>
          <w:color w:val="auto"/>
        </w:rPr>
      </w:pPr>
      <w:r>
        <w:rPr>
          <w:rFonts w:ascii="Times New Roman" w:cs="Times New Roman" w:eastAsia="Times New Roman" w:hAnsi="Times New Roman"/>
          <w:sz w:val="20"/>
          <w:szCs w:val="20"/>
          <w:color w:val="231F20"/>
        </w:rPr>
        <w:t xml:space="preserve">The Company is responsible for payment of (1) annual maintenance fees ranging from the low five digits to the low six digits during the term of the License Agreement (through the first commercial sale of a royalty -bearing product); (2) </w:t>
      </w:r>
      <w:r>
        <w:rPr>
          <w:rFonts w:ascii="Times New Roman" w:cs="Times New Roman" w:eastAsia="Times New Roman" w:hAnsi="Times New Roman"/>
          <w:sz w:val="19"/>
          <w:szCs w:val="19"/>
          <w:color w:val="231F20"/>
        </w:rPr>
        <w:t>milestone payments payable upon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regulatory approval and the achievement of specified clinical and commercial milestones for licensed products or know-how enabled products; (3) </w:t>
      </w:r>
      <w:r>
        <w:rPr>
          <w:rFonts w:ascii="Times New Roman" w:cs="Times New Roman" w:eastAsia="Times New Roman" w:hAnsi="Times New Roman"/>
          <w:sz w:val="20"/>
          <w:szCs w:val="20"/>
          <w:color w:val="231F20"/>
        </w:rPr>
        <w:t>royalty payments as a percentage in the low single digits of the annual net sales that the Company generates from products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that utilize the license technology (“Licensed Products”) and royalty payments as a percentage in the low single digits of the annual net sales that the Company generates from know-how enabled product licenses (“Know-How Enabled Products”) and (4)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and $0.4 million related to the License Agreement during the years ended December 31, 2025 and 2024, respectively.</w:t>
      </w:r>
    </w:p>
    <w:p>
      <w:pPr>
        <w:spacing w:after="0" w:line="89" w:lineRule="exact"/>
        <w:rPr>
          <w:sz w:val="20"/>
          <w:szCs w:val="20"/>
          <w:color w:val="auto"/>
        </w:rPr>
      </w:pPr>
    </w:p>
    <w:p>
      <w:pPr>
        <w:ind w:left="4" w:right="6960" w:hanging="4"/>
        <w:spacing w:after="0" w:line="367" w:lineRule="auto"/>
        <w:tabs>
          <w:tab w:leader="none" w:pos="304" w:val="left"/>
        </w:tabs>
        <w:numPr>
          <w:ilvl w:val="0"/>
          <w:numId w:val="6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COMMITMENTS AND CONTINGENCIES </w:t>
      </w:r>
      <w:r>
        <w:rPr>
          <w:rFonts w:ascii="Times New Roman" w:cs="Times New Roman" w:eastAsia="Times New Roman" w:hAnsi="Times New Roman"/>
          <w:sz w:val="20"/>
          <w:szCs w:val="20"/>
          <w:i w:val="1"/>
          <w:iCs w:val="1"/>
          <w:color w:val="231F20"/>
        </w:rPr>
        <w:t>Commitments</w:t>
      </w:r>
    </w:p>
    <w:p>
      <w:pPr>
        <w:spacing w:after="0" w:line="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20"/>
          <w:szCs w:val="20"/>
          <w:color w:val="231F20"/>
        </w:rPr>
        <w:t>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68" w:lineRule="exact"/>
        <w:rPr>
          <w:sz w:val="20"/>
          <w:szCs w:val="20"/>
          <w:color w:val="auto"/>
        </w:rPr>
      </w:pPr>
    </w:p>
    <w:p>
      <w:pPr>
        <w:ind w:left="4" w:right="720"/>
        <w:spacing w:after="0" w:line="277" w:lineRule="auto"/>
        <w:rPr>
          <w:sz w:val="20"/>
          <w:szCs w:val="20"/>
          <w:color w:val="auto"/>
        </w:rPr>
      </w:pPr>
      <w:r>
        <w:rPr>
          <w:rFonts w:ascii="Times New Roman" w:cs="Times New Roman" w:eastAsia="Times New Roman" w:hAnsi="Times New Roman"/>
          <w:sz w:val="20"/>
          <w:szCs w:val="20"/>
          <w:color w:val="231F20"/>
        </w:rPr>
        <w:t xml:space="preserve">The Company is also party to lease commitments, as described in Note 10,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and milestone, royalty and maintenance based commitments, as described in Note 11, </w:t>
      </w:r>
      <w:r>
        <w:rPr>
          <w:rFonts w:ascii="Times New Roman" w:cs="Times New Roman" w:eastAsia="Times New Roman" w:hAnsi="Times New Roman"/>
          <w:sz w:val="20"/>
          <w:szCs w:val="20"/>
          <w:i w:val="1"/>
          <w:iCs w:val="1"/>
          <w:color w:val="231F20"/>
        </w:rPr>
        <w:t>License Agreements.</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231F20"/>
        </w:rPr>
        <w:t>Contingencies</w:t>
      </w:r>
    </w:p>
    <w:p>
      <w:pPr>
        <w:spacing w:after="0" w:line="118"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9"/>
          <w:szCs w:val="19"/>
          <w:color w:val="231F20"/>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representing the contractual right to receive a pro rata portion of any net proceeds, if any, resulting from the disposition of certain AVROBIO intellectual property after the closing, subject to the terms of the CVR Agreement. The CVR Agreement expired 18 months following the closing of the Merger and is no longer in effect. No AVROBIO intellectual property was sold or otherwise disposed of, and, as a result, no payments were made or are due under the agreement. The Company did not record any receivables or liabilities related to the CVRs on the Consolidated Balance Sheets as of December 31, 2025 and 2024.</w:t>
      </w:r>
    </w:p>
    <w:p>
      <w:pPr>
        <w:spacing w:after="0" w:line="67" w:lineRule="exact"/>
        <w:rPr>
          <w:sz w:val="20"/>
          <w:szCs w:val="20"/>
          <w:color w:val="auto"/>
        </w:rPr>
      </w:pPr>
    </w:p>
    <w:p>
      <w:pPr>
        <w:ind w:left="4" w:right="160"/>
        <w:spacing w:after="0" w:line="249" w:lineRule="auto"/>
        <w:rPr>
          <w:sz w:val="20"/>
          <w:szCs w:val="20"/>
          <w:color w:val="auto"/>
        </w:rPr>
      </w:pPr>
      <w:r>
        <w:rPr>
          <w:rFonts w:ascii="Times New Roman" w:cs="Times New Roman" w:eastAsia="Times New Roman" w:hAnsi="Times New Roman"/>
          <w:sz w:val="20"/>
          <w:szCs w:val="20"/>
          <w:color w:val="231F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spacing w:after="0" w:line="7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20"/>
          <w:szCs w:val="20"/>
          <w:color w:val="231F20"/>
        </w:rPr>
        <w:t>In the normal course of operations, the Company may become involved in various legal proceedings. As of December 31, 2025 and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w:t>
      </w:r>
    </w:p>
    <w:p>
      <w:pPr>
        <w:spacing w:after="0" w:line="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13. INCOME TAXES</w:t>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components of net (loss) income before income tax expense are as follows:</w:t>
      </w:r>
    </w:p>
    <w:p>
      <w:pPr>
        <w:spacing w:after="0" w:line="218" w:lineRule="exact"/>
        <w:rPr>
          <w:sz w:val="20"/>
          <w:szCs w:val="20"/>
          <w:color w:val="auto"/>
        </w:rPr>
      </w:pPr>
    </w:p>
    <w:tbl>
      <w:tblPr>
        <w:tblLayout w:type="fixed"/>
        <w:tblInd w:w="784"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640" w:type="dxa"/>
            <w:vAlign w:val="bottom"/>
            <w:tcBorders>
              <w:bottom w:val="single" w:sz="8" w:color="231F20"/>
            </w:tcBorders>
          </w:tcPr>
          <w:p>
            <w:pPr>
              <w:spacing w:after="0"/>
              <w:rPr>
                <w:sz w:val="17"/>
                <w:szCs w:val="17"/>
                <w:color w:val="auto"/>
              </w:rPr>
            </w:pPr>
          </w:p>
        </w:tc>
        <w:tc>
          <w:tcPr>
            <w:tcW w:w="2880" w:type="dxa"/>
            <w:vAlign w:val="bottom"/>
            <w:tcBorders>
              <w:bottom w:val="single" w:sz="8" w:color="231F20"/>
            </w:tcBorders>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86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40" w:type="dxa"/>
            <w:vAlign w:val="bottom"/>
          </w:tcPr>
          <w:p>
            <w:pPr>
              <w:spacing w:after="0"/>
              <w:rPr>
                <w:sz w:val="17"/>
                <w:szCs w:val="17"/>
                <w:color w:val="auto"/>
              </w:rPr>
            </w:pPr>
          </w:p>
        </w:tc>
      </w:tr>
      <w:tr>
        <w:trPr>
          <w:trHeight w:val="278"/>
        </w:trPr>
        <w:tc>
          <w:tcPr>
            <w:tcW w:w="3840" w:type="dxa"/>
            <w:vAlign w:val="bottom"/>
          </w:tcPr>
          <w:p>
            <w:pPr>
              <w:spacing w:after="0"/>
              <w:rPr>
                <w:sz w:val="24"/>
                <w:szCs w:val="24"/>
                <w:color w:val="auto"/>
              </w:rPr>
            </w:pPr>
          </w:p>
        </w:tc>
        <w:tc>
          <w:tcPr>
            <w:tcW w:w="164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80" w:type="dxa"/>
            <w:vAlign w:val="bottom"/>
            <w:tcBorders>
              <w:bottom w:val="single" w:sz="8" w:color="231F20"/>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bottom w:val="single" w:sz="8" w:color="231F20"/>
            </w:tcBorders>
          </w:tcPr>
          <w:p>
            <w:pPr>
              <w:spacing w:after="0"/>
              <w:rPr>
                <w:sz w:val="24"/>
                <w:szCs w:val="24"/>
                <w:color w:val="auto"/>
              </w:rPr>
            </w:pPr>
          </w:p>
        </w:tc>
        <w:tc>
          <w:tcPr>
            <w:tcW w:w="1860" w:type="dxa"/>
            <w:vAlign w:val="bottom"/>
            <w:tcBorders>
              <w:bottom w:val="single" w:sz="8" w:color="231F20"/>
            </w:tcBorders>
          </w:tcPr>
          <w:p>
            <w:pPr>
              <w:jc w:val="right"/>
              <w:ind w:right="100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6"/>
        </w:trPr>
        <w:tc>
          <w:tcPr>
            <w:tcW w:w="38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Domestic.............................................................</w:t>
            </w:r>
          </w:p>
        </w:tc>
        <w:tc>
          <w:tcPr>
            <w:tcW w:w="1640" w:type="dxa"/>
            <w:vAlign w:val="bottom"/>
          </w:tcPr>
          <w:p>
            <w:pPr>
              <w:jc w:val="right"/>
              <w:ind w:right="1447"/>
              <w:spacing w:after="0"/>
              <w:rPr>
                <w:sz w:val="20"/>
                <w:szCs w:val="20"/>
                <w:color w:val="auto"/>
              </w:rPr>
            </w:pPr>
            <w:r>
              <w:rPr>
                <w:rFonts w:ascii="Times New Roman" w:cs="Times New Roman" w:eastAsia="Times New Roman" w:hAnsi="Times New Roman"/>
                <w:sz w:val="20"/>
                <w:szCs w:val="20"/>
                <w:color w:val="231F20"/>
                <w:w w:val="79"/>
              </w:rPr>
              <w:t>$</w:t>
            </w:r>
          </w:p>
        </w:tc>
        <w:tc>
          <w:tcPr>
            <w:tcW w:w="2240" w:type="dxa"/>
            <w:vAlign w:val="bottom"/>
            <w:gridSpan w:val="2"/>
          </w:tcPr>
          <w:p>
            <w:pPr>
              <w:jc w:val="right"/>
              <w:ind w:right="1300"/>
              <w:spacing w:after="0"/>
              <w:rPr>
                <w:sz w:val="20"/>
                <w:szCs w:val="20"/>
                <w:color w:val="auto"/>
              </w:rPr>
            </w:pPr>
            <w:r>
              <w:rPr>
                <w:rFonts w:ascii="Times New Roman" w:cs="Times New Roman" w:eastAsia="Times New Roman" w:hAnsi="Times New Roman"/>
                <w:sz w:val="20"/>
                <w:szCs w:val="20"/>
                <w:color w:val="231F20"/>
              </w:rPr>
              <w:t>(73,150)</w:t>
            </w:r>
          </w:p>
        </w:tc>
        <w:tc>
          <w:tcPr>
            <w:tcW w:w="64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231F20"/>
                <w:w w:val="79"/>
              </w:rPr>
              <w:t>$</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(55,483)</w:t>
            </w:r>
          </w:p>
        </w:tc>
      </w:tr>
      <w:tr>
        <w:trPr>
          <w:trHeight w:val="249"/>
        </w:trPr>
        <w:tc>
          <w:tcPr>
            <w:tcW w:w="38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Foreign................................................................</w:t>
            </w:r>
          </w:p>
        </w:tc>
        <w:tc>
          <w:tcPr>
            <w:tcW w:w="1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w:t>
            </w: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(2,499)</w:t>
            </w:r>
          </w:p>
        </w:tc>
      </w:tr>
      <w:tr>
        <w:trPr>
          <w:trHeight w:val="239"/>
        </w:trPr>
        <w:tc>
          <w:tcPr>
            <w:tcW w:w="3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.......................................Lossbeforeincometax</w:t>
            </w:r>
          </w:p>
        </w:tc>
        <w:tc>
          <w:tcPr>
            <w:tcW w:w="1640" w:type="dxa"/>
            <w:vAlign w:val="bottom"/>
            <w:tcBorders>
              <w:top w:val="single" w:sz="8" w:color="231F20"/>
              <w:bottom w:val="single" w:sz="8" w:color="231F20"/>
            </w:tcBorders>
          </w:tcPr>
          <w:p>
            <w:pPr>
              <w:jc w:val="right"/>
              <w:ind w:right="1447"/>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(72,921)</w:t>
            </w:r>
          </w:p>
        </w:tc>
        <w:tc>
          <w:tcPr>
            <w:tcW w:w="1360" w:type="dxa"/>
            <w:vAlign w:val="bottom"/>
          </w:tcPr>
          <w:p>
            <w:pPr>
              <w:spacing w:after="0"/>
              <w:rPr>
                <w:sz w:val="20"/>
                <w:szCs w:val="20"/>
                <w:color w:val="auto"/>
              </w:rPr>
            </w:pPr>
          </w:p>
        </w:tc>
        <w:tc>
          <w:tcPr>
            <w:tcW w:w="640" w:type="dxa"/>
            <w:vAlign w:val="bottom"/>
            <w:tcBorders>
              <w:top w:val="single" w:sz="8" w:color="231F20"/>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color w:val="231F20"/>
                <w:w w:val="79"/>
              </w:rPr>
              <w:t>$</w:t>
            </w:r>
          </w:p>
        </w:tc>
        <w:tc>
          <w:tcPr>
            <w:tcW w:w="1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(57,982)</w:t>
            </w:r>
          </w:p>
        </w:tc>
        <w:tc>
          <w:tcPr>
            <w:tcW w:w="60" w:type="dxa"/>
            <w:vAlign w:val="bottom"/>
            <w:gridSpan w:val="2"/>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8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components of the provision for income taxes are as follows:</w:t>
      </w:r>
    </w:p>
    <w:p>
      <w:pPr>
        <w:sectPr>
          <w:pgSz w:w="11880" w:h="15480" w:orient="portrait"/>
          <w:cols w:equalWidth="0" w:num="1">
            <w:col w:w="11084"/>
          </w:cols>
          <w:pgMar w:left="396" w:top="750"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231F20"/>
        </w:rPr>
        <w:t>F-21</w:t>
      </w:r>
    </w:p>
    <w:p>
      <w:pPr>
        <w:sectPr>
          <w:pgSz w:w="11880" w:h="15480" w:orient="portrait"/>
          <w:cols w:equalWidth="0" w:num="1">
            <w:col w:w="11084"/>
          </w:cols>
          <w:pgMar w:left="396" w:top="750" w:right="400" w:bottom="6" w:gutter="0" w:footer="0" w:header="0"/>
          <w:type w:val="continuous"/>
        </w:sectPr>
      </w:pPr>
    </w:p>
    <w:bookmarkStart w:id="115" w:name="page116"/>
    <w:bookmarkEnd w:id="115"/>
    <w:tbl>
      <w:tblPr>
        <w:tblLayout w:type="fixed"/>
        <w:tblInd w:w="444"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140" w:type="dxa"/>
            <w:vAlign w:val="bottom"/>
            <w:tcBorders>
              <w:top w:val="single" w:sz="8" w:color="231F20"/>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Borders>
              <w:top w:val="single" w:sz="8" w:color="231F20"/>
            </w:tcBorders>
          </w:tcPr>
          <w:p>
            <w:pPr>
              <w:spacing w:after="0"/>
              <w:rPr>
                <w:sz w:val="16"/>
                <w:szCs w:val="16"/>
                <w:color w:val="auto"/>
              </w:rPr>
            </w:pPr>
          </w:p>
        </w:tc>
        <w:tc>
          <w:tcPr>
            <w:tcW w:w="340" w:type="dxa"/>
            <w:vAlign w:val="bottom"/>
            <w:tcBorders>
              <w:top w:val="single" w:sz="8" w:color="231F20"/>
              <w:bottom w:val="single" w:sz="8" w:color="231F20"/>
            </w:tcBorders>
          </w:tcPr>
          <w:p>
            <w:pPr>
              <w:spacing w:after="0"/>
              <w:rPr>
                <w:sz w:val="16"/>
                <w:szCs w:val="16"/>
                <w:color w:val="auto"/>
              </w:rPr>
            </w:pPr>
          </w:p>
        </w:tc>
        <w:tc>
          <w:tcPr>
            <w:tcW w:w="1140" w:type="dxa"/>
            <w:vAlign w:val="bottom"/>
            <w:tcBorders>
              <w:top w:val="single" w:sz="8" w:color="231F20"/>
              <w:bottom w:val="single" w:sz="8" w:color="231F20"/>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r>
      <w:tr>
        <w:trPr>
          <w:trHeight w:val="432"/>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231F20"/>
              </w:rPr>
              <w:t>Current expense (benefit):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Federal........................................................................................................................</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Foreign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34"/>
        </w:trPr>
        <w:tc>
          <w:tcPr>
            <w:tcW w:w="7000" w:type="dxa"/>
            <w:vAlign w:val="bottom"/>
          </w:tcPr>
          <w:p>
            <w:pPr>
              <w:jc w:val="right"/>
              <w:ind w:right="4320"/>
              <w:spacing w:after="0"/>
              <w:rPr>
                <w:sz w:val="20"/>
                <w:szCs w:val="20"/>
                <w:color w:val="auto"/>
              </w:rPr>
            </w:pPr>
            <w:r>
              <w:rPr>
                <w:rFonts w:ascii="Times New Roman" w:cs="Times New Roman" w:eastAsia="Times New Roman" w:hAnsi="Times New Roman"/>
                <w:sz w:val="20"/>
                <w:szCs w:val="20"/>
                <w:color w:val="231F20"/>
              </w:rPr>
              <w:t>Total current expense (benefit):</w:t>
            </w:r>
          </w:p>
        </w:tc>
        <w:tc>
          <w:tcPr>
            <w:tcW w:w="20" w:type="dxa"/>
            <w:vAlign w:val="bottom"/>
          </w:tcPr>
          <w:p>
            <w:pPr>
              <w:spacing w:after="0"/>
              <w:rPr>
                <w:sz w:val="20"/>
                <w:szCs w:val="20"/>
                <w:color w:val="auto"/>
              </w:rPr>
            </w:pPr>
          </w:p>
        </w:tc>
        <w:tc>
          <w:tcPr>
            <w:tcW w:w="320" w:type="dxa"/>
            <w:vAlign w:val="bottom"/>
            <w:tcBorders>
              <w:top w:val="single" w:sz="8" w:color="231F20"/>
            </w:tcBorders>
          </w:tcPr>
          <w:p>
            <w:pPr>
              <w:spacing w:after="0"/>
              <w:rPr>
                <w:sz w:val="20"/>
                <w:szCs w:val="20"/>
                <w:color w:val="auto"/>
              </w:rPr>
            </w:pP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1,230</w:t>
            </w:r>
          </w:p>
        </w:tc>
        <w:tc>
          <w:tcPr>
            <w:tcW w:w="280" w:type="dxa"/>
            <w:vAlign w:val="bottom"/>
          </w:tcPr>
          <w:p>
            <w:pPr>
              <w:spacing w:after="0"/>
              <w:rPr>
                <w:sz w:val="20"/>
                <w:szCs w:val="20"/>
                <w:color w:val="auto"/>
              </w:rPr>
            </w:pPr>
          </w:p>
        </w:tc>
        <w:tc>
          <w:tcPr>
            <w:tcW w:w="340" w:type="dxa"/>
            <w:vAlign w:val="bottom"/>
            <w:tcBorders>
              <w:top w:val="single" w:sz="8" w:color="231F20"/>
            </w:tcBorders>
          </w:tcPr>
          <w:p>
            <w:pPr>
              <w:spacing w:after="0"/>
              <w:rPr>
                <w:sz w:val="20"/>
                <w:szCs w:val="20"/>
                <w:color w:val="auto"/>
              </w:rPr>
            </w:pP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r>
      <w:tr>
        <w:trPr>
          <w:trHeight w:val="24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231F20"/>
              </w:rPr>
              <w:t>Deferred expense (benefit):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Federal........................................................................................................................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14,931</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13,004</w:t>
            </w:r>
          </w:p>
        </w:tc>
        <w:tc>
          <w:tcPr>
            <w:tcW w:w="60" w:type="dxa"/>
            <w:vAlign w:val="bottom"/>
          </w:tcPr>
          <w:p>
            <w:pPr>
              <w:spacing w:after="0"/>
              <w:rPr>
                <w:sz w:val="21"/>
                <w:szCs w:val="21"/>
                <w:color w:val="auto"/>
              </w:rPr>
            </w:pPr>
          </w:p>
        </w:tc>
      </w:tr>
      <w:tr>
        <w:trPr>
          <w:trHeight w:val="24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4,127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3,181</w:t>
            </w:r>
          </w:p>
        </w:tc>
        <w:tc>
          <w:tcPr>
            <w:tcW w:w="60" w:type="dxa"/>
            <w:vAlign w:val="bottom"/>
          </w:tcPr>
          <w:p>
            <w:pPr>
              <w:spacing w:after="0"/>
              <w:rPr>
                <w:sz w:val="21"/>
                <w:szCs w:val="21"/>
                <w:color w:val="auto"/>
              </w:rPr>
            </w:pP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Foreign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(380)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741</w:t>
            </w:r>
          </w:p>
        </w:tc>
        <w:tc>
          <w:tcPr>
            <w:tcW w:w="60" w:type="dxa"/>
            <w:vAlign w:val="bottom"/>
          </w:tcPr>
          <w:p>
            <w:pPr>
              <w:spacing w:after="0"/>
              <w:rPr>
                <w:sz w:val="21"/>
                <w:szCs w:val="21"/>
                <w:color w:val="auto"/>
              </w:rPr>
            </w:pPr>
          </w:p>
        </w:tc>
      </w:tr>
      <w:tr>
        <w:trPr>
          <w:trHeight w:val="234"/>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...........................................................................................Deferredtaxbenefit</w:t>
            </w:r>
          </w:p>
        </w:tc>
        <w:tc>
          <w:tcPr>
            <w:tcW w:w="20" w:type="dxa"/>
            <w:vAlign w:val="bottom"/>
          </w:tcPr>
          <w:p>
            <w:pPr>
              <w:spacing w:after="0"/>
              <w:rPr>
                <w:sz w:val="20"/>
                <w:szCs w:val="20"/>
                <w:color w:val="auto"/>
              </w:rPr>
            </w:pPr>
          </w:p>
        </w:tc>
        <w:tc>
          <w:tcPr>
            <w:tcW w:w="320" w:type="dxa"/>
            <w:vAlign w:val="bottom"/>
            <w:tcBorders>
              <w:top w:val="single" w:sz="8" w:color="231F20"/>
            </w:tcBorders>
          </w:tcPr>
          <w:p>
            <w:pPr>
              <w:spacing w:after="0"/>
              <w:rPr>
                <w:sz w:val="20"/>
                <w:szCs w:val="20"/>
                <w:color w:val="auto"/>
              </w:rPr>
            </w:pP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18,678</w:t>
            </w:r>
          </w:p>
        </w:tc>
        <w:tc>
          <w:tcPr>
            <w:tcW w:w="280" w:type="dxa"/>
            <w:vAlign w:val="bottom"/>
          </w:tcPr>
          <w:p>
            <w:pPr>
              <w:spacing w:after="0"/>
              <w:rPr>
                <w:sz w:val="20"/>
                <w:szCs w:val="20"/>
                <w:color w:val="auto"/>
              </w:rPr>
            </w:pPr>
          </w:p>
        </w:tc>
        <w:tc>
          <w:tcPr>
            <w:tcW w:w="340" w:type="dxa"/>
            <w:vAlign w:val="bottom"/>
            <w:tcBorders>
              <w:top w:val="single" w:sz="8" w:color="231F20"/>
            </w:tcBorders>
          </w:tcPr>
          <w:p>
            <w:pPr>
              <w:spacing w:after="0"/>
              <w:rPr>
                <w:sz w:val="20"/>
                <w:szCs w:val="20"/>
                <w:color w:val="auto"/>
              </w:rPr>
            </w:pP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16,926</w:t>
            </w:r>
          </w:p>
        </w:tc>
        <w:tc>
          <w:tcPr>
            <w:tcW w:w="60" w:type="dxa"/>
            <w:vAlign w:val="bottom"/>
          </w:tcPr>
          <w:p>
            <w:pPr>
              <w:spacing w:after="0"/>
              <w:rPr>
                <w:sz w:val="20"/>
                <w:szCs w:val="20"/>
                <w:color w:val="auto"/>
              </w:rPr>
            </w:pPr>
          </w:p>
        </w:tc>
      </w:tr>
      <w:tr>
        <w:trPr>
          <w:trHeight w:val="24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Less change in valuation allowance...............................................................................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(18,678)</w:t>
            </w:r>
          </w:p>
        </w:tc>
        <w:tc>
          <w:tcPr>
            <w:tcW w:w="3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(16,926)</w:t>
            </w:r>
          </w:p>
        </w:tc>
      </w:tr>
      <w:tr>
        <w:trPr>
          <w:trHeight w:val="239"/>
        </w:trPr>
        <w:tc>
          <w:tcPr>
            <w:tcW w:w="70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................................................................................Totalincometaxexpense(benefit)</w:t>
            </w:r>
          </w:p>
        </w:tc>
        <w:tc>
          <w:tcPr>
            <w:tcW w:w="20" w:type="dxa"/>
            <w:vAlign w:val="bottom"/>
            <w:tcBorders>
              <w:bottom w:val="single" w:sz="8" w:color="231F20"/>
            </w:tcBorders>
          </w:tcPr>
          <w:p>
            <w:pPr>
              <w:spacing w:after="0"/>
              <w:rPr>
                <w:sz w:val="20"/>
                <w:szCs w:val="20"/>
                <w:color w:val="auto"/>
              </w:rPr>
            </w:pPr>
          </w:p>
        </w:tc>
        <w:tc>
          <w:tcPr>
            <w:tcW w:w="320" w:type="dxa"/>
            <w:vAlign w:val="bottom"/>
            <w:tcBorders>
              <w:top w:val="single" w:sz="8" w:color="231F20"/>
              <w:bottom w:val="single" w:sz="8" w:color="231F20"/>
            </w:tcBorders>
          </w:tcPr>
          <w:p>
            <w:pPr>
              <w:jc w:val="right"/>
              <w:ind w:right="155"/>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1,230</w:t>
            </w:r>
          </w:p>
        </w:tc>
        <w:tc>
          <w:tcPr>
            <w:tcW w:w="280" w:type="dxa"/>
            <w:vAlign w:val="bottom"/>
          </w:tcPr>
          <w:p>
            <w:pPr>
              <w:spacing w:after="0"/>
              <w:rPr>
                <w:sz w:val="20"/>
                <w:szCs w:val="20"/>
                <w:color w:val="auto"/>
              </w:rPr>
            </w:pPr>
          </w:p>
        </w:tc>
        <w:tc>
          <w:tcPr>
            <w:tcW w:w="340" w:type="dxa"/>
            <w:vAlign w:val="bottom"/>
            <w:tcBorders>
              <w:top w:val="single" w:sz="8" w:color="231F20"/>
              <w:bottom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reconciliation of the Company's statutory tax rate and effective tax rate is as follows:</w:t>
      </w:r>
    </w:p>
    <w:p>
      <w:pPr>
        <w:spacing w:after="0" w:line="168" w:lineRule="exact"/>
        <w:rPr>
          <w:sz w:val="20"/>
          <w:szCs w:val="20"/>
          <w:color w:val="auto"/>
        </w:rPr>
      </w:pPr>
    </w:p>
    <w:tbl>
      <w:tblPr>
        <w:tblLayout w:type="fixed"/>
        <w:tblInd w:w="444" w:type="dxa"/>
        <w:tblCellMar>
          <w:top w:w="0" w:type="dxa"/>
          <w:left w:w="0" w:type="dxa"/>
          <w:bottom w:w="0" w:type="dxa"/>
          <w:right w:w="0" w:type="dxa"/>
        </w:tblCellMar>
      </w:tblPr>
      <w:tr>
        <w:trPr>
          <w:trHeight w:val="259"/>
        </w:trPr>
        <w:tc>
          <w:tcPr>
            <w:tcW w:w="4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40" w:type="dxa"/>
            <w:vAlign w:val="bottom"/>
            <w:gridSpan w:val="5"/>
          </w:tcPr>
          <w:p>
            <w:pPr>
              <w:jc w:val="right"/>
              <w:ind w:right="98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60"/>
        </w:trPr>
        <w:tc>
          <w:tcPr>
            <w:tcW w:w="4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3"/>
        </w:trPr>
        <w:tc>
          <w:tcPr>
            <w:tcW w:w="468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300" w:type="dxa"/>
            <w:vAlign w:val="bottom"/>
          </w:tcPr>
          <w:p>
            <w:pPr>
              <w:spacing w:after="0"/>
              <w:rPr>
                <w:sz w:val="17"/>
                <w:szCs w:val="17"/>
                <w:color w:val="auto"/>
              </w:rPr>
            </w:pPr>
          </w:p>
        </w:tc>
        <w:tc>
          <w:tcPr>
            <w:tcW w:w="74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231F20"/>
              </w:rPr>
              <w:t>Percent</w:t>
            </w:r>
          </w:p>
        </w:tc>
        <w:tc>
          <w:tcPr>
            <w:tcW w:w="90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80" w:type="dxa"/>
            <w:vAlign w:val="bottom"/>
          </w:tcPr>
          <w:p>
            <w:pPr>
              <w:spacing w:after="0"/>
              <w:rPr>
                <w:sz w:val="17"/>
                <w:szCs w:val="17"/>
                <w:color w:val="auto"/>
              </w:rPr>
            </w:pPr>
          </w:p>
        </w:tc>
        <w:tc>
          <w:tcPr>
            <w:tcW w:w="7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Percent</w:t>
            </w:r>
          </w:p>
        </w:tc>
        <w:tc>
          <w:tcPr>
            <w:tcW w:w="240" w:type="dxa"/>
            <w:vAlign w:val="bottom"/>
          </w:tcPr>
          <w:p>
            <w:pPr>
              <w:spacing w:after="0"/>
              <w:rPr>
                <w:sz w:val="17"/>
                <w:szCs w:val="17"/>
                <w:color w:val="auto"/>
              </w:rPr>
            </w:pPr>
          </w:p>
        </w:tc>
      </w:tr>
      <w:tr>
        <w:trPr>
          <w:trHeight w:val="479"/>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Pretax loss...........................................................................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(72,921)</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(57,982)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4"/>
                <w:szCs w:val="24"/>
                <w:color w:val="auto"/>
              </w:rPr>
            </w:pPr>
          </w:p>
        </w:tc>
      </w:tr>
      <w:tr>
        <w:trPr>
          <w:trHeight w:val="50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U.S. Federal statutory income tax rate................................</w:t>
            </w:r>
          </w:p>
        </w:tc>
        <w:tc>
          <w:tcPr>
            <w:tcW w:w="22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(15,313)</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231F20"/>
              </w:rPr>
              <w:t>21.0%</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(12,176)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r>
      <w:tr>
        <w:trPr>
          <w:trHeight w:val="258"/>
        </w:trPr>
        <w:tc>
          <w:tcPr>
            <w:tcW w:w="4680" w:type="dxa"/>
            <w:vAlign w:val="bottom"/>
          </w:tcPr>
          <w:p>
            <w:pPr>
              <w:spacing w:after="0" w:line="258" w:lineRule="exact"/>
              <w:rPr>
                <w:sz w:val="20"/>
                <w:szCs w:val="20"/>
                <w:color w:val="auto"/>
              </w:rPr>
            </w:pPr>
            <w:r>
              <w:rPr>
                <w:rFonts w:ascii="Times New Roman" w:cs="Times New Roman" w:eastAsia="Times New Roman" w:hAnsi="Times New Roman"/>
                <w:sz w:val="20"/>
                <w:szCs w:val="20"/>
                <w:color w:val="231F20"/>
                <w:w w:val="99"/>
              </w:rPr>
              <w:t>State and local income taxes, net of federal benefit</w:t>
            </w:r>
            <w:r>
              <w:rPr>
                <w:rFonts w:ascii="Times New Roman" w:cs="Times New Roman" w:eastAsia="Times New Roman" w:hAnsi="Times New Roman"/>
                <w:sz w:val="26"/>
                <w:szCs w:val="26"/>
                <w:color w:val="231F20"/>
                <w:w w:val="99"/>
                <w:vertAlign w:val="superscript"/>
              </w:rPr>
              <w:t>(a)</w:t>
            </w:r>
            <w:r>
              <w:rPr>
                <w:rFonts w:ascii="Times New Roman" w:cs="Times New Roman" w:eastAsia="Times New Roman" w:hAnsi="Times New Roman"/>
                <w:sz w:val="20"/>
                <w:szCs w:val="20"/>
                <w:color w:val="231F20"/>
                <w:w w:val="99"/>
              </w:rPr>
              <w:t>.........</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300" w:type="dxa"/>
            <w:vAlign w:val="bottom"/>
          </w:tcPr>
          <w:p>
            <w:pPr>
              <w:spacing w:after="0"/>
              <w:rPr>
                <w:sz w:val="22"/>
                <w:szCs w:val="22"/>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231F20"/>
              </w:rPr>
              <w:t>(0.1)%</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5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Foreign tax effects: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Australia-tax on sale of commercialization rights...........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300" w:type="dxa"/>
            <w:vAlign w:val="bottom"/>
          </w:tcPr>
          <w:p>
            <w:pPr>
              <w:spacing w:after="0"/>
              <w:rPr>
                <w:sz w:val="22"/>
                <w:szCs w:val="22"/>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231F20"/>
              </w:rPr>
              <w:t>(1.6)%</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w:t>
            </w: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Australia-other .................................................................</w:t>
            </w:r>
          </w:p>
        </w:tc>
        <w:tc>
          <w:tcPr>
            <w:tcW w:w="2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(37)</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231F20"/>
              </w:rPr>
              <w:t>0.1%</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Other foreign jurisdictions................................................</w:t>
            </w:r>
          </w:p>
        </w:tc>
        <w:tc>
          <w:tcPr>
            <w:tcW w:w="2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(12)</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(168)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0.3%</w:t>
            </w:r>
          </w:p>
        </w:tc>
      </w:tr>
      <w:tr>
        <w:trPr>
          <w:trHeight w:val="25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Federal R&amp;D credit..........................................................</w:t>
            </w:r>
          </w:p>
        </w:tc>
        <w:tc>
          <w:tcPr>
            <w:tcW w:w="22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(1,418)</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231F20"/>
              </w:rPr>
              <w:t>1.9%</w:t>
            </w:r>
          </w:p>
        </w:tc>
        <w:tc>
          <w:tcPr>
            <w:tcW w:w="2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(1,247)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2.2%</w:t>
            </w: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Change in valuation allowance...........................................</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14,931</w:t>
            </w:r>
          </w:p>
        </w:tc>
        <w:tc>
          <w:tcPr>
            <w:tcW w:w="300" w:type="dxa"/>
            <w:vAlign w:val="bottom"/>
          </w:tcPr>
          <w:p>
            <w:pPr>
              <w:spacing w:after="0"/>
              <w:rPr>
                <w:sz w:val="22"/>
                <w:szCs w:val="22"/>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231F20"/>
              </w:rPr>
              <w:t>(20.4)%</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13,004</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(22.5)%</w:t>
            </w:r>
          </w:p>
        </w:tc>
      </w:tr>
      <w:tr>
        <w:trPr>
          <w:trHeight w:val="25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SAFE liability loss...........................................................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2"/>
                <w:szCs w:val="22"/>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968</w:t>
            </w:r>
          </w:p>
        </w:tc>
        <w:tc>
          <w:tcPr>
            <w:tcW w:w="2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w:t>
            </w:r>
          </w:p>
        </w:tc>
      </w:tr>
      <w:tr>
        <w:trPr>
          <w:trHeight w:val="258"/>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Equity-based compensation.............................................</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1,442</w:t>
            </w:r>
          </w:p>
        </w:tc>
        <w:tc>
          <w:tcPr>
            <w:tcW w:w="300" w:type="dxa"/>
            <w:vAlign w:val="bottom"/>
          </w:tcPr>
          <w:p>
            <w:pPr>
              <w:spacing w:after="0"/>
              <w:rPr>
                <w:sz w:val="22"/>
                <w:szCs w:val="22"/>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231F20"/>
              </w:rPr>
              <w:t>(2.0)%</w:t>
            </w:r>
          </w:p>
        </w:tc>
        <w:tc>
          <w:tcPr>
            <w:tcW w:w="2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(727)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1.3%</w:t>
            </w:r>
          </w:p>
        </w:tc>
      </w:tr>
      <w:tr>
        <w:trPr>
          <w:trHeight w:val="249"/>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Other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w:t>
            </w:r>
          </w:p>
        </w:tc>
        <w:tc>
          <w:tcPr>
            <w:tcW w:w="300" w:type="dxa"/>
            <w:vAlign w:val="bottom"/>
          </w:tcPr>
          <w:p>
            <w:pPr>
              <w:spacing w:after="0"/>
              <w:rPr>
                <w:sz w:val="21"/>
                <w:szCs w:val="21"/>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231F20"/>
              </w:rPr>
              <w:t>(0.6)%</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(347)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0.6%</w:t>
            </w:r>
          </w:p>
        </w:tc>
      </w:tr>
      <w:tr>
        <w:trPr>
          <w:trHeight w:val="20"/>
        </w:trPr>
        <w:tc>
          <w:tcPr>
            <w:tcW w:w="46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3"/>
        </w:trPr>
        <w:tc>
          <w:tcPr>
            <w:tcW w:w="4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Effective income tax rate....................................................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1,230</w:t>
            </w:r>
          </w:p>
        </w:tc>
        <w:tc>
          <w:tcPr>
            <w:tcW w:w="300" w:type="dxa"/>
            <w:vAlign w:val="bottom"/>
          </w:tcPr>
          <w:p>
            <w:pPr>
              <w:spacing w:after="0"/>
              <w:rPr>
                <w:sz w:val="22"/>
                <w:szCs w:val="22"/>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231F20"/>
              </w:rPr>
              <w:t>(1.7)%</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r>
      <w:tr>
        <w:trPr>
          <w:trHeight w:val="20"/>
        </w:trPr>
        <w:tc>
          <w:tcPr>
            <w:tcW w:w="46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-3114040</wp:posOffset>
            </wp:positionV>
            <wp:extent cx="364172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3641725" cy="381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 w:right="2080" w:hanging="4"/>
        <w:spacing w:after="0" w:line="402" w:lineRule="auto"/>
        <w:tabs>
          <w:tab w:leader="none" w:pos="275" w:val="left"/>
        </w:tabs>
        <w:numPr>
          <w:ilvl w:val="0"/>
          <w:numId w:val="6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State taxes in Massachusetts make up the majority (greater than 50 percent) of the tax effect in this category. The components of the Company’s net deferred tax assets and liabilities are as follows:</w:t>
      </w:r>
    </w:p>
    <w:p>
      <w:pPr>
        <w:sectPr>
          <w:pgSz w:w="11880" w:h="15480" w:orient="portrait"/>
          <w:cols w:equalWidth="0" w:num="1">
            <w:col w:w="11024"/>
          </w:cols>
          <w:pgMar w:left="396" w:top="764" w:right="46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11024"/>
          </w:cols>
          <w:pgMar w:left="396" w:top="764" w:right="460" w:bottom="6" w:gutter="0" w:footer="0" w:header="0"/>
          <w:type w:val="continuous"/>
        </w:sectPr>
      </w:pPr>
    </w:p>
    <w:bookmarkStart w:id="116" w:name="page117"/>
    <w:bookmarkEnd w:id="116"/>
    <w:tbl>
      <w:tblPr>
        <w:tblLayout w:type="fixed"/>
        <w:tblInd w:w="78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193"/>
        </w:trPr>
        <w:tc>
          <w:tcPr>
            <w:tcW w:w="80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140" w:type="dxa"/>
            <w:vAlign w:val="bottom"/>
            <w:tcBorders>
              <w:top w:val="single" w:sz="8" w:color="231F20"/>
              <w:bottom w:val="single" w:sz="8" w:color="231F20"/>
            </w:tcBorders>
          </w:tcPr>
          <w:p>
            <w:pPr>
              <w:spacing w:after="0"/>
              <w:rPr>
                <w:sz w:val="16"/>
                <w:szCs w:val="16"/>
                <w:color w:val="auto"/>
              </w:rPr>
            </w:pPr>
          </w:p>
        </w:tc>
        <w:tc>
          <w:tcPr>
            <w:tcW w:w="800" w:type="dxa"/>
            <w:vAlign w:val="bottom"/>
            <w:tcBorders>
              <w:top w:val="single" w:sz="8" w:color="231F20"/>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top w:val="single" w:sz="8" w:color="231F20"/>
            </w:tcBorders>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140" w:type="dxa"/>
            <w:vAlign w:val="bottom"/>
            <w:tcBorders>
              <w:top w:val="single" w:sz="8" w:color="231F20"/>
              <w:bottom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 operating loss carryforward......................................................................................................</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123,867</w:t>
            </w: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109,392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Research credits...............................................................................................................................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15,755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Accruals &amp; other .............................................................................................................................</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Capitalized research and development expenses.............................................................................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43,829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40,742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Stock-based compensation ..............................................................................................................</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Amortization....................................................................................................................................</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3,167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Lease liability ..................................................................................................................................</w:t>
            </w:r>
          </w:p>
        </w:tc>
        <w:tc>
          <w:tcPr>
            <w:tcW w:w="14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..............................................................................................................Totaldeferredtaxassets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189,521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171,270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99"/>
              </w:rPr>
              <w:t>Valuation allowance............................................................................................................................</w:t>
            </w: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(188,891)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(170,177)</w:t>
            </w:r>
          </w:p>
        </w:tc>
        <w:tc>
          <w:tcPr>
            <w:tcW w:w="0" w:type="dxa"/>
            <w:vAlign w:val="bottom"/>
          </w:tcPr>
          <w:p>
            <w:pPr>
              <w:spacing w:after="0"/>
              <w:rPr>
                <w:sz w:val="1"/>
                <w:szCs w:val="1"/>
                <w:color w:val="auto"/>
              </w:rPr>
            </w:pPr>
          </w:p>
        </w:tc>
      </w:tr>
      <w:tr>
        <w:trPr>
          <w:trHeight w:val="239"/>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.................................................................................................................Netdeferredtaxassets</w:t>
            </w: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1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Depreciation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(485)</w:t>
            </w:r>
          </w:p>
        </w:tc>
        <w:tc>
          <w:tcPr>
            <w:tcW w:w="0" w:type="dxa"/>
            <w:vAlign w:val="bottom"/>
          </w:tcPr>
          <w:p>
            <w:pPr>
              <w:spacing w:after="0"/>
              <w:rPr>
                <w:sz w:val="1"/>
                <w:szCs w:val="1"/>
                <w:color w:val="auto"/>
              </w:rPr>
            </w:pPr>
          </w:p>
        </w:tc>
      </w:tr>
      <w:tr>
        <w:trPr>
          <w:trHeight w:val="249"/>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Right of use asset.............................................................................................................................</w:t>
            </w: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(608)</w:t>
            </w:r>
          </w:p>
        </w:tc>
        <w:tc>
          <w:tcPr>
            <w:tcW w:w="0" w:type="dxa"/>
            <w:vAlign w:val="bottom"/>
          </w:tcPr>
          <w:p>
            <w:pPr>
              <w:spacing w:after="0"/>
              <w:rPr>
                <w:sz w:val="1"/>
                <w:szCs w:val="1"/>
                <w:color w:val="auto"/>
              </w:rPr>
            </w:pPr>
          </w:p>
        </w:tc>
      </w:tr>
      <w:tr>
        <w:trPr>
          <w:trHeight w:val="239"/>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........................................................................................................Totaldeferredtaxliabilities</w:t>
            </w:r>
          </w:p>
        </w:tc>
        <w:tc>
          <w:tcPr>
            <w:tcW w:w="140" w:type="dxa"/>
            <w:vAlign w:val="bottom"/>
            <w:tcBorders>
              <w:top w:val="single" w:sz="8" w:color="231F20"/>
              <w:bottom w:val="single" w:sz="8" w:color="231F20"/>
            </w:tcBorders>
          </w:tcPr>
          <w:p>
            <w:pPr>
              <w:spacing w:after="0"/>
              <w:rPr>
                <w:sz w:val="20"/>
                <w:szCs w:val="20"/>
                <w:color w:val="auto"/>
              </w:rPr>
            </w:pPr>
          </w:p>
        </w:tc>
        <w:tc>
          <w:tcPr>
            <w:tcW w:w="8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spacing w:after="0"/>
              <w:rPr>
                <w:sz w:val="20"/>
                <w:szCs w:val="20"/>
                <w:color w:val="auto"/>
              </w:rPr>
            </w:pP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..............................................................................................Netdeferredtaxassets(liabilities)</w:t>
            </w: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231F20"/>
        </w:rPr>
        <w:t>As of December 31, 2025, the Company had $453.3 million of U.S. federal net operating loss carryforwards, all of which have an unlimited carryforward period. As of December 31, 2025, the Company had $123.7 million of state net operating loss carryforwards, which begin to expire at various dates from 2038 through 2045. As of December 31, 2025, the Company had $8.0 million of foreign net operating loss carryforwards, which is comprised of $7.6 million in Australia that have an unlimited carryforward period and $0.4 million in Canada that begin to expire in 2044.</w:t>
      </w:r>
    </w:p>
    <w:p>
      <w:pPr>
        <w:spacing w:after="0" w:line="7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231F20"/>
        </w:rPr>
        <w:t>As of December 31, 2025, the Company had $11.9 million of U.S. federal research and development tax credits that begin to expire in 2039. As of December 31, 2025, the Company had $4.9 million of state research and development tax credits that begin to expire at various dates from 2034 through 2040.</w:t>
      </w:r>
    </w:p>
    <w:p>
      <w:pPr>
        <w:spacing w:after="0" w:line="6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231F20"/>
        </w:rPr>
        <w:t>The future realization of the tax benefits from existing temporary differences and tax attributes ultimately depends on the existence of sufficient taxable income. The Company assesses the realizability of its deferred tax assets at each balance sheet date. In assessing the realization of its deferred tax assets, the Company considers whether it is more likely than not that some portion or all of the deferred tax assets will not be realized. The Company considers the projected future taxable income, expected reversal of existing deferred tax liabilities, and tax planning strategies in making this assessment. After consideration of all available evidence, both positive and negative, the Company determined that it is not more likely than not that its net deferred tax assets will be realized in the foreseeable future. As a result, the Company increased its valuation allowance by $18.7 million as of December 31, 2025.</w:t>
      </w:r>
    </w:p>
    <w:p>
      <w:pPr>
        <w:spacing w:after="0" w:line="8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231F20"/>
        </w:rPr>
        <w:t>The future realization of the Company's net operating loss carryforwards and other tax attributes may also be limited by the change in ownership rules under the U.S.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an ownership change has occurred or whether there have been multiple ownership changes.</w:t>
      </w:r>
    </w:p>
    <w:p>
      <w:pPr>
        <w:spacing w:after="0" w:line="7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231F20"/>
        </w:rPr>
        <w:t>The Company does not provide for U.S. Federal, state, and applicable foreign income and withholding taxes on the financial reporting basis over the tax basis of its foreign subsidiary investment because the Company has the intentions and ability to indefinitely reinvest the undistributed earnings of its foreign subsidiaries. As a result, deferred taxes have not been recorded for the outside basis differences in its foreign subsidiary as of December 31, 2025 to the extent such differences are expected to result in future taxable income upon repatriation. The Company reviews its ability and intentions to indefinitely reinvest its foreign earnings at each balance sheet.</w:t>
      </w:r>
    </w:p>
    <w:p>
      <w:pPr>
        <w:spacing w:after="0" w:line="7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231F20"/>
        </w:rPr>
        <w:t>The Company records uncertain tax positions as liabilities in accordance with ASC 740-10 and adjusts these liabilities when judgment changes as a result of the evaluation of new information not previously available. Since there is complexity in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The calculation and assessment of the Company's income tax exposures generally involves the uncertainties in the application of complex tax laws and regulations for federal, state, and foreign jurisdictions. A tax benefit from an uncertain tax position may be recognized when it is more likely than not that the position will be sustained upon local tax examination including resolutions of any related appeals or litigation on the basis of the technical merits.</w:t>
      </w:r>
    </w:p>
    <w:p>
      <w:pPr>
        <w:spacing w:after="0" w:line="86"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9"/>
          <w:szCs w:val="19"/>
          <w:color w:val="231F20"/>
        </w:rPr>
        <w:t>The Company files income tax returns in the US, Australia and Canada, which are the Company's major jurisdictions where it is subject to tax examination by local tax authorities. The Company is not currently under examination for income taxes, and is not aware of any issues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F-23</w:t>
      </w:r>
    </w:p>
    <w:p>
      <w:pPr>
        <w:sectPr>
          <w:pgSz w:w="11880" w:h="15480" w:orient="portrait"/>
          <w:cols w:equalWidth="0" w:num="1">
            <w:col w:w="11080"/>
          </w:cols>
          <w:pgMar w:left="400" w:top="764" w:right="400" w:bottom="0" w:gutter="0" w:footer="0" w:header="0"/>
        </w:sectPr>
      </w:pPr>
    </w:p>
    <w:bookmarkStart w:id="117" w:name="page118"/>
    <w:bookmarkEnd w:id="117"/>
    <w:p>
      <w:pPr>
        <w:ind w:left="4"/>
        <w:spacing w:after="0" w:line="258" w:lineRule="auto"/>
        <w:rPr>
          <w:sz w:val="20"/>
          <w:szCs w:val="20"/>
          <w:color w:val="auto"/>
        </w:rPr>
      </w:pPr>
      <w:r>
        <w:rPr>
          <w:rFonts w:ascii="Times New Roman" w:cs="Times New Roman" w:eastAsia="Times New Roman" w:hAnsi="Times New Roman"/>
          <w:sz w:val="20"/>
          <w:szCs w:val="20"/>
          <w:color w:val="231F20"/>
        </w:rPr>
        <w:t>under review that could result in significant payments, accruals or material deviation from its tax positions. To the extent the Company has tax attribute carryforwards, the tax years in which the attribute was generated may still be adjusted upon examination by local tax authorities to the extent utilized in a future period. The statute of limitations for the Company has expired for tax years prior to 2021.</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following summarizes the Company's income taxes paid (net of refunds received) for the years presented :</w:t>
      </w:r>
    </w:p>
    <w:p>
      <w:pPr>
        <w:spacing w:after="0" w:line="134" w:lineRule="exact"/>
        <w:rPr>
          <w:sz w:val="20"/>
          <w:szCs w:val="20"/>
          <w:color w:val="auto"/>
        </w:rPr>
      </w:pPr>
    </w:p>
    <w:tbl>
      <w:tblPr>
        <w:tblLayout w:type="fixed"/>
        <w:tblInd w:w="824"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720" w:type="dxa"/>
            <w:vAlign w:val="bottom"/>
            <w:tcBorders>
              <w:bottom w:val="single" w:sz="8" w:color="231F20"/>
            </w:tcBorders>
          </w:tcPr>
          <w:p>
            <w:pPr>
              <w:spacing w:after="0"/>
              <w:rPr>
                <w:sz w:val="17"/>
                <w:szCs w:val="17"/>
                <w:color w:val="auto"/>
              </w:rPr>
            </w:pPr>
          </w:p>
        </w:tc>
        <w:tc>
          <w:tcPr>
            <w:tcW w:w="2240" w:type="dxa"/>
            <w:vAlign w:val="bottom"/>
            <w:tcBorders>
              <w:bottom w:val="single" w:sz="8" w:color="231F20"/>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5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vMerge w:val="restart"/>
          </w:tcPr>
          <w:p>
            <w:pPr>
              <w:jc w:val="right"/>
              <w:ind w:right="3880"/>
              <w:spacing w:after="0"/>
              <w:rPr>
                <w:sz w:val="20"/>
                <w:szCs w:val="20"/>
                <w:color w:val="auto"/>
              </w:rPr>
            </w:pPr>
            <w:r>
              <w:rPr>
                <w:rFonts w:ascii="Times New Roman" w:cs="Times New Roman" w:eastAsia="Times New Roman" w:hAnsi="Times New Roman"/>
                <w:sz w:val="20"/>
                <w:szCs w:val="20"/>
                <w:color w:val="231F20"/>
              </w:rPr>
              <w:t>Federal</w:t>
            </w:r>
          </w:p>
        </w:tc>
        <w:tc>
          <w:tcPr>
            <w:tcW w:w="1720" w:type="dxa"/>
            <w:vAlign w:val="bottom"/>
            <w:tcBorders>
              <w:bottom w:val="single" w:sz="8" w:color="231F20"/>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180" w:type="dxa"/>
            <w:vAlign w:val="bottom"/>
            <w:tcBorders>
              <w:bottom w:val="single" w:sz="8" w:color="231F20"/>
            </w:tcBorders>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Borders>
              <w:bottom w:val="single" w:sz="8" w:color="231F20"/>
            </w:tcBorders>
          </w:tcPr>
          <w:p>
            <w:pPr>
              <w:spacing w:after="0"/>
              <w:rPr>
                <w:sz w:val="16"/>
                <w:szCs w:val="16"/>
                <w:color w:val="auto"/>
              </w:rPr>
            </w:pPr>
          </w:p>
        </w:tc>
        <w:tc>
          <w:tcPr>
            <w:tcW w:w="1500" w:type="dxa"/>
            <w:vAlign w:val="bottom"/>
            <w:tcBorders>
              <w:bottom w:val="single" w:sz="8" w:color="231F20"/>
            </w:tcBorders>
          </w:tcPr>
          <w:p>
            <w:pPr>
              <w:ind w:left="3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4"/>
        </w:trPr>
        <w:tc>
          <w:tcPr>
            <w:tcW w:w="4740" w:type="dxa"/>
            <w:vAlign w:val="bottom"/>
            <w:vMerge w:val="continue"/>
          </w:tcPr>
          <w:p>
            <w:pPr>
              <w:jc w:val="right"/>
              <w:spacing w:after="0" w:line="196" w:lineRule="exact"/>
              <w:rPr>
                <w:sz w:val="20"/>
                <w:szCs w:val="20"/>
                <w:color w:val="auto"/>
              </w:rPr>
            </w:pPr>
            <w:r>
              <w:rPr>
                <w:rFonts w:ascii="Times New Roman" w:cs="Times New Roman" w:eastAsia="Times New Roman" w:hAnsi="Times New Roman"/>
                <w:sz w:val="20"/>
                <w:szCs w:val="20"/>
                <w:color w:val="231F20"/>
              </w:rPr>
              <w:t>...............................................................................</w:t>
            </w:r>
          </w:p>
        </w:tc>
        <w:tc>
          <w:tcPr>
            <w:tcW w:w="1720" w:type="dxa"/>
            <w:vAlign w:val="bottom"/>
          </w:tcPr>
          <w:p>
            <w:pPr>
              <w:jc w:val="right"/>
              <w:ind w:right="1527"/>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spacing w:after="0"/>
              <w:rPr>
                <w:sz w:val="20"/>
                <w:szCs w:val="20"/>
                <w:color w:val="auto"/>
              </w:rPr>
            </w:pP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44"/>
        </w:trPr>
        <w:tc>
          <w:tcPr>
            <w:tcW w:w="4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State...................................................................................</w:t>
            </w:r>
          </w:p>
        </w:tc>
        <w:tc>
          <w:tcPr>
            <w:tcW w:w="1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49"/>
        </w:trPr>
        <w:tc>
          <w:tcPr>
            <w:tcW w:w="4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Foreign ..............................................................................</w:t>
            </w:r>
          </w:p>
        </w:tc>
        <w:tc>
          <w:tcPr>
            <w:tcW w:w="172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600" w:type="dxa"/>
            <w:vAlign w:val="bottom"/>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ind w:left="128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9"/>
        </w:trPr>
        <w:tc>
          <w:tcPr>
            <w:tcW w:w="4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....................................................Totalincometaxpaid,net</w:t>
            </w:r>
          </w:p>
        </w:tc>
        <w:tc>
          <w:tcPr>
            <w:tcW w:w="1720" w:type="dxa"/>
            <w:vAlign w:val="bottom"/>
          </w:tcPr>
          <w:p>
            <w:pPr>
              <w:jc w:val="right"/>
              <w:ind w:right="1527"/>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1,230</w:t>
            </w:r>
          </w:p>
        </w:tc>
        <w:tc>
          <w:tcPr>
            <w:tcW w:w="600" w:type="dxa"/>
            <w:vAlign w:val="bottom"/>
          </w:tcPr>
          <w:p>
            <w:pPr>
              <w:spacing w:after="0"/>
              <w:rPr>
                <w:sz w:val="23"/>
                <w:szCs w:val="23"/>
                <w:color w:val="auto"/>
              </w:rPr>
            </w:pP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0" w:type="dxa"/>
            <w:vAlign w:val="bottom"/>
          </w:tcPr>
          <w:p>
            <w:pPr>
              <w:spacing w:after="0"/>
              <w:rPr>
                <w:sz w:val="1"/>
                <w:szCs w:val="1"/>
                <w:color w:val="auto"/>
              </w:rPr>
            </w:pPr>
          </w:p>
        </w:tc>
      </w:tr>
    </w:tbl>
    <w:p>
      <w:pPr>
        <w:spacing w:after="0" w:line="353"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20"/>
          <w:szCs w:val="20"/>
          <w:color w:val="231F20"/>
        </w:rPr>
        <w:t>The following summarizes the jurisdictions that exceeded 5% of the Company's total income taxes paid (net of refunds) for the years presented:</w:t>
      </w:r>
    </w:p>
    <w:p>
      <w:pPr>
        <w:spacing w:after="0" w:line="64" w:lineRule="exact"/>
        <w:rPr>
          <w:sz w:val="20"/>
          <w:szCs w:val="20"/>
          <w:color w:val="auto"/>
        </w:rPr>
      </w:pPr>
    </w:p>
    <w:tbl>
      <w:tblPr>
        <w:tblLayout w:type="fixed"/>
        <w:tblInd w:w="784"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2080" w:type="dxa"/>
            <w:vAlign w:val="bottom"/>
            <w:tcBorders>
              <w:bottom w:val="single" w:sz="8" w:color="231F20"/>
            </w:tcBorders>
          </w:tcPr>
          <w:p>
            <w:pPr>
              <w:spacing w:after="0"/>
              <w:rPr>
                <w:sz w:val="17"/>
                <w:szCs w:val="17"/>
                <w:color w:val="auto"/>
              </w:rPr>
            </w:pPr>
          </w:p>
        </w:tc>
        <w:tc>
          <w:tcPr>
            <w:tcW w:w="2500" w:type="dxa"/>
            <w:vAlign w:val="bottom"/>
            <w:tcBorders>
              <w:bottom w:val="single" w:sz="8" w:color="231F20"/>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820" w:type="dxa"/>
            <w:vAlign w:val="bottom"/>
            <w:tcBorders>
              <w:bottom w:val="single" w:sz="8" w:color="231F20"/>
            </w:tcBorders>
          </w:tcPr>
          <w:p>
            <w:pPr>
              <w:spacing w:after="0"/>
              <w:rPr>
                <w:sz w:val="17"/>
                <w:szCs w:val="17"/>
                <w:color w:val="auto"/>
              </w:rPr>
            </w:pPr>
          </w:p>
        </w:tc>
      </w:tr>
      <w:tr>
        <w:trPr>
          <w:trHeight w:val="193"/>
        </w:trPr>
        <w:tc>
          <w:tcPr>
            <w:tcW w:w="3900" w:type="dxa"/>
            <w:vAlign w:val="bottom"/>
          </w:tcPr>
          <w:p>
            <w:pPr>
              <w:spacing w:after="0"/>
              <w:rPr>
                <w:sz w:val="16"/>
                <w:szCs w:val="16"/>
                <w:color w:val="auto"/>
              </w:rPr>
            </w:pPr>
          </w:p>
        </w:tc>
        <w:tc>
          <w:tcPr>
            <w:tcW w:w="2080" w:type="dxa"/>
            <w:vAlign w:val="bottom"/>
            <w:tcBorders>
              <w:bottom w:val="single" w:sz="8" w:color="231F20"/>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320" w:type="dxa"/>
            <w:vAlign w:val="bottom"/>
            <w:tcBorders>
              <w:bottom w:val="single" w:sz="8" w:color="231F20"/>
            </w:tcBorders>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Borders>
              <w:bottom w:val="single" w:sz="8" w:color="231F20"/>
            </w:tcBorders>
          </w:tcPr>
          <w:p>
            <w:pPr>
              <w:spacing w:after="0"/>
              <w:rPr>
                <w:sz w:val="16"/>
                <w:szCs w:val="16"/>
                <w:color w:val="auto"/>
              </w:rPr>
            </w:pPr>
          </w:p>
        </w:tc>
        <w:tc>
          <w:tcPr>
            <w:tcW w:w="1820" w:type="dxa"/>
            <w:vAlign w:val="bottom"/>
            <w:tcBorders>
              <w:bottom w:val="single" w:sz="8" w:color="231F20"/>
            </w:tcBorders>
          </w:tcPr>
          <w:p>
            <w:pPr>
              <w:jc w:val="right"/>
              <w:ind w:right="910"/>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454"/>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Australia...............................................................</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tcPr>
          <w:p>
            <w:pPr>
              <w:jc w:val="right"/>
              <w:ind w:right="1030"/>
              <w:spacing w:after="0"/>
              <w:rPr>
                <w:sz w:val="20"/>
                <w:szCs w:val="20"/>
                <w:color w:val="auto"/>
              </w:rPr>
            </w:pPr>
            <w:r>
              <w:rPr>
                <w:rFonts w:ascii="Times New Roman" w:cs="Times New Roman" w:eastAsia="Times New Roman" w:hAnsi="Times New Roman"/>
                <w:sz w:val="20"/>
                <w:szCs w:val="20"/>
                <w:color w:val="231F20"/>
              </w:rPr>
              <w:t>*</w:t>
            </w:r>
          </w:p>
        </w:tc>
      </w:tr>
    </w:tbl>
    <w:p>
      <w:pPr>
        <w:spacing w:after="0" w:line="84" w:lineRule="exact"/>
        <w:rPr>
          <w:sz w:val="20"/>
          <w:szCs w:val="20"/>
          <w:color w:val="auto"/>
        </w:rPr>
      </w:pPr>
    </w:p>
    <w:p>
      <w:pPr>
        <w:ind w:left="144" w:hanging="144"/>
        <w:spacing w:after="0"/>
        <w:tabs>
          <w:tab w:leader="none" w:pos="144" w:val="left"/>
        </w:tabs>
        <w:numPr>
          <w:ilvl w:val="0"/>
          <w:numId w:val="6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Jurisdiction below the threshold for the period presented.</w:t>
      </w:r>
    </w:p>
    <w:p>
      <w:pPr>
        <w:spacing w:after="0" w:line="115" w:lineRule="exact"/>
        <w:rPr>
          <w:rFonts w:ascii="Times New Roman" w:cs="Times New Roman" w:eastAsia="Times New Roman" w:hAnsi="Times New Roman"/>
          <w:sz w:val="20"/>
          <w:szCs w:val="20"/>
          <w:color w:val="231F20"/>
        </w:rPr>
      </w:pPr>
    </w:p>
    <w:p>
      <w:pPr>
        <w:ind w:left="4"/>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14. RELATED PARTY TRANSACTIONS</w:t>
      </w:r>
    </w:p>
    <w:p>
      <w:pPr>
        <w:spacing w:after="0" w:line="124" w:lineRule="exact"/>
        <w:rPr>
          <w:sz w:val="20"/>
          <w:szCs w:val="20"/>
          <w:color w:val="auto"/>
        </w:rPr>
      </w:pPr>
    </w:p>
    <w:p>
      <w:pPr>
        <w:ind w:left="4" w:right="520"/>
        <w:spacing w:after="0" w:line="305" w:lineRule="auto"/>
        <w:rPr>
          <w:sz w:val="20"/>
          <w:szCs w:val="20"/>
          <w:color w:val="auto"/>
        </w:rPr>
      </w:pPr>
      <w:r>
        <w:rPr>
          <w:rFonts w:ascii="Times New Roman" w:cs="Times New Roman" w:eastAsia="Times New Roman" w:hAnsi="Times New Roman"/>
          <w:sz w:val="19"/>
          <w:szCs w:val="19"/>
          <w:color w:val="231F20"/>
        </w:rPr>
        <w:t>The Company enters into transactions with related parties in the ordinary course of business. Related parties include the Company’s directors, executive officers, principal stockholders, and entities in which such individuals have a controlling financial interest.</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Scientific Advisory Board Member</w:t>
      </w:r>
    </w:p>
    <w:p>
      <w:pPr>
        <w:spacing w:after="0" w:line="120"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20"/>
          <w:szCs w:val="20"/>
          <w:color w:val="231F20"/>
        </w:rPr>
        <w:t xml:space="preserve">One of the Company’s co-founders and former director is a member of the Company’s Scientific Advisory Board and meets the criteria of a related party. </w:t>
      </w:r>
      <w:r>
        <w:rPr>
          <w:rFonts w:ascii="Times New Roman" w:cs="Times New Roman" w:eastAsia="Times New Roman" w:hAnsi="Times New Roman"/>
          <w:sz w:val="19"/>
          <w:szCs w:val="19"/>
          <w:color w:val="231F20"/>
        </w:rPr>
        <w:t>For each of the years ended December 31, 2025 and 2024, the Company incurred expense of $0.1 million for advisory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services provided. There were no amounts due to this related party as of December 31, 2025 or 2024.</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License Agreement</w:t>
      </w:r>
    </w:p>
    <w:p>
      <w:pPr>
        <w:spacing w:after="0" w:line="120"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20"/>
          <w:szCs w:val="20"/>
          <w:color w:val="231F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11, </w:t>
      </w:r>
      <w:r>
        <w:rPr>
          <w:rFonts w:ascii="Times New Roman" w:cs="Times New Roman" w:eastAsia="Times New Roman" w:hAnsi="Times New Roman"/>
          <w:sz w:val="20"/>
          <w:szCs w:val="20"/>
          <w:i w:val="1"/>
          <w:iCs w:val="1"/>
          <w:color w:val="231F20"/>
        </w:rPr>
        <w:t>License Agreements</w:t>
      </w:r>
      <w:r>
        <w:rPr>
          <w:rFonts w:ascii="Times New Roman" w:cs="Times New Roman" w:eastAsia="Times New Roman" w:hAnsi="Times New Roman"/>
          <w:sz w:val="20"/>
          <w:szCs w:val="20"/>
          <w:color w:val="231F20"/>
        </w:rPr>
        <w:t>.</w:t>
      </w:r>
    </w:p>
    <w:p>
      <w:pPr>
        <w:spacing w:after="0" w:line="68" w:lineRule="exact"/>
        <w:rPr>
          <w:sz w:val="20"/>
          <w:szCs w:val="20"/>
          <w:color w:val="auto"/>
        </w:rPr>
      </w:pPr>
    </w:p>
    <w:p>
      <w:pPr>
        <w:ind w:left="4" w:right="180"/>
        <w:spacing w:after="0" w:line="305" w:lineRule="auto"/>
        <w:rPr>
          <w:sz w:val="20"/>
          <w:szCs w:val="20"/>
          <w:color w:val="auto"/>
        </w:rPr>
      </w:pPr>
      <w:r>
        <w:rPr>
          <w:rFonts w:ascii="Times New Roman" w:cs="Times New Roman" w:eastAsia="Times New Roman" w:hAnsi="Times New Roman"/>
          <w:sz w:val="19"/>
          <w:szCs w:val="19"/>
          <w:color w:val="231F20"/>
        </w:rPr>
        <w:t>The Company incurred expense of $0.1 million and $0.4 million related to the License Agreement during the years ended December 31, 2025 and 2024, respectively. No amounts were due to Harvard related to the License Agreement as of December 31, 2025 and 2024.</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Private Placement</w:t>
      </w:r>
    </w:p>
    <w:p>
      <w:pPr>
        <w:spacing w:after="0" w:line="120" w:lineRule="exact"/>
        <w:rPr>
          <w:sz w:val="20"/>
          <w:szCs w:val="20"/>
          <w:color w:val="auto"/>
        </w:rPr>
      </w:pPr>
    </w:p>
    <w:p>
      <w:pPr>
        <w:ind w:left="4" w:right="140"/>
        <w:spacing w:after="0" w:line="277" w:lineRule="auto"/>
        <w:rPr>
          <w:sz w:val="20"/>
          <w:szCs w:val="20"/>
          <w:color w:val="auto"/>
        </w:rPr>
      </w:pPr>
      <w:r>
        <w:rPr>
          <w:rFonts w:ascii="Times New Roman" w:cs="Times New Roman" w:eastAsia="Times New Roman" w:hAnsi="Times New Roman"/>
          <w:sz w:val="20"/>
          <w:szCs w:val="20"/>
          <w:color w:val="231F20"/>
        </w:rPr>
        <w:t>The Company issued shares in connection with the Private Placement at a price of $54.14 per share to accredited investors that are either an officer or director of the Company.</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231F20"/>
        </w:rPr>
        <w:t>SAFE Agreements</w:t>
      </w:r>
    </w:p>
    <w:p>
      <w:pPr>
        <w:spacing w:after="0" w:line="120" w:lineRule="exact"/>
        <w:rPr>
          <w:sz w:val="20"/>
          <w:szCs w:val="20"/>
          <w:color w:val="auto"/>
        </w:rPr>
      </w:pPr>
    </w:p>
    <w:p>
      <w:pPr>
        <w:ind w:left="4" w:right="80"/>
        <w:spacing w:after="0" w:line="247" w:lineRule="auto"/>
        <w:rPr>
          <w:sz w:val="20"/>
          <w:szCs w:val="20"/>
          <w:color w:val="auto"/>
        </w:rPr>
      </w:pPr>
      <w:r>
        <w:rPr>
          <w:rFonts w:ascii="Times New Roman" w:cs="Times New Roman" w:eastAsia="Times New Roman" w:hAnsi="Times New Roman"/>
          <w:sz w:val="20"/>
          <w:szCs w:val="20"/>
          <w:color w:val="231F20"/>
        </w:rPr>
        <w:t>From October through December 2023, Legacy Tectonic entered into multiple SAFE agreements with certain existing investors and received proceeds of $34.1 million. All investors were considered related parties of the Company. The SAFE agreements had no maturity date, bore no interest, and were redeemable by Legacy Tectonic upon the occurrence of a triggering event, including the Merger which qualified as a public listing transaction under the SAFE agreements. The SAFEs were redeemed for shares of Legacy Tectonic common stock in connection with the closing of the Merger. As of December 31, 2024, no related-party SAFEs were outstanding, and the Company had no further obligations under these agreements.</w:t>
      </w:r>
    </w:p>
    <w:p>
      <w:pPr>
        <w:spacing w:after="0" w:line="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15. EMPLOYEE BENEFIT PLAN</w:t>
      </w:r>
    </w:p>
    <w:p>
      <w:pPr>
        <w:spacing w:after="0" w:line="124" w:lineRule="exact"/>
        <w:rPr>
          <w:sz w:val="20"/>
          <w:szCs w:val="20"/>
          <w:color w:val="auto"/>
        </w:rPr>
      </w:pPr>
    </w:p>
    <w:p>
      <w:pPr>
        <w:ind w:left="4" w:right="220"/>
        <w:spacing w:after="0" w:line="270" w:lineRule="auto"/>
        <w:rPr>
          <w:sz w:val="20"/>
          <w:szCs w:val="20"/>
          <w:color w:val="auto"/>
        </w:rPr>
      </w:pPr>
      <w:r>
        <w:rPr>
          <w:rFonts w:ascii="Times New Roman" w:cs="Times New Roman" w:eastAsia="Times New Roman" w:hAnsi="Times New Roman"/>
          <w:sz w:val="19"/>
          <w:szCs w:val="19"/>
          <w:color w:val="231F20"/>
        </w:rPr>
        <w:t>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The Company recognized compensation expense related to the Plan of $0.4 million and $0.2 million for the years ended December 31, 2025 and 2024, respectively.</w:t>
      </w:r>
    </w:p>
    <w:p>
      <w:pPr>
        <w:spacing w:after="0" w:line="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231F20"/>
        </w:rPr>
        <w:t>16. SEGMENT INFORMATION</w:t>
      </w:r>
    </w:p>
    <w:p>
      <w:pPr>
        <w:sectPr>
          <w:pgSz w:w="11880" w:h="15480" w:orient="portrait"/>
          <w:cols w:equalWidth="0" w:num="1">
            <w:col w:w="11084"/>
          </w:cols>
          <w:pgMar w:left="396" w:top="750" w:right="40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231F20"/>
        </w:rPr>
        <w:t>F-24</w:t>
      </w:r>
    </w:p>
    <w:p>
      <w:pPr>
        <w:sectPr>
          <w:pgSz w:w="11880" w:h="15480" w:orient="portrait"/>
          <w:cols w:equalWidth="0" w:num="1">
            <w:col w:w="11084"/>
          </w:cols>
          <w:pgMar w:left="396" w:top="750" w:right="400" w:bottom="6" w:gutter="0" w:footer="0" w:header="0"/>
          <w:type w:val="continuous"/>
        </w:sectPr>
      </w:pPr>
    </w:p>
    <w:bookmarkStart w:id="118" w:name="page119"/>
    <w:bookmarkEnd w:id="118"/>
    <w:p>
      <w:pPr>
        <w:jc w:val="both"/>
        <w:ind w:left="4" w:right="340"/>
        <w:spacing w:after="0" w:line="258" w:lineRule="auto"/>
        <w:rPr>
          <w:sz w:val="20"/>
          <w:szCs w:val="20"/>
          <w:color w:val="auto"/>
        </w:rPr>
      </w:pPr>
      <w:r>
        <w:rPr>
          <w:rFonts w:ascii="Times New Roman" w:cs="Times New Roman" w:eastAsia="Times New Roman" w:hAnsi="Times New Roman"/>
          <w:sz w:val="20"/>
          <w:szCs w:val="20"/>
          <w:color w:val="231F20"/>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spacing w:after="0" w:line="68"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20"/>
          <w:szCs w:val="20"/>
          <w:color w:val="231F20"/>
        </w:rPr>
        <w:t>The determination of a single segment is consistent with the consolidated financial information regularly reviewed by the Chief Executive Officer, who serves as the CODM, in evaluating financial performance and allocating resources on a consolidated basis. The CODM primarily evaluates the Company’s performance based on net loss and significant expense categories.</w:t>
      </w:r>
    </w:p>
    <w:p>
      <w:pPr>
        <w:spacing w:after="0" w:line="68" w:lineRule="exact"/>
        <w:rPr>
          <w:sz w:val="20"/>
          <w:szCs w:val="20"/>
          <w:color w:val="auto"/>
        </w:rPr>
      </w:pPr>
    </w:p>
    <w:p>
      <w:pPr>
        <w:ind w:left="4" w:right="160"/>
        <w:spacing w:after="0" w:line="277" w:lineRule="auto"/>
        <w:rPr>
          <w:sz w:val="20"/>
          <w:szCs w:val="20"/>
          <w:color w:val="auto"/>
        </w:rPr>
      </w:pPr>
      <w:r>
        <w:rPr>
          <w:rFonts w:ascii="Times New Roman" w:cs="Times New Roman" w:eastAsia="Times New Roman" w:hAnsi="Times New Roman"/>
          <w:sz w:val="20"/>
          <w:szCs w:val="20"/>
          <w:color w:val="231F20"/>
        </w:rPr>
        <w:t>No segment asset information is presented because the CODM focuses on cash and expense impact; segment assets are monitored at the same level as the Consolidated Balance Sheet.</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231F20"/>
        </w:rPr>
        <w:t>The following table presents the segment net loss and significant segment expenses for the years ended December 31, 2025 and 2024:</w:t>
      </w:r>
    </w:p>
    <w:p>
      <w:pPr>
        <w:spacing w:after="0" w:line="200" w:lineRule="exact"/>
        <w:rPr>
          <w:sz w:val="20"/>
          <w:szCs w:val="20"/>
          <w:color w:val="auto"/>
        </w:rPr>
      </w:pPr>
    </w:p>
    <w:p>
      <w:pPr>
        <w:spacing w:after="0" w:line="210" w:lineRule="exact"/>
        <w:rPr>
          <w:sz w:val="20"/>
          <w:szCs w:val="20"/>
          <w:color w:val="auto"/>
        </w:rPr>
      </w:pPr>
    </w:p>
    <w:tbl>
      <w:tblPr>
        <w:tblLayout w:type="fixed"/>
        <w:tblInd w:w="784"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2640" w:type="dxa"/>
            <w:vAlign w:val="bottom"/>
            <w:tcBorders>
              <w:bottom w:val="single" w:sz="8" w:color="231F20"/>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58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Employee-related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20" w:type="dxa"/>
            <w:vAlign w:val="bottom"/>
            <w:vMerge w:val="continue"/>
          </w:tcPr>
          <w:p>
            <w:pPr>
              <w:spacing w:after="0"/>
              <w:rPr>
                <w:sz w:val="20"/>
                <w:szCs w:val="20"/>
                <w:color w:val="auto"/>
              </w:rPr>
            </w:pPr>
          </w:p>
        </w:tc>
        <w:tc>
          <w:tcPr>
            <w:tcW w:w="900" w:type="dxa"/>
            <w:vAlign w:val="bottom"/>
            <w:tcBorders>
              <w:top w:val="single" w:sz="8" w:color="231F20"/>
            </w:tcBorders>
          </w:tcPr>
          <w:p>
            <w:pPr>
              <w:spacing w:after="0"/>
              <w:rPr>
                <w:sz w:val="20"/>
                <w:szCs w:val="20"/>
                <w:color w:val="auto"/>
              </w:rPr>
            </w:pPr>
          </w:p>
        </w:tc>
        <w:tc>
          <w:tcPr>
            <w:tcW w:w="580" w:type="dxa"/>
            <w:vAlign w:val="bottom"/>
            <w:tcBorders>
              <w:top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top w:val="single" w:sz="8" w:color="231F20"/>
            </w:tcBorders>
          </w:tcPr>
          <w:p>
            <w:pPr>
              <w:spacing w:after="0"/>
              <w:rPr>
                <w:sz w:val="20"/>
                <w:szCs w:val="20"/>
                <w:color w:val="auto"/>
              </w:rPr>
            </w:pPr>
          </w:p>
        </w:tc>
        <w:tc>
          <w:tcPr>
            <w:tcW w:w="58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Research and development employee-related expenses............................................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12,961</w:t>
            </w: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11,135</w:t>
            </w:r>
          </w:p>
        </w:tc>
        <w:tc>
          <w:tcPr>
            <w:tcW w:w="0" w:type="dxa"/>
            <w:vAlign w:val="bottom"/>
          </w:tcPr>
          <w:p>
            <w:pPr>
              <w:spacing w:after="0"/>
              <w:rPr>
                <w:sz w:val="1"/>
                <w:szCs w:val="1"/>
                <w:color w:val="auto"/>
              </w:rPr>
            </w:pPr>
          </w:p>
        </w:tc>
      </w:tr>
      <w:tr>
        <w:trPr>
          <w:trHeight w:val="266"/>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General and administrative employee-related expenses ...........................................</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5,548</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5,553</w:t>
            </w:r>
          </w:p>
        </w:tc>
        <w:tc>
          <w:tcPr>
            <w:tcW w:w="0" w:type="dxa"/>
            <w:vAlign w:val="bottom"/>
          </w:tcPr>
          <w:p>
            <w:pPr>
              <w:spacing w:after="0"/>
              <w:rPr>
                <w:sz w:val="1"/>
                <w:szCs w:val="1"/>
                <w:color w:val="auto"/>
              </w:rPr>
            </w:pPr>
          </w:p>
        </w:tc>
      </w:tr>
      <w:tr>
        <w:trPr>
          <w:trHeight w:val="466"/>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231F20"/>
              </w:rPr>
              <w:t>External research and development expenses: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Research and preclinical expenses ............................................................................</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7,001</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8,477</w:t>
            </w:r>
          </w:p>
        </w:tc>
        <w:tc>
          <w:tcPr>
            <w:tcW w:w="0" w:type="dxa"/>
            <w:vAlign w:val="bottom"/>
          </w:tcPr>
          <w:p>
            <w:pPr>
              <w:spacing w:after="0"/>
              <w:rPr>
                <w:sz w:val="1"/>
                <w:szCs w:val="1"/>
                <w:color w:val="auto"/>
              </w:rPr>
            </w:pPr>
          </w:p>
        </w:tc>
      </w:tr>
      <w:tr>
        <w:trPr>
          <w:trHeight w:val="244"/>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Clinical and development expenses ..........................................................................</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23,798</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15,380</w:t>
            </w:r>
          </w:p>
        </w:tc>
        <w:tc>
          <w:tcPr>
            <w:tcW w:w="0" w:type="dxa"/>
            <w:vAlign w:val="bottom"/>
          </w:tcPr>
          <w:p>
            <w:pPr>
              <w:spacing w:after="0"/>
              <w:rPr>
                <w:sz w:val="1"/>
                <w:szCs w:val="1"/>
                <w:color w:val="auto"/>
              </w:rPr>
            </w:pPr>
          </w:p>
        </w:tc>
      </w:tr>
      <w:tr>
        <w:trPr>
          <w:trHeight w:val="244"/>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Chemistry, manufacturing, and control expenses .....................................................</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10,052</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3,570</w:t>
            </w:r>
          </w:p>
        </w:tc>
        <w:tc>
          <w:tcPr>
            <w:tcW w:w="0" w:type="dxa"/>
            <w:vAlign w:val="bottom"/>
          </w:tcPr>
          <w:p>
            <w:pPr>
              <w:spacing w:after="0"/>
              <w:rPr>
                <w:sz w:val="1"/>
                <w:szCs w:val="1"/>
                <w:color w:val="auto"/>
              </w:rPr>
            </w:pPr>
          </w:p>
        </w:tc>
      </w:tr>
      <w:tr>
        <w:trPr>
          <w:trHeight w:val="266"/>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Non-clinical science expenses...................................................................................</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3,667</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466"/>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99"/>
              </w:rPr>
              <w:t>Non-employee-related general and administrative expenses........................................</w:t>
            </w: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8,985</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8,733</w:t>
            </w:r>
          </w:p>
        </w:tc>
        <w:tc>
          <w:tcPr>
            <w:tcW w:w="0" w:type="dxa"/>
            <w:vAlign w:val="bottom"/>
          </w:tcPr>
          <w:p>
            <w:pPr>
              <w:spacing w:after="0"/>
              <w:rPr>
                <w:sz w:val="1"/>
                <w:szCs w:val="1"/>
                <w:color w:val="auto"/>
              </w:rPr>
            </w:pPr>
          </w:p>
        </w:tc>
      </w:tr>
      <w:tr>
        <w:trPr>
          <w:trHeight w:val="249"/>
        </w:trPr>
        <w:tc>
          <w:tcPr>
            <w:tcW w:w="7020" w:type="dxa"/>
            <w:vAlign w:val="bottom"/>
          </w:tcPr>
          <w:p>
            <w:pPr>
              <w:jc w:val="right"/>
              <w:ind w:right="160"/>
              <w:spacing w:after="0" w:line="250" w:lineRule="exact"/>
              <w:rPr>
                <w:sz w:val="20"/>
                <w:szCs w:val="20"/>
                <w:color w:val="auto"/>
              </w:rPr>
            </w:pPr>
            <w:r>
              <w:rPr>
                <w:rFonts w:ascii="Times New Roman" w:cs="Times New Roman" w:eastAsia="Times New Roman" w:hAnsi="Times New Roman"/>
                <w:sz w:val="20"/>
                <w:szCs w:val="20"/>
                <w:color w:val="231F20"/>
                <w:w w:val="99"/>
              </w:rPr>
              <w:t>Other segment items</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w:t>
            </w:r>
          </w:p>
        </w:tc>
        <w:tc>
          <w:tcPr>
            <w:tcW w:w="9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2,139</w:t>
            </w:r>
          </w:p>
        </w:tc>
        <w:tc>
          <w:tcPr>
            <w:tcW w:w="260" w:type="dxa"/>
            <w:vAlign w:val="bottom"/>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5,134</w:t>
            </w:r>
          </w:p>
        </w:tc>
        <w:tc>
          <w:tcPr>
            <w:tcW w:w="0" w:type="dxa"/>
            <w:vAlign w:val="bottom"/>
          </w:tcPr>
          <w:p>
            <w:pPr>
              <w:spacing w:after="0"/>
              <w:rPr>
                <w:sz w:val="1"/>
                <w:szCs w:val="1"/>
                <w:color w:val="auto"/>
              </w:rPr>
            </w:pPr>
          </w:p>
        </w:tc>
      </w:tr>
      <w:tr>
        <w:trPr>
          <w:trHeight w:val="239"/>
        </w:trPr>
        <w:tc>
          <w:tcPr>
            <w:tcW w:w="7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..........................................................................................................................Netloss</w:t>
            </w:r>
          </w:p>
        </w:tc>
        <w:tc>
          <w:tcPr>
            <w:tcW w:w="900" w:type="dxa"/>
            <w:vAlign w:val="bottom"/>
            <w:tcBorders>
              <w:bottom w:val="single" w:sz="8" w:color="231F20"/>
            </w:tcBorders>
          </w:tcPr>
          <w:p>
            <w:pPr>
              <w:jc w:val="right"/>
              <w:ind w:right="710"/>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74,151</w:t>
            </w:r>
          </w:p>
        </w:tc>
        <w:tc>
          <w:tcPr>
            <w:tcW w:w="260" w:type="dxa"/>
            <w:vAlign w:val="bottom"/>
          </w:tcPr>
          <w:p>
            <w:pPr>
              <w:spacing w:after="0"/>
              <w:rPr>
                <w:sz w:val="20"/>
                <w:szCs w:val="20"/>
                <w:color w:val="auto"/>
              </w:rPr>
            </w:pPr>
          </w:p>
        </w:tc>
        <w:tc>
          <w:tcPr>
            <w:tcW w:w="900" w:type="dxa"/>
            <w:vAlign w:val="bottom"/>
            <w:tcBorders>
              <w:bottom w:val="single" w:sz="8" w:color="231F20"/>
            </w:tcBorders>
          </w:tcPr>
          <w:p>
            <w:pPr>
              <w:jc w:val="right"/>
              <w:ind w:right="700"/>
              <w:spacing w:after="0"/>
              <w:rPr>
                <w:sz w:val="20"/>
                <w:szCs w:val="20"/>
                <w:color w:val="auto"/>
              </w:rPr>
            </w:pPr>
            <w:r>
              <w:rPr>
                <w:rFonts w:ascii="Times New Roman" w:cs="Times New Roman" w:eastAsia="Times New Roman" w:hAnsi="Times New Roman"/>
                <w:sz w:val="20"/>
                <w:szCs w:val="20"/>
                <w:color w:val="231F20"/>
                <w:w w:val="79"/>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57,982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4" w:right="80" w:hanging="4"/>
        <w:spacing w:after="0" w:line="224" w:lineRule="auto"/>
        <w:tabs>
          <w:tab w:leader="none" w:pos="124" w:val="left"/>
        </w:tabs>
        <w:numPr>
          <w:ilvl w:val="0"/>
          <w:numId w:val="65"/>
        </w:numPr>
        <w:rPr>
          <w:rFonts w:ascii="Times New Roman" w:cs="Times New Roman" w:eastAsia="Times New Roman" w:hAnsi="Times New Roman"/>
          <w:sz w:val="28"/>
          <w:szCs w:val="28"/>
          <w:color w:val="231F20"/>
          <w:vertAlign w:val="superscript"/>
        </w:rPr>
      </w:pPr>
      <w:r>
        <w:rPr>
          <w:rFonts w:ascii="Times New Roman" w:cs="Times New Roman" w:eastAsia="Times New Roman" w:hAnsi="Times New Roman"/>
          <w:sz w:val="20"/>
          <w:szCs w:val="20"/>
          <w:color w:val="231F20"/>
        </w:rPr>
        <w:t>Other segment expenses include expenses not captured in the primary employee-related, research and development, or general and administrative categories, such as stock-based compensation, depreciation and amortization, changes in the fair value of SAFE liabilities, income tax expense, interest income and interest expense.</w:t>
      </w:r>
    </w:p>
    <w:p>
      <w:pPr>
        <w:sectPr>
          <w:pgSz w:w="11880" w:h="15480" w:orient="portrait"/>
          <w:cols w:equalWidth="0" w:num="1">
            <w:col w:w="11064"/>
          </w:cols>
          <w:pgMar w:left="396" w:top="750" w:right="42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231F20"/>
        </w:rPr>
        <w:t>F-25</w:t>
      </w:r>
    </w:p>
    <w:sectPr>
      <w:pgSz w:w="11880" w:h="15480" w:orient="portrait"/>
      <w:cols w:equalWidth="0" w:num="1">
        <w:col w:w="11064"/>
      </w:cols>
      <w:pgMar w:left="396" w:top="750" w:right="420" w:bottom="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շ"/>
      <w:numFmt w:val="bullet"/>
      <w:start w:val="1"/>
    </w:lvl>
  </w:abstractNum>
  <w:abstractNum w:abstractNumId="1">
    <w:nsid w:val="3006C83E"/>
    <w:multiLevelType w:val="hybridMultilevel"/>
    <w:lvl w:ilvl="0">
      <w:lvlJc w:val="left"/>
      <w:lvlText w:val="ն"/>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lowerRoman"/>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lowerRoman"/>
      <w:start w:val="3"/>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lvl w:ilvl="1">
      <w:lvlJc w:val="left"/>
      <w:lvlText w:val="ο"/>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2"/>
    </w:lvl>
  </w:abstractNum>
  <w:abstractNum w:abstractNumId="54">
    <w:nsid w:val="741226BB"/>
    <w:multiLevelType w:val="hybridMultilevel"/>
    <w:lvl w:ilvl="0">
      <w:lvlJc w:val="left"/>
      <w:lvlText w:val="(%1)"/>
      <w:numFmt w:val="lowerRoman"/>
      <w:start w:val="3"/>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decimal"/>
      <w:start w:val="2"/>
    </w:lvl>
  </w:abstractNum>
  <w:abstractNum w:abstractNumId="57">
    <w:nsid w:val="3F6AB60F"/>
    <w:multiLevelType w:val="hybridMultilevel"/>
    <w:lvl w:ilvl="0">
      <w:lvlJc w:val="left"/>
      <w:lvlText w:val="%1."/>
      <w:numFmt w:val="decimal"/>
      <w:start w:val="6"/>
    </w:lvl>
  </w:abstractNum>
  <w:abstractNum w:abstractNumId="58">
    <w:nsid w:val="61574095"/>
    <w:multiLevelType w:val="hybridMultilevel"/>
    <w:lvl w:ilvl="0">
      <w:lvlJc w:val="left"/>
      <w:lvlText w:val="%1."/>
      <w:numFmt w:val="decimal"/>
      <w:start w:val="7"/>
    </w:lvl>
  </w:abstractNum>
  <w:abstractNum w:abstractNumId="59">
    <w:nsid w:val="7E0C57B1"/>
    <w:multiLevelType w:val="hybridMultilevel"/>
    <w:lvl w:ilvl="0">
      <w:lvlJc w:val="left"/>
      <w:lvlText w:val="%1."/>
      <w:numFmt w:val="decimal"/>
      <w:start w:val="8"/>
    </w:lvl>
  </w:abstractNum>
  <w:abstractNum w:abstractNumId="60">
    <w:nsid w:val="77AE35EB"/>
    <w:multiLevelType w:val="hybridMultilevel"/>
    <w:lvl w:ilvl="0">
      <w:lvlJc w:val="left"/>
      <w:lvlText w:val="%1."/>
      <w:numFmt w:val="decimal"/>
      <w:start w:val="11"/>
    </w:lvl>
  </w:abstractNum>
  <w:abstractNum w:abstractNumId="61">
    <w:nsid w:val="579BE4F1"/>
    <w:multiLevelType w:val="hybridMultilevel"/>
    <w:lvl w:ilvl="0">
      <w:lvlJc w:val="left"/>
      <w:lvlText w:val="%1."/>
      <w:numFmt w:val="decimal"/>
      <w:start w:val="12"/>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2026-04-24T16:43:23Z</dcterms:created>
  <dcterms:modified xsi:type="dcterms:W3CDTF">2026-04-24T16:43:23Z</dcterms:modified>
</cp:coreProperties>
</file>