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133350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Tectonic Therapeutic,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121285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2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40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001-38537</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81-0710585</w:t>
            </w:r>
          </w:p>
        </w:tc>
      </w:tr>
      <w:tr>
        <w:trPr>
          <w:trHeight w:val="104"/>
        </w:trPr>
        <w:tc>
          <w:tcPr>
            <w:tcW w:w="202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rPr>
              <w:t>(state or other jurisdiction</w:t>
            </w:r>
          </w:p>
        </w:tc>
        <w:tc>
          <w:tcPr>
            <w:tcW w:w="2400" w:type="dxa"/>
            <w:vAlign w:val="bottom"/>
          </w:tcPr>
          <w:p>
            <w:pPr>
              <w:ind w:left="90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2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2400" w:type="dxa"/>
            <w:vAlign w:val="bottom"/>
          </w:tcPr>
          <w:p>
            <w:pPr>
              <w:ind w:left="90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88" w:lineRule="exact"/>
        <w:rPr>
          <w:sz w:val="24"/>
          <w:szCs w:val="24"/>
          <w:color w:val="auto"/>
        </w:rPr>
      </w:pPr>
    </w:p>
    <w:tbl>
      <w:tblPr>
        <w:tblLayout w:type="fixed"/>
        <w:tblInd w:w="1760" w:type="dxa"/>
        <w:tblCellMar>
          <w:top w:w="0" w:type="dxa"/>
          <w:left w:w="0" w:type="dxa"/>
          <w:bottom w:w="0" w:type="dxa"/>
          <w:right w:w="0" w:type="dxa"/>
        </w:tblCellMar>
      </w:tblPr>
      <w:tr>
        <w:trPr>
          <w:trHeight w:val="152"/>
        </w:trPr>
        <w:tc>
          <w:tcPr>
            <w:tcW w:w="3080" w:type="dxa"/>
            <w:vAlign w:val="bottom"/>
          </w:tcPr>
          <w:p>
            <w:pPr>
              <w:jc w:val="center"/>
              <w:ind w:right="1361"/>
              <w:spacing w:after="0"/>
              <w:rPr>
                <w:sz w:val="20"/>
                <w:szCs w:val="20"/>
                <w:color w:val="auto"/>
              </w:rPr>
            </w:pPr>
            <w:r>
              <w:rPr>
                <w:rFonts w:ascii="Times New Roman" w:cs="Times New Roman" w:eastAsia="Times New Roman" w:hAnsi="Times New Roman"/>
                <w:sz w:val="13"/>
                <w:szCs w:val="13"/>
                <w:b w:val="1"/>
                <w:bCs w:val="1"/>
                <w:color w:val="auto"/>
                <w:w w:val="95"/>
              </w:rPr>
              <w:t>490 Arsenal Way, Suite 210</w:t>
            </w:r>
          </w:p>
        </w:tc>
        <w:tc>
          <w:tcPr>
            <w:tcW w:w="1880" w:type="dxa"/>
            <w:vAlign w:val="bottom"/>
          </w:tcPr>
          <w:p>
            <w:pPr>
              <w:spacing w:after="0"/>
              <w:rPr>
                <w:sz w:val="13"/>
                <w:szCs w:val="13"/>
                <w:color w:val="auto"/>
              </w:rPr>
            </w:pPr>
          </w:p>
        </w:tc>
      </w:tr>
      <w:tr>
        <w:trPr>
          <w:trHeight w:val="159"/>
        </w:trPr>
        <w:tc>
          <w:tcPr>
            <w:tcW w:w="3080" w:type="dxa"/>
            <w:vAlign w:val="bottom"/>
          </w:tcPr>
          <w:p>
            <w:pPr>
              <w:jc w:val="center"/>
              <w:ind w:right="1361"/>
              <w:spacing w:after="0"/>
              <w:rPr>
                <w:sz w:val="20"/>
                <w:szCs w:val="20"/>
                <w:color w:val="auto"/>
              </w:rPr>
            </w:pPr>
            <w:r>
              <w:rPr>
                <w:rFonts w:ascii="Times New Roman" w:cs="Times New Roman" w:eastAsia="Times New Roman" w:hAnsi="Times New Roman"/>
                <w:sz w:val="13"/>
                <w:szCs w:val="13"/>
                <w:b w:val="1"/>
                <w:bCs w:val="1"/>
                <w:color w:val="auto"/>
                <w:w w:val="97"/>
              </w:rPr>
              <w:t>Watertown, Massachusetts</w:t>
            </w: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02472</w:t>
            </w:r>
          </w:p>
        </w:tc>
      </w:tr>
      <w:tr>
        <w:trPr>
          <w:trHeight w:val="132"/>
        </w:trPr>
        <w:tc>
          <w:tcPr>
            <w:tcW w:w="3080" w:type="dxa"/>
            <w:vAlign w:val="bottom"/>
          </w:tcPr>
          <w:p>
            <w:pPr>
              <w:jc w:val="center"/>
              <w:ind w:right="136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80" w:type="dxa"/>
            <w:vAlign w:val="bottom"/>
          </w:tcPr>
          <w:p>
            <w:pPr>
              <w:jc w:val="center"/>
              <w:ind w:left="136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(339) 666-3320</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110490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5"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3040" w:right="2439" w:hanging="2403"/>
        <w:spacing w:after="0" w:line="400" w:lineRule="auto"/>
        <w:tabs>
          <w:tab w:leader="none" w:pos="93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4"/>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ind w:left="1080"/>
              <w:spacing w:after="0" w:line="104" w:lineRule="exact"/>
              <w:rPr>
                <w:sz w:val="20"/>
                <w:szCs w:val="20"/>
                <w:color w:val="auto"/>
              </w:rPr>
            </w:pPr>
            <w:r>
              <w:rPr>
                <w:rFonts w:ascii="Times New Roman" w:cs="Times New Roman" w:eastAsia="Times New Roman" w:hAnsi="Times New Roman"/>
                <w:sz w:val="10"/>
                <w:szCs w:val="10"/>
                <w:b w:val="1"/>
                <w:bCs w:val="1"/>
                <w:color w:val="auto"/>
              </w:rPr>
              <w:t>Trading</w:t>
            </w:r>
          </w:p>
        </w:tc>
        <w:tc>
          <w:tcPr>
            <w:tcW w:w="24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ind w:left="1080"/>
              <w:spacing w:after="0"/>
              <w:rPr>
                <w:sz w:val="20"/>
                <w:szCs w:val="20"/>
                <w:color w:val="auto"/>
              </w:rPr>
            </w:pPr>
            <w:r>
              <w:rPr>
                <w:rFonts w:ascii="Times New Roman" w:cs="Times New Roman" w:eastAsia="Times New Roman" w:hAnsi="Times New Roman"/>
                <w:sz w:val="10"/>
                <w:szCs w:val="10"/>
                <w:b w:val="1"/>
                <w:bCs w:val="1"/>
                <w:color w:val="auto"/>
              </w:rPr>
              <w:t>Symbol</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3"/>
                <w:szCs w:val="13"/>
                <w:color w:val="auto"/>
              </w:rPr>
              <w:t>TECX</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26"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899"/>
        <w:spacing w:after="0" w:line="267" w:lineRule="auto"/>
        <w:rPr>
          <w:sz w:val="20"/>
          <w:szCs w:val="20"/>
          <w:color w:val="auto"/>
        </w:rPr>
      </w:pPr>
      <w:r>
        <w:rPr>
          <w:rFonts w:ascii="Times New Roman" w:cs="Times New Roman" w:eastAsia="Times New Roman" w:hAnsi="Times New Roman"/>
          <w:sz w:val="13"/>
          <w:szCs w:val="13"/>
          <w:color w:val="auto"/>
        </w:rPr>
        <w:t>On January 30, 2025, Tectonic Therapeutic, Inc. (the “Company”) posted a presentation titled “TX45 Phase 1b PH-HFpEF Interim Data Release for Single Dose Hemodynamic Trial” on its website, a copy of which is attached as Exhibit 99.1 to this Current Report on Form 8-K.</w:t>
      </w:r>
    </w:p>
    <w:p>
      <w:pPr>
        <w:spacing w:after="0" w:line="122"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The information under Item 7.01 in this Current Report on Form 8-K, including Exhibit 99.1 attached hereto, is being furnished and shall not be deemed “filed” for purposes of Section 18 of the Securities Exchange Act of 1934, as amended (the “Exchange Act”), or otherwise subject to the liabilities of that section. Such information and the accompanying Exhibit 99.1 are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On January 30, 2025, the Company issued a press release titled “Tectonic Therapeutic Announces Positive Interim Data from Phase 1b Trial for TX45 in Patients with Group 2 Pulmonary Hypertension in HFpEF.” A copy of the press release is attached as Exhibit 99.2 to this Current Report on Form 8-K and, other than the quotes contained therein, is incorporated herein by reference.</w:t>
      </w:r>
    </w:p>
    <w:p>
      <w:pPr>
        <w:spacing w:after="0" w:line="23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Exhibit</w:t>
      </w:r>
    </w:p>
    <w:p>
      <w:pPr>
        <w:ind w:left="720"/>
        <w:spacing w:after="0"/>
        <w:tabs>
          <w:tab w:leader="none" w:pos="124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1905</wp:posOffset>
            </wp:positionV>
            <wp:extent cx="2044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470" cy="5715"/>
                    </a:xfrm>
                    <a:prstGeom prst="rect">
                      <a:avLst/>
                    </a:prstGeom>
                    <a:noFill/>
                  </pic:spPr>
                </pic:pic>
              </a:graphicData>
            </a:graphic>
          </wp:anchor>
        </w:drawing>
      </w:r>
    </w:p>
    <w:p>
      <w:pPr>
        <w:spacing w:after="0" w:line="4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Presentation dated January 2025.</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Press Release dated January 30, 2025.</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(the cover page XBRL tags are embedded within the Inline XBRL document)</w:t>
      </w:r>
    </w:p>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TECTONIC THERAPEUTIC,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Daniel Lochner</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Dated: January 30, 2025</w:t>
      </w:r>
    </w:p>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Tectonic Therapeutic Announces Positive Interim Data from Phase 1b Trial for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TX45 in Patients with Group 2 Pulmonary Hypertension in HFpEF</w:t>
      </w:r>
    </w:p>
    <w:p>
      <w:pPr>
        <w:spacing w:after="0" w:line="160" w:lineRule="exact"/>
        <w:rPr>
          <w:sz w:val="20"/>
          <w:szCs w:val="20"/>
          <w:color w:val="auto"/>
        </w:rPr>
      </w:pPr>
    </w:p>
    <w:p>
      <w:pPr>
        <w:ind w:left="1320" w:right="759" w:hanging="303"/>
        <w:spacing w:after="0" w:line="255"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TX45 improved both left ventricular function and pulmonary hemodynamics in patients with Group 2 Pulmonary Hypertension in Heart Failure with preserved Ejection Fraction (“PH-HFpEF”), supporting endpoints and patient populations in ongoing APEX Phase 2 clinical trial</w:t>
      </w:r>
    </w:p>
    <w:p>
      <w:pPr>
        <w:spacing w:after="0" w:line="63" w:lineRule="exact"/>
        <w:rPr>
          <w:rFonts w:ascii="Times New Roman" w:cs="Times New Roman" w:eastAsia="Times New Roman" w:hAnsi="Times New Roman"/>
          <w:sz w:val="13"/>
          <w:szCs w:val="13"/>
          <w:color w:val="auto"/>
        </w:rPr>
      </w:pPr>
    </w:p>
    <w:p>
      <w:pPr>
        <w:ind w:left="1320" w:right="779" w:hanging="303"/>
        <w:spacing w:after="0" w:line="255"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Interim analysis demonstrated that TX45 achieved 17.9% reduction in Pulmonary Capillary Wedge Pressure (“PCWP”) in the total study population of PH-HFpEF and &gt;30% reduction in Pulmonary Vascular Resistance (“PVR”) in Combined pre- and post-capillary PH (“CpcPH”), a subpopulation with more severe disease</w:t>
      </w:r>
    </w:p>
    <w:p>
      <w:pPr>
        <w:spacing w:after="0" w:line="63" w:lineRule="exact"/>
        <w:rPr>
          <w:rFonts w:ascii="Times New Roman" w:cs="Times New Roman" w:eastAsia="Times New Roman" w:hAnsi="Times New Roman"/>
          <w:sz w:val="13"/>
          <w:szCs w:val="13"/>
          <w:color w:val="auto"/>
        </w:rPr>
      </w:pPr>
    </w:p>
    <w:p>
      <w:pPr>
        <w:ind w:left="1320" w:right="739" w:hanging="303"/>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TX45 was well tolerated in patients with PH-HFpEF with no serious or severe adverse events, significant hypotension, or immune related reactions</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to host conference call and webcast today at 8:00 a.m. ET</w:t>
      </w:r>
    </w:p>
    <w:p>
      <w:pPr>
        <w:spacing w:after="0" w:line="154" w:lineRule="exact"/>
        <w:rPr>
          <w:sz w:val="20"/>
          <w:szCs w:val="20"/>
          <w:color w:val="auto"/>
        </w:rPr>
      </w:pPr>
    </w:p>
    <w:p>
      <w:pPr>
        <w:ind w:left="640" w:right="799"/>
        <w:spacing w:after="0" w:line="249" w:lineRule="auto"/>
        <w:rPr>
          <w:sz w:val="20"/>
          <w:szCs w:val="20"/>
          <w:color w:val="auto"/>
        </w:rPr>
      </w:pPr>
      <w:r>
        <w:rPr>
          <w:rFonts w:ascii="Times New Roman" w:cs="Times New Roman" w:eastAsia="Times New Roman" w:hAnsi="Times New Roman"/>
          <w:sz w:val="13"/>
          <w:szCs w:val="13"/>
          <w:color w:val="auto"/>
        </w:rPr>
        <w:t xml:space="preserve">WATERTOWN, Mass., January 30, 2025 (GLOBE NEWSWIRE) — </w:t>
      </w:r>
      <w:r>
        <w:rPr>
          <w:rFonts w:ascii="Times New Roman" w:cs="Times New Roman" w:eastAsia="Times New Roman" w:hAnsi="Times New Roman"/>
          <w:sz w:val="13"/>
          <w:szCs w:val="13"/>
          <w:u w:val="single" w:color="auto"/>
          <w:color w:val="auto"/>
        </w:rPr>
        <w:t>Tectonic Therapeutic, Inc.</w:t>
      </w:r>
      <w:r>
        <w:rPr>
          <w:rFonts w:ascii="Times New Roman" w:cs="Times New Roman" w:eastAsia="Times New Roman" w:hAnsi="Times New Roman"/>
          <w:sz w:val="13"/>
          <w:szCs w:val="13"/>
          <w:color w:val="auto"/>
        </w:rPr>
        <w:t xml:space="preserve"> (NASDAQ: TECX) (“Tectonic”), today announced positive interim data from the Phase 1b acute hemodynamic clinical trial of its lead product candidate, TX45, a long-acting, Fc-relaxin fusion protein. The interim data showed that a single intravenous dose of TX45 resulted in meaningful improvements in both left ventricular function and pulmonary hemodynamics in patients with Group 2 Pulmonary Hypertension in Heart Failure with Preserved Ejection Fraction (“PH-HFpEF”). In the trial, TX45 was well tolerated in patients with PH-HFpEF with no serious or severe adverse events.</w:t>
      </w:r>
    </w:p>
    <w:p>
      <w:pPr>
        <w:spacing w:after="0" w:line="134"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 xml:space="preserve">In the overall study population, TX45 achieved a 17.9% reduction in pulmonary capillary wedge pressure (“PCWP”), an endpoint known to correlate with exercise capacity, morbidity and mortality in patients with heart failure. In the subpopulation with combined pre- and post-capillary pulmonary hypertension (“CpcPH”) who have an elevated Pulmonary Vascular Resistance (“PVR”) and more severe disease, TX45 demonstrated &gt;30% reduction in PVR, which along with PCWP is correlated to exercise capacity and mortality in these patients. The Phase 1b trial enrolled a patient population and evaluated hemodynamic endpoints which are similar to our ongoing APEX Phase 2 clinical trial (ClinicalTrials.gov </w:t>
      </w:r>
      <w:r>
        <w:rPr>
          <w:rFonts w:ascii="Times New Roman" w:cs="Times New Roman" w:eastAsia="Times New Roman" w:hAnsi="Times New Roman"/>
          <w:sz w:val="13"/>
          <w:szCs w:val="13"/>
          <w:u w:val="single" w:color="auto"/>
          <w:color w:val="auto"/>
        </w:rPr>
        <w:t>NCT06616974</w:t>
      </w:r>
      <w:r>
        <w:rPr>
          <w:rFonts w:ascii="Times New Roman" w:cs="Times New Roman" w:eastAsia="Times New Roman" w:hAnsi="Times New Roman"/>
          <w:sz w:val="13"/>
          <w:szCs w:val="13"/>
          <w:color w:val="auto"/>
        </w:rPr>
        <w:t>). APEX is a 24-week clinical trial in PH-HFpEF with topline results expected in 2026.</w:t>
      </w:r>
    </w:p>
    <w:p>
      <w:pPr>
        <w:spacing w:after="0" w:line="135"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“These interim results show that TX45 achieved improvements in hemodynamics which met and exceeded our prespecified objectives. We are highly encouraged that TX45 improved left ventricular function and pulmonary hemodynamics, because we believe improving both parameters is necessary to improve exercise capacity and outcomes in patients with pulmonary hypertension with HFpEF,” said Alise Reicin, M.D., President and Chief Executive Officer of Tectonic. “We believe these Phase 1b interim data accelerate momentum of our TX45 clinical program as our ongoing Phase 2 APEX trial is designed to enroll a similar patient population and evaluate the same endpoints. These data strengthen our confidence in advancing TX45 for the many patients with PH-HFpEF who face high mortality and have no currently approved treatments.”</w:t>
      </w:r>
    </w:p>
    <w:p>
      <w:pPr>
        <w:spacing w:after="0" w:line="135"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“These therapeutic results show remarkably consistent and meaningful improvement across multiple clinically important hemodynamic measures in this patient population,” said John Teerlink, MD, Professor of Medicine, University of California, San Francisco. “I am excited about the prospects ahead for the continued development of TX45 which appears to address the underlying pathologies of PH-HFpEF that lead to impairment of exercise capacity, poor outcomes and increased mortality. This patient population is in desperate need of treatment options.”</w:t>
      </w:r>
    </w:p>
    <w:p>
      <w:pPr>
        <w:sectPr>
          <w:pgSz w:w="11900" w:h="16838" w:orient="portrait"/>
          <w:cols w:equalWidth="0" w:num="1">
            <w:col w:w="9019"/>
          </w:cols>
          <w:pgMar w:left="1440" w:top="125" w:right="1440"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Highlights from interim Phase 1b results and overview of the Phase 1b trial</w:t>
      </w:r>
    </w:p>
    <w:p>
      <w:pPr>
        <w:spacing w:after="0" w:line="80" w:lineRule="exact"/>
        <w:rPr>
          <w:sz w:val="20"/>
          <w:szCs w:val="20"/>
          <w:color w:val="auto"/>
        </w:rPr>
      </w:pPr>
    </w:p>
    <w:p>
      <w:pPr>
        <w:ind w:left="640" w:right="799"/>
        <w:spacing w:after="0" w:line="279" w:lineRule="auto"/>
        <w:rPr>
          <w:sz w:val="20"/>
          <w:szCs w:val="20"/>
          <w:color w:val="auto"/>
        </w:rPr>
      </w:pPr>
      <w:r>
        <w:rPr>
          <w:rFonts w:ascii="Times New Roman" w:cs="Times New Roman" w:eastAsia="Times New Roman" w:hAnsi="Times New Roman"/>
          <w:sz w:val="12"/>
          <w:szCs w:val="12"/>
          <w:color w:val="auto"/>
        </w:rPr>
        <w:t>The interim results from the Phase 1b open label clinical trial are based on 16 of 19 enrolled patients with PH-HFpEF, with the remaining 3 patients currently completing Part A of the protocol. Within the 16 patients in the interim analysis, 9 patients had CpcPH, as measured by PVR</w:t>
      </w:r>
      <w:r>
        <w:rPr>
          <w:rFonts w:ascii="Times New Roman" w:cs="Times New Roman" w:eastAsia="Times New Roman" w:hAnsi="Times New Roman"/>
          <w:sz w:val="12"/>
          <w:szCs w:val="12"/>
          <w:u w:val="single" w:color="auto"/>
          <w:color w:val="auto"/>
        </w:rPr>
        <w:t>&gt;</w:t>
      </w:r>
      <w:r>
        <w:rPr>
          <w:rFonts w:ascii="Times New Roman" w:cs="Times New Roman" w:eastAsia="Times New Roman" w:hAnsi="Times New Roman"/>
          <w:sz w:val="12"/>
          <w:szCs w:val="12"/>
          <w:color w:val="auto"/>
        </w:rPr>
        <w:t>2 Wood units. Hemodynamic measures evaluating left ventricular function included PCWP, Cardiac Output (“CO”) and Stroke Volume (“SV”). Hemodynamic measures evaluating the pulmonary vasculature included PVR, Total Pulmonary Resistance (“TPR”) and mean Pulmonary Artery Pressure (“mPAP”).</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Safety Results</w:t>
      </w:r>
      <w:r>
        <w:rPr>
          <w:rFonts w:ascii="Times New Roman" w:cs="Times New Roman" w:eastAsia="Times New Roman" w:hAnsi="Times New Roman"/>
          <w:sz w:val="12"/>
          <w:szCs w:val="12"/>
          <w:color w:val="auto"/>
        </w:rPr>
        <w:t>: TX45 was well tolerated with no serious or severe adverse events, discontinuations, infusion reactions or drug-related adverse events.</w:t>
      </w:r>
    </w:p>
    <w:p>
      <w:pPr>
        <w:spacing w:after="0" w:line="101" w:lineRule="exact"/>
        <w:rPr>
          <w:sz w:val="20"/>
          <w:szCs w:val="20"/>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were no clinically significant changes in vital signs, physical exam or safety laboratory values.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Transient asymptomatic decreases in blood pressure were observed over the first 24 hours after TX45 dosing.</w:t>
      </w:r>
    </w:p>
    <w:p>
      <w:pPr>
        <w:spacing w:after="0" w:line="152" w:lineRule="exact"/>
        <w:rPr>
          <w:sz w:val="20"/>
          <w:szCs w:val="20"/>
          <w:color w:val="auto"/>
        </w:rPr>
      </w:pPr>
    </w:p>
    <w:p>
      <w:pPr>
        <w:jc w:val="both"/>
        <w:ind w:left="640" w:right="87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Hemodynamic Results: </w:t>
      </w:r>
      <w:r>
        <w:rPr>
          <w:rFonts w:ascii="Times New Roman" w:cs="Times New Roman" w:eastAsia="Times New Roman" w:hAnsi="Times New Roman"/>
          <w:sz w:val="13"/>
          <w:szCs w:val="13"/>
          <w:color w:val="auto"/>
        </w:rPr>
        <w:t>TX45 administration resulted in meaningful improvement in both left ventricular function and pulmonary hemodynamics,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representing a differentiated profile for TX45 compared to other PAH drugs that are pulmonary vasodilators but have not shown improvement in left ventricular function and have not shown efficacy in PH-HFpEF.</w:t>
      </w:r>
    </w:p>
    <w:p>
      <w:pPr>
        <w:spacing w:after="0" w:line="60" w:lineRule="exact"/>
        <w:rPr>
          <w:sz w:val="20"/>
          <w:szCs w:val="20"/>
          <w:color w:val="auto"/>
        </w:rPr>
      </w:pPr>
    </w:p>
    <w:p>
      <w:pPr>
        <w:ind w:left="1320" w:right="739" w:hanging="303"/>
        <w:spacing w:after="0" w:line="270"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Improvement in left ventricular function: </w:t>
      </w:r>
      <w:r>
        <w:rPr>
          <w:rFonts w:ascii="Times New Roman" w:cs="Times New Roman" w:eastAsia="Times New Roman" w:hAnsi="Times New Roman"/>
          <w:sz w:val="13"/>
          <w:szCs w:val="13"/>
          <w:color w:val="auto"/>
        </w:rPr>
        <w:t>In the overall population, TX45 achieved 17.9% [95% CI, -9.8% to -26.1%] reduction in PCWP</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17.4% [95% CI, 8.9% to 25.9%] increase in CO.</w:t>
      </w:r>
    </w:p>
    <w:p>
      <w:pPr>
        <w:spacing w:after="0" w:line="52" w:lineRule="exact"/>
        <w:rPr>
          <w:rFonts w:ascii="Times New Roman" w:cs="Times New Roman" w:eastAsia="Times New Roman" w:hAnsi="Times New Roman"/>
          <w:sz w:val="13"/>
          <w:szCs w:val="13"/>
          <w:color w:val="auto"/>
        </w:rPr>
      </w:pPr>
    </w:p>
    <w:p>
      <w:pPr>
        <w:jc w:val="both"/>
        <w:ind w:left="1320" w:right="999" w:hanging="303"/>
        <w:spacing w:after="0" w:line="25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Improvement in pulmonary hemodynamics: </w:t>
      </w:r>
      <w:r>
        <w:rPr>
          <w:rFonts w:ascii="Times New Roman" w:cs="Times New Roman" w:eastAsia="Times New Roman" w:hAnsi="Times New Roman"/>
          <w:sz w:val="13"/>
          <w:szCs w:val="13"/>
          <w:color w:val="auto"/>
        </w:rPr>
        <w:t>TX45 achieved 32.0% [95% CI, -28.1% to -35.9%] reduction in PVR in the subgroup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patients with CpcPH who have elevated PVR at baseline, a 26.3% [95% CI, -20.1% to -32.5%] reduction in TPR and a 15.9% [95% CI, -11.2% to -20.6%] reduction in mean pulmonary artery pressure in the overall population.</w:t>
      </w:r>
    </w:p>
    <w:p>
      <w:pPr>
        <w:spacing w:after="0" w:line="61" w:lineRule="exact"/>
        <w:rPr>
          <w:rFonts w:ascii="Times New Roman" w:cs="Times New Roman" w:eastAsia="Times New Roman" w:hAnsi="Times New Roman"/>
          <w:sz w:val="13"/>
          <w:szCs w:val="13"/>
          <w:color w:val="auto"/>
        </w:rPr>
      </w:pPr>
    </w:p>
    <w:p>
      <w:pPr>
        <w:ind w:left="1320" w:right="879" w:hanging="303"/>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relaxin therapeutic, the unique mechanism of TX45 improves both left ventricular function and pulmonary hemodynamics, which most strongly matches the more severe pathophysiology of patients with CpcPH.</w:t>
      </w:r>
    </w:p>
    <w:p>
      <w:pPr>
        <w:spacing w:after="0" w:line="122" w:lineRule="exact"/>
        <w:rPr>
          <w:sz w:val="20"/>
          <w:szCs w:val="20"/>
          <w:color w:val="auto"/>
        </w:rPr>
      </w:pPr>
    </w:p>
    <w:p>
      <w:pPr>
        <w:ind w:left="640" w:right="719"/>
        <w:spacing w:after="0" w:line="279" w:lineRule="auto"/>
        <w:rPr>
          <w:sz w:val="20"/>
          <w:szCs w:val="20"/>
          <w:color w:val="auto"/>
        </w:rPr>
      </w:pPr>
      <w:r>
        <w:rPr>
          <w:rFonts w:ascii="Times New Roman" w:cs="Times New Roman" w:eastAsia="Times New Roman" w:hAnsi="Times New Roman"/>
          <w:sz w:val="12"/>
          <w:szCs w:val="12"/>
          <w:color w:val="auto"/>
        </w:rPr>
        <w:t>“We are excited about these interim Phase 1b results in demonstrating promising hemodynamic improvements and tolerability in a broad patient population with PH-HFpEF”, said Marcella K. Ruddy, M.D., Chief Medical Officer of Tectonic. “We are particularly encouraged by the striking results in CpcPH patients who saw improvements in both PCWP and PVR. This finding suggests that these patients, who have more severe disease, may have the greatest benefit from a relaxin therapeutic. These data support our planned enrichment of CpcPH patients in our Phase 2 APEX trial.</w:t>
      </w:r>
    </w:p>
    <w:p>
      <w:pPr>
        <w:spacing w:after="0" w:line="116"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The Phase 1b open label clinical trial is designed to evaluate the safety and hemodynamic effect of single doses of TX45 in patients with Group 2 pulmonary hypertension. Part A is examining the effect of TX45 in PH-HFpEF and Part B will evaluate effects of TX45 in Pulmonary Hypertension in Heart Failure with reduced Ejection Fraction (“PH-HFrEF”). The design of the clinical trial is as follows: after obtaining informed consent, a right heart catheter, which is the gold standard for the measurement of cardiopulmonary hemodynamics, is inserted and baseline measurements are obtained, an intravenous dose of TX45 is administered, and hemodynamic effects are evaluated over 8 hours post dose. Participants are then followed for 45 days post dose for safety and exploratory biomarker</w:t>
      </w:r>
    </w:p>
    <w:p>
      <w:pPr>
        <w:sectPr>
          <w:pgSz w:w="11900" w:h="16838" w:orient="portrait"/>
          <w:cols w:equalWidth="0" w:num="1">
            <w:col w:w="9019"/>
          </w:cols>
          <w:pgMar w:left="1440" w:top="229" w:right="1440" w:bottom="1440" w:gutter="0" w:footer="0" w:header="0"/>
        </w:sectPr>
      </w:pPr>
    </w:p>
    <w:bookmarkStart w:id="28" w:name="page29"/>
    <w:bookmarkEnd w:id="28"/>
    <w:p>
      <w:pPr>
        <w:ind w:left="640" w:right="107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endpoints. Part A enrollment has completed. Part B enrollment will start in February with topline data expected in the second half of 2025. The complete Phase 1b clinical trial results in PH-HFpEF and PH-HFrEF patient populations are planned to be presented at future medical meetings.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w:t>
      </w:r>
    </w:p>
    <w:p>
      <w:pPr>
        <w:spacing w:after="0" w:line="80"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 xml:space="preserve">Tectonic will host a conference call and webcast today, January 30, 2025, at 8:00 a.m. ET. To access the conference call via phone, please dial 1-877-423-9813 or 1-201-689-8573 (International) and ask to join the Tectonic Therapeutic call. A live webcast of the event will be available </w:t>
      </w:r>
      <w:r>
        <w:rPr>
          <w:rFonts w:ascii="Times New Roman" w:cs="Times New Roman" w:eastAsia="Times New Roman" w:hAnsi="Times New Roman"/>
          <w:sz w:val="13"/>
          <w:szCs w:val="13"/>
          <w:u w:val="single" w:color="auto"/>
          <w:color w:val="auto"/>
        </w:rPr>
        <w:t>here</w:t>
      </w:r>
      <w:r>
        <w:rPr>
          <w:rFonts w:ascii="Times New Roman" w:cs="Times New Roman" w:eastAsia="Times New Roman" w:hAnsi="Times New Roman"/>
          <w:sz w:val="13"/>
          <w:szCs w:val="13"/>
          <w:color w:val="auto"/>
        </w:rPr>
        <w:t xml:space="preserve"> and under </w:t>
      </w:r>
      <w:r>
        <w:rPr>
          <w:rFonts w:ascii="Times New Roman" w:cs="Times New Roman" w:eastAsia="Times New Roman" w:hAnsi="Times New Roman"/>
          <w:sz w:val="13"/>
          <w:szCs w:val="13"/>
          <w:u w:val="single" w:color="auto"/>
          <w:color w:val="auto"/>
        </w:rPr>
        <w:t>Events and Presentations</w:t>
      </w:r>
      <w:r>
        <w:rPr>
          <w:rFonts w:ascii="Times New Roman" w:cs="Times New Roman" w:eastAsia="Times New Roman" w:hAnsi="Times New Roman"/>
          <w:sz w:val="13"/>
          <w:szCs w:val="13"/>
          <w:color w:val="auto"/>
        </w:rPr>
        <w:t xml:space="preserve"> in the Investors section of the Company’s website at </w:t>
      </w:r>
      <w:r>
        <w:rPr>
          <w:rFonts w:ascii="Times New Roman" w:cs="Times New Roman" w:eastAsia="Times New Roman" w:hAnsi="Times New Roman"/>
          <w:sz w:val="13"/>
          <w:szCs w:val="13"/>
          <w:u w:val="single" w:color="auto"/>
          <w:color w:val="auto"/>
        </w:rPr>
        <w:t>www.tectonictx.com</w:t>
      </w:r>
      <w:r>
        <w:rPr>
          <w:rFonts w:ascii="Times New Roman" w:cs="Times New Roman" w:eastAsia="Times New Roman" w:hAnsi="Times New Roman"/>
          <w:sz w:val="13"/>
          <w:szCs w:val="13"/>
          <w:color w:val="auto"/>
        </w:rPr>
        <w:t>. A replay of the webcast will also be available on the Company’s website after the call’s conclusion.</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Group 2 Pulmonary Hypertension in HFpEF</w:t>
      </w:r>
    </w:p>
    <w:p>
      <w:pPr>
        <w:spacing w:after="0" w:line="80"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2"/>
          <w:szCs w:val="12"/>
          <w:color w:val="auto"/>
        </w:rPr>
        <w:t>The World Health Organization has defined 5 groups of pulmonary hypertension (“PH”). Tectonic is focused on the Group 2 subtype, a condition that develops due to left-sided heart disease, specifically Pulmonary Hypertension in Heart Failure with preserved Ejection Fraction (“PH-HFpEF”). In patients with PH-HFpEF, chronic heart failure leads to increased blood pressure in the pulmonary arteries, exerting severe strain on the right side of the heart, which adapts poorly to the increased pressure. This increased pulmonary pressure gradually causes worsening exercise capacity, shortness of breath and right-sided heart failure which can lead to death. PH-HFpEF is further segmented based on pulmonary hemodynamics into Isolated, post-capillary PH (“IpcPH”) and Combined pre- and post-capillary PH (“CpcPH”). CpcPH is more severe, accounts for about one third to one half of the</w:t>
      </w:r>
    </w:p>
    <w:p>
      <w:pPr>
        <w:spacing w:after="0" w:line="2" w:lineRule="exact"/>
        <w:rPr>
          <w:sz w:val="20"/>
          <w:szCs w:val="20"/>
          <w:color w:val="auto"/>
        </w:rPr>
      </w:pPr>
    </w:p>
    <w:p>
      <w:pPr>
        <w:jc w:val="both"/>
        <w:ind w:left="640" w:right="719"/>
        <w:spacing w:after="0" w:line="245" w:lineRule="auto"/>
        <w:rPr>
          <w:sz w:val="20"/>
          <w:szCs w:val="20"/>
          <w:color w:val="auto"/>
        </w:rPr>
      </w:pPr>
      <w:r>
        <w:rPr>
          <w:rFonts w:ascii="Times New Roman" w:cs="Times New Roman" w:eastAsia="Times New Roman" w:hAnsi="Times New Roman"/>
          <w:sz w:val="13"/>
          <w:szCs w:val="13"/>
          <w:color w:val="auto"/>
        </w:rPr>
        <w:t>1.4 million PH-HFpEF patients in the U.S. and is characterized by additional, abnormal changes to the pulmonary vasculature, leading to an increase in Pulmonary Vascular Resistance (“PVR”). Although several Group 1 PH (Pulmonary Arterial Hypertension, “PAH”) medications have been explored in Group 2 PH, to date, no medications have been approved for its treatment.</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TX45, a long-acting Fc-relaxin fusion protein</w:t>
      </w:r>
    </w:p>
    <w:p>
      <w:pPr>
        <w:spacing w:after="0" w:line="80" w:lineRule="exact"/>
        <w:rPr>
          <w:sz w:val="20"/>
          <w:szCs w:val="20"/>
          <w:color w:val="auto"/>
        </w:rPr>
      </w:pPr>
    </w:p>
    <w:p>
      <w:pPr>
        <w:ind w:left="640" w:right="779"/>
        <w:spacing w:after="0" w:line="248" w:lineRule="auto"/>
        <w:rPr>
          <w:sz w:val="20"/>
          <w:szCs w:val="20"/>
          <w:color w:val="auto"/>
        </w:rPr>
      </w:pPr>
      <w:r>
        <w:rPr>
          <w:rFonts w:ascii="Times New Roman" w:cs="Times New Roman" w:eastAsia="Times New Roman" w:hAnsi="Times New Roman"/>
          <w:sz w:val="13"/>
          <w:szCs w:val="13"/>
          <w:color w:val="auto"/>
        </w:rPr>
        <w:t>TX45 is an Fc-relaxin fusion protein with optimized pharmacokinetics and biophysical properties that activates the RXFP1 receptor, the G-protein coupled receptor target of the hormone relaxin. Relaxin is an endogenous protein, expressed at low levels in both men and women that is a pulmonary and systemic vasodilator with lusitropic, anti-fibrotic and anti-inflammatory activity.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Tectonic</w:t>
      </w:r>
    </w:p>
    <w:p>
      <w:pPr>
        <w:spacing w:after="0" w:line="80" w:lineRule="exact"/>
        <w:rPr>
          <w:sz w:val="20"/>
          <w:szCs w:val="20"/>
          <w:color w:val="auto"/>
        </w:rPr>
      </w:pPr>
    </w:p>
    <w:p>
      <w:pPr>
        <w:ind w:left="640" w:right="739"/>
        <w:spacing w:after="0" w:line="232" w:lineRule="auto"/>
        <w:rPr>
          <w:sz w:val="20"/>
          <w:szCs w:val="20"/>
          <w:color w:val="auto"/>
        </w:rPr>
      </w:pPr>
      <w:r>
        <w:rPr>
          <w:rFonts w:ascii="Times New Roman" w:cs="Times New Roman" w:eastAsia="Times New Roman" w:hAnsi="Times New Roman"/>
          <w:sz w:val="13"/>
          <w:szCs w:val="13"/>
          <w:u w:val="single" w:color="auto"/>
          <w:color w:val="auto"/>
        </w:rPr>
        <w:t>Tectonic</w:t>
      </w:r>
      <w:r>
        <w:rPr>
          <w:rFonts w:ascii="Times New Roman" w:cs="Times New Roman" w:eastAsia="Times New Roman" w:hAnsi="Times New Roman"/>
          <w:sz w:val="13"/>
          <w:szCs w:val="13"/>
          <w:color w:val="auto"/>
        </w:rPr>
        <w:t xml:space="preserve"> is a biotechnology company focused on the discovery and development of therapeutic proteins and antibodies that modulate the activity of G-protein coupled receptors (“GPCRs”). Leveraging its proprietary technology platform called GEODe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t>
      </w:r>
      <w:r>
        <w:rPr>
          <w:rFonts w:ascii="Times New Roman" w:cs="Times New Roman" w:eastAsia="Times New Roman" w:hAnsi="Times New Roman"/>
          <w:sz w:val="13"/>
          <w:szCs w:val="13"/>
          <w:u w:val="single" w:color="auto"/>
          <w:color w:val="auto"/>
        </w:rPr>
        <w:t>www.tectonictx.com</w:t>
      </w:r>
      <w:r>
        <w:rPr>
          <w:rFonts w:ascii="Times New Roman" w:cs="Times New Roman" w:eastAsia="Times New Roman" w:hAnsi="Times New Roman"/>
          <w:sz w:val="13"/>
          <w:szCs w:val="13"/>
          <w:color w:val="auto"/>
        </w:rPr>
        <w:t xml:space="preserve"> and follow on </w:t>
      </w:r>
      <w:r>
        <w:rPr>
          <w:rFonts w:ascii="Times New Roman" w:cs="Times New Roman" w:eastAsia="Times New Roman" w:hAnsi="Times New Roman"/>
          <w:sz w:val="13"/>
          <w:szCs w:val="13"/>
          <w:u w:val="single" w:color="auto"/>
          <w:color w:val="auto"/>
        </w:rPr>
        <w:t>LinkedIn</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Forward-Looking Statements</w:t>
      </w:r>
    </w:p>
    <w:p>
      <w:pPr>
        <w:spacing w:after="0" w:line="80" w:lineRule="exact"/>
        <w:rPr>
          <w:sz w:val="20"/>
          <w:szCs w:val="20"/>
          <w:color w:val="auto"/>
        </w:rPr>
      </w:pPr>
    </w:p>
    <w:p>
      <w:pPr>
        <w:ind w:left="640" w:right="659"/>
        <w:spacing w:after="0" w:line="266"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statements regarding: the design, objectives, timing, progress and results of clinical trials of Tectonic’s product candidates, including the ongoing Part B of Phase 1b and Phase 2 (APEX) clinical trials for TX45 in Group 2 PH-HFpEF; and the potential properties and benefits of TX45. These forward-looking 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under the heading “Risk Factors” in Tectonic’s quarterly report on Form 10-Q filed with the SEC on November 12, 2024,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w:t>
      </w:r>
    </w:p>
    <w:p>
      <w:pPr>
        <w:spacing w:after="0" w:line="3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Dan Ferry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LifeSci Advisors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daniel@lifesciadvisors.com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(617) 430-7576</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Media: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Kathryn Morris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Yates Network</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kathryn@theyatesnetwork.com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(914) 204-6412</w:t>
      </w:r>
    </w:p>
    <w:sectPr>
      <w:pgSz w:w="11900" w:h="16838" w:orient="portrait"/>
      <w:cols w:equalWidth="0" w:num="1">
        <w:col w:w="9019"/>
      </w:cols>
      <w:pgMar w:left="1440" w:top="2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2025-01-30T05:38:57Z</dcterms:created>
  <dcterms:modified xsi:type="dcterms:W3CDTF">2025-01-30T05:38:57Z</dcterms:modified>
</cp:coreProperties>
</file>