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July 16, 2019, AVROBIO,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Morgan Stanley &amp; Co. LLC and Cowen and Company, LLC, as representatives of the several underwriters listed therein (the “</w:t>
      </w:r>
      <w:r>
        <w:rPr>
          <w:rFonts w:ascii="Arial" w:cs="Arial" w:eastAsia="Arial" w:hAnsi="Arial"/>
          <w:sz w:val="16"/>
          <w:szCs w:val="16"/>
          <w:u w:val="single" w:color="auto"/>
          <w:color w:val="auto"/>
        </w:rPr>
        <w:t>Underwriters</w:t>
      </w:r>
      <w:r>
        <w:rPr>
          <w:rFonts w:ascii="Arial" w:cs="Arial" w:eastAsia="Arial" w:hAnsi="Arial"/>
          <w:sz w:val="16"/>
          <w:szCs w:val="16"/>
          <w:color w:val="auto"/>
        </w:rPr>
        <w:t>”), related to an underwritten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of 6,500,000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 public offering price of $18.50 per Share, before underwriting discounts and commissions. Pursuant to the terms of the Underwriting Agreement, the Company granted the Underwriters an option, exercisable for 30 days, to purchase up to an additional 975,000 shares of Common Stock. The gross proceeds to the Company, before deducting the underwriting discounts and commissions and estimated expenses associated with the Offering payable by the Company, are expected to be approximately $120.25 million (assuming the Underwriters do not exercise their option to purchase additional shares). If the Underwriters exercise their option in full, the gross proceeds to the Company, before deducting the underwriting discounts and commissions and estimated expenses, are expected to be approximately $138.3 million. The closing of the Offering is expected to occur on or about July 19, 2019, subject to the satisfaction of customary closing conditions.</w:t>
      </w:r>
    </w:p>
    <w:p>
      <w:pPr>
        <w:spacing w:after="0" w:line="16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Shares are being offered and sold pursuant to a prospectus dated July 10, 2019 and a prospectus supplement dated July 16, 2019 (the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Supplement</w:t>
      </w:r>
      <w:r>
        <w:rPr>
          <w:rFonts w:ascii="Arial" w:cs="Arial" w:eastAsia="Arial" w:hAnsi="Arial"/>
          <w:sz w:val="17"/>
          <w:szCs w:val="17"/>
          <w:color w:val="auto"/>
        </w:rPr>
        <w:t>”), in connection with a takedown from the Company’s shelf registration statement on Form S-3 (Registration No. 333-232489)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the U.S. Securities and Exchange Commission declared effective on July 10, 2019.</w:t>
      </w:r>
    </w:p>
    <w:p>
      <w:pPr>
        <w:spacing w:after="0" w:line="16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Underwriting Agreement contains customary representations, warranties, covenants, conditions to closing, indemnification and other obligations of the parties and termination provisions.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copy of the legal opinion of Goodwin Procter LLP, relating to the validity of the Shares issued in the Offering, is filed as Exhibit 5.1 to this Current Report on Form 8-K and is filed with reference to, and is hereby incorporated by reference into, the Registration Statement.</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foregoing description of the Underwriting Agreement does not purport to be complete and is qualified in its entirety by reference to the text of the Underwriting Agreement, which is included as Exhibit 1.1 to this Current Report on Form 8-K and incorporated by reference herein.</w:t>
      </w:r>
    </w:p>
    <w:p>
      <w:pPr>
        <w:spacing w:after="0" w:line="14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Underwriting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and were solely for the benefit of the parties to such agreement.</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Offering, the Company filed the Prospectus Supplement, which contains certain information regarding the Company’s results of operations or financial condition for the quarterly period ended June 30, 2019, as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cash, cash equivalents and available-for-sale investments was approximately $90.3 million at June 30, 2019, as compared to</w:t>
      </w:r>
    </w:p>
    <w:p>
      <w:pPr>
        <w:spacing w:after="0" w:line="3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$108.5 million at March 31, 2019. This financial data as of June 30, 2019 is preliminary and may change, and is based on information available to management as of the date of the Prospectus Supplement and is subject to completion by management of the Company’s financial statements as of and for the quarter ended June 30, 2019. There can be no assurance that the Company’s final results of operations for this period or cash position as of June 30, 2019 will not differ from these estimates, including as a result of review adjustments and any such changes could be material. The Company’s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quarterly results will be included in the Company’s Quarterly Report on Form 10-Q for the quarter ended June 30, 2019.</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B.2 to Form 8-K, the information set forth in this Item 2.02 shall not be deemed “filed” for purposes of Section 18 of the Securities Exchange Act of 1934, as amended, or otherwise subject to the liabilities of that section, nor shall it be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July 16, 2019, the Company issued a press release announcing the commencement of the Offering. A copy of the press release is attached hereto as Exhibit 99.1 and is incorporated herein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16, 2019, the Company issued a press release announcing its entry into the Underwriting Agreement. A copy of the press release is attached hereto as Exhibit 99.2 and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60" w:right="480" w:hanging="661"/>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July 16, 2019, between AVROBIO, Inc. Morgan Stanley &amp; Co. LLC and Cowen and Company, LLC, as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representatives of the several underwriters named therein.</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5">
        <w:r>
          <w:rPr>
            <w:rFonts w:ascii="Arial" w:cs="Arial" w:eastAsia="Arial" w:hAnsi="Arial"/>
            <w:sz w:val="16"/>
            <w:szCs w:val="16"/>
            <w:u w:val="single" w:color="auto"/>
            <w:color w:val="0000EE"/>
          </w:rPr>
          <w:t>Opinion of Goodwin Procter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5">
        <w:r>
          <w:rPr>
            <w:rFonts w:ascii="Arial" w:cs="Arial" w:eastAsia="Arial" w:hAnsi="Arial"/>
            <w:sz w:val="16"/>
            <w:szCs w:val="16"/>
            <w:u w:val="single" w:color="auto"/>
            <w:color w:val="0000EE"/>
          </w:rPr>
          <w:t>Consent of Goodwin Procter LLP (included in its opinion filed as Exhibit 5.1).</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7">
        <w:r>
          <w:rPr>
            <w:rFonts w:ascii="Arial" w:cs="Arial" w:eastAsia="Arial" w:hAnsi="Arial"/>
            <w:sz w:val="15"/>
            <w:szCs w:val="15"/>
            <w:u w:val="single" w:color="auto"/>
            <w:color w:val="0000EE"/>
          </w:rPr>
          <w:t>Press release dated July 16, 2019.</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50">
        <w:r>
          <w:rPr>
            <w:rFonts w:ascii="Arial" w:cs="Arial" w:eastAsia="Arial" w:hAnsi="Arial"/>
            <w:sz w:val="15"/>
            <w:szCs w:val="15"/>
            <w:u w:val="single" w:color="auto"/>
            <w:color w:val="0000EE"/>
          </w:rPr>
          <w:t>Press release dated July 16, 2019.</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Current Report on Form 8-K and certain of the materials furnished or filed herewith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the Company’s financial data, the completion, timing and anticipated size of the proposed offering and the anticipated use of proceeds therefrom. Any such statements that are not statements of historical fact may be deemed to be forward-looking statements.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forward-looking statements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and our subsequent periodic reports on Form 10-Q, as well as discussions of potential risks, uncertainties, and other important factors in our other filings with the SEC, including those contained or incorporated by reference in the Prospectus Supplement relating to the Offering filed with the SEC. AVROBIO explicitly disclaims any obligation to update any forward-looking statements except to the extent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July 17, 2019</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6,500,000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16, 2019</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16,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599 Lexington Avenue, 25th Floor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AVROBIO,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Morgan Stanley &amp; Co. LLC and Cowen and Company, LLC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6,500,000 shares of its common stock, par value $0.0001 per share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Underwriters not more than an additional 975,000 shares of its common stock, par value $0.0001 per share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common stock, par value $0.0001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S-3 (File</w:t>
      </w:r>
    </w:p>
    <w:p>
      <w:pPr>
        <w:spacing w:after="0" w:line="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333-232489), including a prospectus, relating to certain securities of the Company (the “</w:t>
      </w:r>
      <w:r>
        <w:rPr>
          <w:rFonts w:ascii="Arial" w:cs="Arial" w:eastAsia="Arial" w:hAnsi="Arial"/>
          <w:sz w:val="18"/>
          <w:szCs w:val="18"/>
          <w:b w:val="1"/>
          <w:bCs w:val="1"/>
          <w:color w:val="auto"/>
        </w:rPr>
        <w:t>Shelf Securities</w:t>
      </w:r>
      <w:r>
        <w:rPr>
          <w:rFonts w:ascii="Arial" w:cs="Arial" w:eastAsia="Arial" w:hAnsi="Arial"/>
          <w:sz w:val="18"/>
          <w:szCs w:val="18"/>
          <w:color w:val="auto"/>
        </w:rPr>
        <w:t>”), including the Shares, to be issued from time to time by the Company. The registration statement as amended at the time of effectiveness, including the information (if any) deemed to be part of the registration statement pursuant to Rule 430A or Rule 430B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is hereinafter referred to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preliminary prospectus covering the Shelf Securities is hereinafter referred to as the “</w:t>
      </w:r>
      <w:r>
        <w:rPr>
          <w:rFonts w:ascii="Arial" w:cs="Arial" w:eastAsia="Arial" w:hAnsi="Arial"/>
          <w:sz w:val="18"/>
          <w:szCs w:val="18"/>
          <w:b w:val="1"/>
          <w:bCs w:val="1"/>
          <w:color w:val="auto"/>
        </w:rPr>
        <w:t>Basic</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The Basic Prospectus, as supplemented by the prospectus supplement specifically related to the Shares in the form first used to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8"/>
          <w:szCs w:val="18"/>
          <w:b w:val="1"/>
          <w:bCs w:val="1"/>
          <w:color w:val="auto"/>
        </w:rPr>
        <w:t>Prospectus</w:t>
      </w:r>
      <w:r>
        <w:rPr>
          <w:rFonts w:ascii="Arial" w:cs="Arial" w:eastAsia="Arial" w:hAnsi="Arial"/>
          <w:sz w:val="18"/>
          <w:szCs w:val="18"/>
          <w:color w:val="auto"/>
        </w:rPr>
        <w:t>,” and the term “</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form of the Prospectus.</w:t>
      </w:r>
    </w:p>
    <w:p>
      <w:pPr>
        <w:sectPr>
          <w:pgSz w:w="11900" w:h="16838" w:orient="portrait"/>
          <w:cols w:equalWidth="0" w:num="1">
            <w:col w:w="11020"/>
          </w:cols>
          <w:pgMar w:left="440" w:top="274" w:right="439" w:bottom="1440" w:gutter="0" w:footer="0" w:header="0"/>
        </w:sectPr>
      </w:pPr>
    </w:p>
    <w:bookmarkStart w:id="6" w:name="page7"/>
    <w:bookmarkEnd w:id="6"/>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has filed an abbreviated registration statement to register additional shares of Common Stock pursuant to Rule 462(b) under the Securities Act (a “</w:t>
      </w:r>
      <w:r>
        <w:rPr>
          <w:rFonts w:ascii="Arial" w:cs="Arial" w:eastAsia="Arial" w:hAnsi="Arial"/>
          <w:sz w:val="18"/>
          <w:szCs w:val="18"/>
          <w:b w:val="1"/>
          <w:bCs w:val="1"/>
          <w:color w:val="auto"/>
        </w:rPr>
        <w:t>Rule 462 Registration Statement</w:t>
      </w:r>
      <w:r>
        <w:rPr>
          <w:rFonts w:ascii="Arial" w:cs="Arial" w:eastAsia="Arial" w:hAnsi="Arial"/>
          <w:sz w:val="18"/>
          <w:szCs w:val="18"/>
          <w:color w:val="auto"/>
        </w:rPr>
        <w:t>”), then any reference herein to 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be deemed to include such Rule 462 Registration Statement.</w:t>
      </w:r>
    </w:p>
    <w:p>
      <w:pPr>
        <w:spacing w:after="0" w:line="17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Basic Prospectus and the preliminary prospectus together with the documents, pricing information and free writing prospectuses,</w:t>
      </w:r>
      <w:r>
        <w:rPr>
          <w:rFonts w:ascii="Arial" w:cs="Arial" w:eastAsia="Arial" w:hAnsi="Arial"/>
          <w:sz w:val="16"/>
          <w:szCs w:val="16"/>
          <w:b w:val="1"/>
          <w:bCs w:val="1"/>
          <w:color w:val="auto"/>
        </w:rPr>
        <w:t xml:space="preserve"> </w:t>
      </w:r>
      <w:r>
        <w:rPr>
          <w:rFonts w:ascii="Arial" w:cs="Arial" w:eastAsia="Arial" w:hAnsi="Arial"/>
          <w:sz w:val="16"/>
          <w:szCs w:val="16"/>
          <w:color w:val="auto"/>
        </w:rPr>
        <w:t>if any, each as set forth in Schedule II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w:t>
      </w:r>
    </w:p>
    <w:p>
      <w:pPr>
        <w:spacing w:after="0" w:line="2" w:lineRule="exact"/>
        <w:rPr>
          <w:sz w:val="20"/>
          <w:szCs w:val="20"/>
          <w:color w:val="auto"/>
        </w:rPr>
      </w:pPr>
    </w:p>
    <w:p>
      <w:pPr>
        <w:ind w:right="240" w:firstLine="4"/>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90" w:lineRule="exact"/>
        <w:rPr>
          <w:rFonts w:ascii="Arial" w:cs="Arial" w:eastAsia="Arial" w:hAnsi="Arial"/>
          <w:sz w:val="18"/>
          <w:szCs w:val="18"/>
          <w:color w:val="auto"/>
        </w:rPr>
      </w:pPr>
    </w:p>
    <w:p>
      <w:pPr>
        <w:ind w:left="620" w:hanging="176"/>
        <w:spacing w:after="0"/>
        <w:tabs>
          <w:tab w:leader="none" w:pos="62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240" w:firstLine="428"/>
        <w:spacing w:after="0" w:line="308" w:lineRule="auto"/>
        <w:tabs>
          <w:tab w:leader="none" w:pos="1108" w:val="left"/>
        </w:tabs>
        <w:numPr>
          <w:ilvl w:val="2"/>
          <w:numId w:val="2"/>
        </w:numPr>
        <w:rPr>
          <w:rFonts w:ascii="Arial" w:cs="Arial" w:eastAsia="Arial" w:hAnsi="Arial"/>
          <w:sz w:val="17"/>
          <w:szCs w:val="17"/>
          <w:color w:val="auto"/>
        </w:rPr>
      </w:pPr>
      <w:r>
        <w:rPr>
          <w:rFonts w:ascii="Arial" w:cs="Arial" w:eastAsia="Arial" w:hAnsi="Arial"/>
          <w:sz w:val="17"/>
          <w:szCs w:val="17"/>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38" w:lineRule="exact"/>
        <w:rPr>
          <w:rFonts w:ascii="Arial" w:cs="Arial" w:eastAsia="Arial" w:hAnsi="Arial"/>
          <w:sz w:val="17"/>
          <w:szCs w:val="17"/>
          <w:color w:val="auto"/>
        </w:rPr>
      </w:pPr>
    </w:p>
    <w:p>
      <w:pPr>
        <w:ind w:left="440" w:firstLine="428"/>
        <w:spacing w:after="0" w:line="286" w:lineRule="auto"/>
        <w:tabs>
          <w:tab w:leader="none" w:pos="1118" w:val="left"/>
        </w:tabs>
        <w:numPr>
          <w:ilvl w:val="2"/>
          <w:numId w:val="2"/>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w:t>
      </w:r>
    </w:p>
    <w:p>
      <w:pPr>
        <w:sectPr>
          <w:pgSz w:w="11900" w:h="16838" w:orient="portrait"/>
          <w:cols w:equalWidth="0" w:num="1">
            <w:col w:w="11020"/>
          </w:cols>
          <w:pgMar w:left="440" w:top="274" w:right="439" w:bottom="1440" w:gutter="0" w:footer="0" w:header="0"/>
        </w:sectPr>
      </w:pPr>
    </w:p>
    <w:bookmarkStart w:id="7" w:name="page8"/>
    <w:bookmarkEnd w:id="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57" w:lineRule="exact"/>
        <w:rPr>
          <w:sz w:val="20"/>
          <w:szCs w:val="20"/>
          <w:color w:val="auto"/>
        </w:rPr>
      </w:pPr>
    </w:p>
    <w:p>
      <w:pPr>
        <w:ind w:firstLine="428"/>
        <w:spacing w:after="0" w:line="253" w:lineRule="auto"/>
        <w:tabs>
          <w:tab w:leader="none" w:pos="6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each of the Representatives before first use, the Company has not prepared, used or referred to, and will not, without the prior consent of each of the Representatives, prepare, use or refer to, any free writing prospectus.</w:t>
      </w:r>
    </w:p>
    <w:p>
      <w:pPr>
        <w:spacing w:after="0" w:line="89" w:lineRule="exact"/>
        <w:rPr>
          <w:rFonts w:ascii="Arial" w:cs="Arial" w:eastAsia="Arial" w:hAnsi="Arial"/>
          <w:sz w:val="18"/>
          <w:szCs w:val="18"/>
          <w:color w:val="auto"/>
        </w:rPr>
      </w:pPr>
    </w:p>
    <w:p>
      <w:pPr>
        <w:ind w:right="220" w:firstLine="428"/>
        <w:spacing w:after="0" w:line="297" w:lineRule="auto"/>
        <w:tabs>
          <w:tab w:leader="none" w:pos="67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(as defined in Section 1(e)), taken as a whole.</w:t>
      </w:r>
    </w:p>
    <w:p>
      <w:pPr>
        <w:spacing w:after="0" w:line="50" w:lineRule="exact"/>
        <w:rPr>
          <w:rFonts w:ascii="Arial" w:cs="Arial" w:eastAsia="Arial" w:hAnsi="Arial"/>
          <w:sz w:val="16"/>
          <w:szCs w:val="16"/>
          <w:color w:val="auto"/>
        </w:rPr>
      </w:pPr>
    </w:p>
    <w:p>
      <w:pPr>
        <w:ind w:firstLine="428"/>
        <w:spacing w:after="0" w:line="289" w:lineRule="auto"/>
        <w:tabs>
          <w:tab w:leader="none" w:pos="668"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of AVROBIO Inc., a Canadian corporation, AVROBIO Australia Pty Ltd, an Australian company, and AVROBIO Securities Corporation, a Massachusetts corporation, (each a “</w:t>
      </w:r>
      <w:r>
        <w:rPr>
          <w:rFonts w:ascii="Arial" w:cs="Arial" w:eastAsia="Arial" w:hAnsi="Arial"/>
          <w:sz w:val="16"/>
          <w:szCs w:val="16"/>
          <w:b w:val="1"/>
          <w:bCs w:val="1"/>
          <w:color w:val="auto"/>
        </w:rPr>
        <w:t>Subsidiary</w:t>
      </w:r>
      <w:r>
        <w:rPr>
          <w:rFonts w:ascii="Arial" w:cs="Arial" w:eastAsia="Arial" w:hAnsi="Arial"/>
          <w:sz w:val="16"/>
          <w:szCs w:val="16"/>
          <w:color w:val="auto"/>
        </w:rPr>
        <w:t>” and together,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taken as a whole. All of the issued shares of capital stock of each Subsidiary have been duly and validly authorized and issued, are fully paid and non-assessable (to the extent that such concepts are applicable in such jurisdiction) and are owned directly by the Company, free and clear of all liens, encumbrances, equities or claims, other than as disclosed in the Registration Statement.</w:t>
      </w:r>
    </w:p>
    <w:p>
      <w:pPr>
        <w:sectPr>
          <w:pgSz w:w="11900" w:h="16838" w:orient="portrait"/>
          <w:cols w:equalWidth="0" w:num="1">
            <w:col w:w="10560"/>
          </w:cols>
          <w:pgMar w:left="880" w:top="274" w:right="459" w:bottom="1440" w:gutter="0" w:footer="0" w:header="0"/>
        </w:sectPr>
      </w:pPr>
    </w:p>
    <w:bookmarkStart w:id="8" w:name="page9"/>
    <w:bookmarkEnd w:id="8"/>
    <w:p>
      <w:pPr>
        <w:ind w:left="232" w:hanging="232"/>
        <w:spacing w:after="0"/>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left="-428" w:firstLine="428"/>
        <w:spacing w:after="0" w:line="277"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left="-428" w:right="60" w:firstLine="428"/>
        <w:spacing w:after="0" w:line="277"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left="-428" w:right="120" w:firstLine="428"/>
        <w:spacing w:after="0" w:line="264"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validly waived.</w:t>
      </w:r>
    </w:p>
    <w:p>
      <w:pPr>
        <w:spacing w:after="0" w:line="73" w:lineRule="exact"/>
        <w:rPr>
          <w:rFonts w:ascii="Arial" w:cs="Arial" w:eastAsia="Arial" w:hAnsi="Arial"/>
          <w:sz w:val="18"/>
          <w:szCs w:val="18"/>
          <w:color w:val="auto"/>
        </w:rPr>
      </w:pPr>
    </w:p>
    <w:p>
      <w:pPr>
        <w:ind w:left="-428" w:right="20" w:firstLine="428"/>
        <w:spacing w:after="0" w:line="270" w:lineRule="auto"/>
        <w:tabs>
          <w:tab w:leader="none" w:pos="21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Subsidiary that is material to the Company and the Subsidiaries, taken as a whole, or (iv) any judgment, order or decree of any governmental body, agency or court having jurisdiction over the Company or the Subsidiaries, except, in the case of clauses (i), (iii) and (iv), as would not, individually or in the aggregate, reasonably be expected to have a material adverse effect on the Company and its Subsidiaries,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or The Nasdaq Global Select Market (the “</w:t>
      </w:r>
      <w:r>
        <w:rPr>
          <w:rFonts w:ascii="Arial" w:cs="Arial" w:eastAsia="Arial" w:hAnsi="Arial"/>
          <w:sz w:val="17"/>
          <w:szCs w:val="17"/>
          <w:b w:val="1"/>
          <w:bCs w:val="1"/>
          <w:color w:val="auto"/>
        </w:rPr>
        <w:t>Exchange</w:t>
      </w:r>
      <w:r>
        <w:rPr>
          <w:rFonts w:ascii="Arial" w:cs="Arial" w:eastAsia="Arial" w:hAnsi="Arial"/>
          <w:sz w:val="17"/>
          <w:szCs w:val="17"/>
          <w:color w:val="auto"/>
        </w:rPr>
        <w:t>”) in connection with the offer and sale of the Shares.</w:t>
      </w:r>
    </w:p>
    <w:p>
      <w:pPr>
        <w:spacing w:after="0" w:line="69" w:lineRule="exact"/>
        <w:rPr>
          <w:rFonts w:ascii="Arial" w:cs="Arial" w:eastAsia="Arial" w:hAnsi="Arial"/>
          <w:sz w:val="17"/>
          <w:szCs w:val="17"/>
          <w:color w:val="auto"/>
        </w:rPr>
      </w:pPr>
    </w:p>
    <w:p>
      <w:pPr>
        <w:ind w:left="-428" w:right="60" w:firstLine="428"/>
        <w:spacing w:after="0" w:line="264"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singly or in the aggregate, would reasonably be expected to result in a material adverse change in the condition, financial or otherwise, or in the earnings, business, prospects or operations of the Company and the Subsidiaries, taken as a whole, from that set forth in the Time of Sale Prospectus.</w:t>
      </w:r>
    </w:p>
    <w:p>
      <w:pPr>
        <w:sectPr>
          <w:pgSz w:w="11900" w:h="16838" w:orient="portrait"/>
          <w:cols w:equalWidth="0" w:num="1">
            <w:col w:w="10152"/>
          </w:cols>
          <w:pgMar w:left="1308" w:top="274" w:right="439" w:bottom="1440" w:gutter="0" w:footer="0" w:header="0"/>
        </w:sectPr>
      </w:pPr>
    </w:p>
    <w:bookmarkStart w:id="9" w:name="page10"/>
    <w:bookmarkEnd w:id="9"/>
    <w:p>
      <w:pPr>
        <w:ind w:left="-428" w:firstLine="428"/>
        <w:spacing w:after="0" w:line="271" w:lineRule="auto"/>
        <w:tabs>
          <w:tab w:leader="none" w:pos="21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to the knowledge of the Company, threatened to which the Company or any Subsidiary is a party or to which any of the properties of the Company or any Subsidiary is subject (i) other than proceedings accurately described in all material respects in the Time of Sale Prospectus and proceedings that would not reasonably be expected to have a material adverse effect on the Company and the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0" w:lineRule="exact"/>
        <w:rPr>
          <w:rFonts w:ascii="Arial" w:cs="Arial" w:eastAsia="Arial" w:hAnsi="Arial"/>
          <w:sz w:val="17"/>
          <w:szCs w:val="17"/>
          <w:color w:val="auto"/>
        </w:rPr>
      </w:pPr>
    </w:p>
    <w:p>
      <w:pPr>
        <w:ind w:left="-428" w:right="100" w:firstLine="428"/>
        <w:spacing w:after="0" w:line="264"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28" w:right="20" w:firstLine="428"/>
        <w:spacing w:after="0" w:line="264"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428" w:right="60" w:firstLine="428"/>
        <w:spacing w:after="0" w:line="272" w:lineRule="auto"/>
        <w:tabs>
          <w:tab w:leader="none" w:pos="25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the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the Subsidiaries, taken as a whole.</w:t>
      </w:r>
    </w:p>
    <w:p>
      <w:pPr>
        <w:spacing w:after="0" w:line="69" w:lineRule="exact"/>
        <w:rPr>
          <w:rFonts w:ascii="Arial" w:cs="Arial" w:eastAsia="Arial" w:hAnsi="Arial"/>
          <w:sz w:val="17"/>
          <w:szCs w:val="17"/>
          <w:color w:val="auto"/>
        </w:rPr>
      </w:pPr>
    </w:p>
    <w:p>
      <w:pPr>
        <w:jc w:val="both"/>
        <w:ind w:left="-428" w:right="40" w:firstLine="428"/>
        <w:spacing w:after="0" w:line="259"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the Subsidiaries, taken as a whole.</w:t>
      </w:r>
    </w:p>
    <w:p>
      <w:pPr>
        <w:sectPr>
          <w:pgSz w:w="11900" w:h="16838" w:orient="portrait"/>
          <w:cols w:equalWidth="0" w:num="1">
            <w:col w:w="10152"/>
          </w:cols>
          <w:pgMar w:left="1308" w:top="274" w:right="439" w:bottom="1440" w:gutter="0" w:footer="0" w:header="0"/>
        </w:sectPr>
      </w:pPr>
    </w:p>
    <w:bookmarkStart w:id="10" w:name="page11"/>
    <w:bookmarkEnd w:id="10"/>
    <w:p>
      <w:pPr>
        <w:jc w:val="both"/>
        <w:ind w:left="-428" w:firstLine="428"/>
        <w:spacing w:after="0" w:line="259"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in the Time of Sale Prospectus and the Prospectus or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left="-428" w:right="20" w:firstLine="428"/>
        <w:spacing w:after="0" w:line="287"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Neither the Company nor the Subsidiaries or the Company’s controlled affiliates, nor any director, officer or employee thereof, nor, to the Company’s knowledge, any agent or representative of the Company, the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the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64" w:lineRule="exact"/>
        <w:rPr>
          <w:rFonts w:ascii="Arial" w:cs="Arial" w:eastAsia="Arial" w:hAnsi="Arial"/>
          <w:sz w:val="16"/>
          <w:szCs w:val="16"/>
          <w:color w:val="auto"/>
        </w:rPr>
      </w:pPr>
    </w:p>
    <w:p>
      <w:pPr>
        <w:ind w:left="-428" w:right="40" w:firstLine="428"/>
        <w:spacing w:after="0" w:line="254" w:lineRule="auto"/>
        <w:tabs>
          <w:tab w:leader="none" w:pos="2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operations of the Company and the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any Subsidiary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Subsidiary with respect to the Anti-Money Laundering Laws is pending or, to the knowledge of the Company, threatened.</w:t>
      </w:r>
    </w:p>
    <w:p>
      <w:pPr>
        <w:sectPr>
          <w:pgSz w:w="11900" w:h="16838" w:orient="portrait"/>
          <w:cols w:equalWidth="0" w:num="1">
            <w:col w:w="10152"/>
          </w:cols>
          <w:pgMar w:left="1308" w:top="274" w:right="439" w:bottom="1440" w:gutter="0" w:footer="0" w:header="0"/>
        </w:sectPr>
      </w:pPr>
    </w:p>
    <w:bookmarkStart w:id="11" w:name="page12"/>
    <w:bookmarkEnd w:id="11"/>
    <w:p>
      <w:pPr>
        <w:ind w:left="-428" w:right="20" w:firstLine="428"/>
        <w:spacing w:after="0" w:line="264"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None of the Company, the Subsidiaries or any director, officer or employee thereof, or, to the Company’s knowledge, any agent, affiliate or representative of the Company or any Subsidiary,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3" w:lineRule="exact"/>
        <w:rPr>
          <w:rFonts w:ascii="Arial" w:cs="Arial" w:eastAsia="Arial" w:hAnsi="Arial"/>
          <w:sz w:val="18"/>
          <w:szCs w:val="18"/>
          <w:color w:val="auto"/>
        </w:rPr>
      </w:pPr>
    </w:p>
    <w:p>
      <w:pPr>
        <w:ind w:left="572" w:right="220" w:firstLine="380"/>
        <w:spacing w:after="0" w:line="264" w:lineRule="auto"/>
        <w:tabs>
          <w:tab w:leader="none" w:pos="1251"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572" w:right="580" w:firstLine="380"/>
        <w:spacing w:after="0" w:line="277" w:lineRule="auto"/>
        <w:tabs>
          <w:tab w:leader="none" w:pos="1241" w:val="left"/>
        </w:tabs>
        <w:numPr>
          <w:ilvl w:val="2"/>
          <w:numId w:val="7"/>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Sudan and Syria).</w:t>
      </w:r>
    </w:p>
    <w:p>
      <w:pPr>
        <w:spacing w:after="0" w:line="62" w:lineRule="exact"/>
        <w:rPr>
          <w:rFonts w:ascii="Arial" w:cs="Arial" w:eastAsia="Arial" w:hAnsi="Arial"/>
          <w:sz w:val="18"/>
          <w:szCs w:val="18"/>
          <w:color w:val="auto"/>
        </w:rPr>
      </w:pPr>
    </w:p>
    <w:p>
      <w:pPr>
        <w:ind w:left="12" w:right="40" w:firstLine="411"/>
        <w:spacing w:after="0" w:line="277" w:lineRule="auto"/>
        <w:tabs>
          <w:tab w:leader="none" w:pos="68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direct or indirect subsidiary, joint venture partner or other Person:</w:t>
      </w:r>
    </w:p>
    <w:p>
      <w:pPr>
        <w:spacing w:after="0" w:line="62" w:lineRule="exact"/>
        <w:rPr>
          <w:rFonts w:ascii="Arial" w:cs="Arial" w:eastAsia="Arial" w:hAnsi="Arial"/>
          <w:sz w:val="18"/>
          <w:szCs w:val="18"/>
          <w:color w:val="auto"/>
        </w:rPr>
      </w:pPr>
    </w:p>
    <w:p>
      <w:pPr>
        <w:ind w:left="572" w:right="220" w:firstLine="380"/>
        <w:spacing w:after="0" w:line="277" w:lineRule="auto"/>
        <w:tabs>
          <w:tab w:leader="none" w:pos="1251"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572" w:right="340" w:firstLine="380"/>
        <w:spacing w:after="0" w:line="277" w:lineRule="auto"/>
        <w:tabs>
          <w:tab w:leader="none" w:pos="1241" w:val="left"/>
        </w:tabs>
        <w:numPr>
          <w:ilvl w:val="2"/>
          <w:numId w:val="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12" w:right="20" w:firstLine="411"/>
        <w:spacing w:after="0" w:line="264" w:lineRule="auto"/>
        <w:tabs>
          <w:tab w:leader="none" w:pos="73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and the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left="-428" w:firstLine="428"/>
        <w:spacing w:after="0" w:line="254"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each of the Registration Statement, the Time of Sale Prospectus and the Prospectus, (i) the Company and the Subsidiaries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equity compensation plans or agreements, as applicable,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the Subsidiaries, except in each case as described in each of the Registration Statement, the Time of Sale Prospectus and the Prospectus, respectively.</w:t>
      </w:r>
    </w:p>
    <w:p>
      <w:pPr>
        <w:sectPr>
          <w:pgSz w:w="11900" w:h="16838" w:orient="portrait"/>
          <w:cols w:equalWidth="0" w:num="1">
            <w:col w:w="10132"/>
          </w:cols>
          <w:pgMar w:left="1308" w:top="274" w:right="459" w:bottom="1440" w:gutter="0" w:footer="0" w:header="0"/>
        </w:sectPr>
      </w:pPr>
    </w:p>
    <w:bookmarkStart w:id="12" w:name="page13"/>
    <w:bookmarkEnd w:id="12"/>
    <w:p>
      <w:pPr>
        <w:ind w:left="-428" w:firstLine="428"/>
        <w:spacing w:after="0" w:line="291" w:lineRule="auto"/>
        <w:tabs>
          <w:tab w:leader="none" w:pos="25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Subsidiaries do not own any real property. The Company and the Subsidiaries have good and marketable title to all personal property owned by them which is material to the business of the Company and the Subsidiaries,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the Subsidiaries. Any real property and buildings held under lease by the Company or any Subsidiary are held by them, as applicable, under valid, subsisting and, to the Company’s knowledge, enforceable leases with such exceptions as are not material and do not materially interfere with the use made and proposed to be made of such property and buildings by the Company and the Subsidiaries, in each case except as described in the Time of Sale Prospectus.</w:t>
      </w:r>
    </w:p>
    <w:p>
      <w:pPr>
        <w:spacing w:after="0" w:line="59" w:lineRule="exact"/>
        <w:rPr>
          <w:rFonts w:ascii="Arial" w:cs="Arial" w:eastAsia="Arial" w:hAnsi="Arial"/>
          <w:sz w:val="16"/>
          <w:szCs w:val="16"/>
          <w:color w:val="auto"/>
        </w:rPr>
      </w:pPr>
    </w:p>
    <w:p>
      <w:pPr>
        <w:ind w:left="-428" w:firstLine="428"/>
        <w:spacing w:after="0" w:line="267" w:lineRule="auto"/>
        <w:tabs>
          <w:tab w:leader="none" w:pos="29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the Subsidiaries have valid, binding and enforceable rights or licenses under all patents, patent applications, patent rights, licenses, inventions, copyrights, know-how (including trade secrets and other unpatented and/or unpatentable proprietary or confidential information, systems or procedures), trademarks, service marks, trade names and other intellectual property used in or necessary for the conduct of the business of the Company and the Subsidiaries in the manner described in the Time of Sale Prospectus (collectively, the “</w:t>
      </w:r>
      <w:r>
        <w:rPr>
          <w:rFonts w:ascii="Arial" w:cs="Arial" w:eastAsia="Arial" w:hAnsi="Arial"/>
          <w:sz w:val="17"/>
          <w:szCs w:val="17"/>
          <w:b w:val="1"/>
          <w:b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w:t>
      </w:r>
      <w:r>
        <w:rPr>
          <w:rFonts w:ascii="Arial" w:cs="Arial" w:eastAsia="Arial" w:hAnsi="Arial"/>
          <w:sz w:val="17"/>
          <w:szCs w:val="17"/>
          <w:color w:val="auto"/>
        </w:rPr>
        <w:t>”), except as enforceability of any licenses may be limited by bankruptcy and other similar laws affecting the rights of creditors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general principles of equity. To the knowledge of the Company, the patents, trademarks and copyrights, if any, included within the Intellectual Property are valid, enforceable and subsisting, other than as disclosed in the Time of Sale Prospectus. (i) Except as disclosed in the Time of Sale Prospectus, neither the Company nor any Subsidiary is obligated to pay a material royalty, grant a license to or provide other material consideration to any third party in connection with the Intellectual Property; (ii) 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is pending or, to the knowledge of the Company, is threatened, challenging the Company’s or any Subsidiary’s rights in or to any Intellectual Property or challenging the validity, enforceability or scope of any Intellectual Property; (iv) except as disclosed in the Time of Sale Prospectus, none of the development, manufacture, sale or use of any of the discoveries, inventions, product candidates or processes of the Company referred to in the Time of Sale Prospectus do or will infringe or violate any right or issued patent claim of any third party in any material respect; (v) 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except as disclosed in the Time of Sale Prospectus or as would not, singly or in the aggregate, have a material adverse effect on the Company and the Subsidiaries, taken as a whole, the Intellectual Property owned by the Company or any</w:t>
      </w:r>
    </w:p>
    <w:p>
      <w:pPr>
        <w:sectPr>
          <w:pgSz w:w="11900" w:h="16838" w:orient="portrait"/>
          <w:cols w:equalWidth="0" w:num="1">
            <w:col w:w="10152"/>
          </w:cols>
          <w:pgMar w:left="1308" w:top="274" w:right="43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is free and clear of all liens or encumbrances; (vii) none of the technology employed by the Company or any Subsidiary in the conduct of the business in the manner described in the Time of Sale Prospectus has been obtained or is being used by the Company or any Subsidiary in material violation of any contractual obligation binding on the Company or, to the knowledge of the Company, upon any of its officers, consultants, directors or employees and (viii) the Company has taken reasonable measures to protect its confidential information and trade secrets and to maintain and safeguard the Intellectual Property.</w:t>
      </w:r>
    </w:p>
    <w:p>
      <w:pPr>
        <w:spacing w:after="0" w:line="80" w:lineRule="exact"/>
        <w:rPr>
          <w:sz w:val="20"/>
          <w:szCs w:val="20"/>
          <w:color w:val="auto"/>
        </w:rPr>
      </w:pPr>
    </w:p>
    <w:p>
      <w:pPr>
        <w:ind w:right="340" w:firstLine="428"/>
        <w:spacing w:after="0" w:line="277"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knowledge of the Company, all patent and patent applications licensed to the Company or any Subsidiary have been duly and properly filed, prosecuted and maintained in all material respects.</w:t>
      </w:r>
    </w:p>
    <w:p>
      <w:pPr>
        <w:spacing w:after="0" w:line="62" w:lineRule="exact"/>
        <w:rPr>
          <w:rFonts w:ascii="Arial" w:cs="Arial" w:eastAsia="Arial" w:hAnsi="Arial"/>
          <w:sz w:val="18"/>
          <w:szCs w:val="18"/>
          <w:color w:val="auto"/>
        </w:rPr>
      </w:pPr>
    </w:p>
    <w:p>
      <w:pPr>
        <w:ind w:firstLine="428"/>
        <w:spacing w:after="0" w:line="285"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the Subsidiaries have operated and currently are in compliance in all material respects with all applicable laws, rules and regulations of the jurisdictions in which they are conducting business. The Company and each Subsidiary (i)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candidate under development, manufactured or distributed by the Company (“</w:t>
      </w:r>
      <w:r>
        <w:rPr>
          <w:rFonts w:ascii="Arial" w:cs="Arial" w:eastAsia="Arial" w:hAnsi="Arial"/>
          <w:sz w:val="16"/>
          <w:szCs w:val="16"/>
          <w:b w:val="1"/>
          <w:bCs w:val="1"/>
          <w:color w:val="auto"/>
        </w:rPr>
        <w:t>Applicable Laws</w:t>
      </w:r>
      <w:r>
        <w:rPr>
          <w:rFonts w:ascii="Arial" w:cs="Arial" w:eastAsia="Arial" w:hAnsi="Arial"/>
          <w:sz w:val="16"/>
          <w:szCs w:val="16"/>
          <w:color w:val="auto"/>
        </w:rPr>
        <w:t>”); (ii) has not received any FDA Form 483, notice of adverse finding, warning letter, untitled letter or other written correspondence or notice from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Applicable Laws to conduct the Company’s business as described in Time of Sale Prospectus (“</w:t>
      </w:r>
      <w:r>
        <w:rPr>
          <w:rFonts w:ascii="Arial" w:cs="Arial" w:eastAsia="Arial" w:hAnsi="Arial"/>
          <w:sz w:val="16"/>
          <w:szCs w:val="16"/>
          <w:b w:val="1"/>
          <w:bCs w:val="1"/>
          <w:color w:val="auto"/>
        </w:rPr>
        <w:t>Authorizations</w:t>
      </w:r>
      <w:r>
        <w:rPr>
          <w:rFonts w:ascii="Arial" w:cs="Arial" w:eastAsia="Arial" w:hAnsi="Arial"/>
          <w:sz w:val="16"/>
          <w:szCs w:val="16"/>
          <w:color w:val="auto"/>
        </w:rPr>
        <w:t>”); (iii) possesses all material Authorizations and such Authorizations are valid and in full force and effect and neither the Company nor any Subsidiary is in material violation of any such Authorizations; (iv) has not received notice of any pending or completed claim, action, suit, proceeding, hearing, enforcement, investigation, arbitration or other action from the FDA or any other federal, state, local or foreign governmental or regulatory authority or third party alleging that any product candidate operation or activity is in material violation of any Applicable Laws or Authorizations and the Company has no knowledge that the FDA or any other federal, state, local or foreign governmental or regulatory authority or third party is considering any such claim, litigation, arbitration, action, suit, investigation or proceeding; (v)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(vi) has filed, obtained, maintained or submitted all material reports, documents, forms, notices, applications, records, claims,</w:t>
      </w:r>
    </w:p>
    <w:p>
      <w:pPr>
        <w:sectPr>
          <w:pgSz w:w="11900" w:h="16838" w:orient="portrait"/>
          <w:cols w:equalWidth="0" w:num="1">
            <w:col w:w="10540"/>
          </w:cols>
          <w:pgMar w:left="880" w:top="274" w:right="47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candidate or any alleged product candidate defect or violation and, to the Company’s knowledge, no third party has initiated, conducted or intends to initiate any such notice or action.</w:t>
      </w:r>
    </w:p>
    <w:p>
      <w:pPr>
        <w:spacing w:after="0" w:line="70" w:lineRule="exact"/>
        <w:rPr>
          <w:sz w:val="20"/>
          <w:szCs w:val="20"/>
          <w:color w:val="auto"/>
        </w:rPr>
      </w:pPr>
    </w:p>
    <w:p>
      <w:pPr>
        <w:ind w:right="20" w:firstLine="428"/>
        <w:spacing w:after="0" w:line="269" w:lineRule="auto"/>
        <w:tabs>
          <w:tab w:leader="none" w:pos="6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studies, tests and preclinical and clinical trials conducted by the Company that are described in the Registration Statement, the Time of Sale Prospectus and the Prospectus, and, to the Company’s knowledge, those studies, tests and preclinical and clinical trials conducted on behalf of the Company, 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The descriptions of the results of such studies, tests and trials contained in the Registration Statement, the Time of Sale Prospectus and the Prospectus are accurate and complete and fairly present the data derived from such studies, tests and trials in all material respects. The Company is not aware of any studies, tests or trials, the results of which the Company believes are materially inconsistent with the study, test or trial results described or referred to in the Registration Statement, the Time of Sale Prospectus and the Prospectus when viewed in the context in which such results are described and the clinical state of development. The Company has not received any notices or written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72" w:lineRule="exact"/>
        <w:rPr>
          <w:sz w:val="20"/>
          <w:szCs w:val="20"/>
          <w:color w:val="auto"/>
        </w:rPr>
      </w:pPr>
    </w:p>
    <w:p>
      <w:pPr>
        <w:ind w:firstLine="428"/>
        <w:spacing w:after="0" w:line="270" w:lineRule="auto"/>
        <w:tabs>
          <w:tab w:leader="none" w:pos="7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each Subsidiary has filed and received approval of all Authorizations issued by, and have made all declarations and filings with, the FDA or any other federal, state, local or foreign governmental or regulatory authority that are necessary for the ownership or lease of their respective properties or the conduct of their respective businesses as described in the Time of Sale Prospectus, or to permit all clinical and nonclinical studies and trials conducted by or on behalf of the Company or any Subsidiary, including, without limitation, all necessary FDA and applicable foreign regulatory agency approvals. The Company and each Subsidiary is in compliance with and are not in violation of, or in default under, any such Authorization. To the knowledge of the Company, no event has occurred which allows, or after notice or lapse of time would allow, revocation, termination or modification of any Authorization or result in any other material impairment of the rights of the holder of any Authorization and the Company does not have any reason to believe that any Authorization will not be renewed in the ordinary course. All Authorizations are in full force and effect.</w:t>
      </w:r>
    </w:p>
    <w:p>
      <w:pPr>
        <w:sectPr>
          <w:pgSz w:w="11900" w:h="16838" w:orient="portrait"/>
          <w:cols w:equalWidth="0" w:num="1">
            <w:col w:w="10580"/>
          </w:cols>
          <w:pgMar w:left="880" w:top="274" w:right="439" w:bottom="1440" w:gutter="0" w:footer="0" w:header="0"/>
        </w:sectPr>
      </w:pPr>
    </w:p>
    <w:bookmarkStart w:id="15" w:name="page16"/>
    <w:bookmarkEnd w:id="15"/>
    <w:p>
      <w:pPr>
        <w:ind w:left="-428" w:right="180" w:firstLine="428"/>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to the knowledge of the Company, any of its officers, directors or managing employees (as defined in 42 U.S.C. § 1320a-5(b)) is or has been excluded, suspended or debarred from participation in any state or federal health care program, or made subject to any pending or, to the Company’s knowledge, threatened or contemplated action which could reasonably be expected to result in such exclusion, suspension or debarment.</w:t>
      </w:r>
    </w:p>
    <w:p>
      <w:pPr>
        <w:spacing w:after="0" w:line="78" w:lineRule="exact"/>
        <w:rPr>
          <w:rFonts w:ascii="Arial" w:cs="Arial" w:eastAsia="Arial" w:hAnsi="Arial"/>
          <w:sz w:val="18"/>
          <w:szCs w:val="18"/>
          <w:color w:val="auto"/>
        </w:rPr>
      </w:pPr>
    </w:p>
    <w:p>
      <w:pPr>
        <w:ind w:left="-428" w:right="20" w:firstLine="428"/>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knowledge of the Company, the manufacturing facilities and operations of its suppliers are operated in compliance in all material respects with all Applicable Laws.</w:t>
      </w:r>
    </w:p>
    <w:p>
      <w:pPr>
        <w:spacing w:after="0" w:line="62" w:lineRule="exact"/>
        <w:rPr>
          <w:rFonts w:ascii="Arial" w:cs="Arial" w:eastAsia="Arial" w:hAnsi="Arial"/>
          <w:sz w:val="18"/>
          <w:szCs w:val="18"/>
          <w:color w:val="auto"/>
        </w:rPr>
      </w:pPr>
    </w:p>
    <w:p>
      <w:pPr>
        <w:ind w:left="-428" w:right="180" w:firstLine="428"/>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Company’s or any Subsidiary’s product candidates have received marketing approval from the FDA or any other federal, state, local or foreign governmental or regulatory authority.</w:t>
      </w:r>
    </w:p>
    <w:p>
      <w:pPr>
        <w:spacing w:after="0" w:line="62" w:lineRule="exact"/>
        <w:rPr>
          <w:rFonts w:ascii="Arial" w:cs="Arial" w:eastAsia="Arial" w:hAnsi="Arial"/>
          <w:sz w:val="18"/>
          <w:szCs w:val="18"/>
          <w:color w:val="auto"/>
        </w:rPr>
      </w:pPr>
    </w:p>
    <w:p>
      <w:pPr>
        <w:ind w:left="-428" w:right="540" w:firstLine="428"/>
        <w:spacing w:after="0" w:line="259"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Subsidiary exists, except as described in the Time of Sale Prospectus, or, to the knowledge of the Company, is imminent. The Company is not aware of any existing, threatened or imminent labor disturbance by the employees of any of its principal suppliers, manufacturers or contractors that could have a material adverse effect on the Company and the Subsidiaries, taken as a whole.</w:t>
      </w:r>
    </w:p>
    <w:p>
      <w:pPr>
        <w:spacing w:after="0" w:line="78" w:lineRule="exact"/>
        <w:rPr>
          <w:rFonts w:ascii="Arial" w:cs="Arial" w:eastAsia="Arial" w:hAnsi="Arial"/>
          <w:sz w:val="18"/>
          <w:szCs w:val="18"/>
          <w:color w:val="auto"/>
        </w:rPr>
      </w:pPr>
    </w:p>
    <w:p>
      <w:pPr>
        <w:ind w:left="-428" w:right="40" w:firstLine="428"/>
        <w:spacing w:after="0" w:line="293" w:lineRule="auto"/>
        <w:tabs>
          <w:tab w:leader="none" w:pos="2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(i) as described in the Time of Sale Prospectus or (ii) as would not, singly or in the aggregate, have, or reasonably be expected to have, a material adverse effect on the Company and the Subsidiaries, taken as a whole,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sponsors or maintains has been maintained in compliance with its terms and the requirements of any applicable statutes, orders, rules and regulations, including but not limited to ERISA and the Code.</w:t>
      </w:r>
    </w:p>
    <w:p>
      <w:pPr>
        <w:spacing w:after="0" w:line="56" w:lineRule="exact"/>
        <w:rPr>
          <w:rFonts w:ascii="Arial" w:cs="Arial" w:eastAsia="Arial" w:hAnsi="Arial"/>
          <w:sz w:val="16"/>
          <w:szCs w:val="16"/>
          <w:color w:val="auto"/>
        </w:rPr>
      </w:pPr>
    </w:p>
    <w:p>
      <w:pPr>
        <w:ind w:left="-428" w:firstLine="428"/>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Subsidiary is insured by insurers of recognized financial responsibility against such losses and risks and in such amounts as, in the Company’s reasonable judgment, are prudent and customary in the businesses in which they are engaged. Neither the Company nor any Subsidiary has been refused any insurance coverage sought or applied for.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the Subsidiaries, taken as a whole, except as described in the Time of Sale Prospectus.</w:t>
      </w:r>
    </w:p>
    <w:p>
      <w:pPr>
        <w:sectPr>
          <w:pgSz w:w="11900" w:h="16838" w:orient="portrait"/>
          <w:cols w:equalWidth="0" w:num="1">
            <w:col w:w="10132"/>
          </w:cols>
          <w:pgMar w:left="1308" w:top="274" w:right="459" w:bottom="1440" w:gutter="0" w:footer="0" w:header="0"/>
        </w:sectPr>
      </w:pPr>
    </w:p>
    <w:bookmarkStart w:id="16" w:name="page17"/>
    <w:bookmarkEnd w:id="16"/>
    <w:p>
      <w:pPr>
        <w:ind w:left="-428" w:firstLine="428"/>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Subsidiaries possess all certificates, authorizations and permits issued by the appropriate federal, state or foreign regulatory authorities necessary to conduct their respective businesses, except where the failure to possess such certificates, authorizations or permits, individually or in the aggregate, would not reasonably be expected to have a material adverse effect on the Company and the Subsidiaries, taken as a whole, and neither the Company nor any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the Subsidiaries, taken as a whole, except as described in the Time of Sale Prospectus.</w:t>
      </w:r>
    </w:p>
    <w:p>
      <w:pPr>
        <w:spacing w:after="0" w:line="81" w:lineRule="exact"/>
        <w:rPr>
          <w:rFonts w:ascii="Arial" w:cs="Arial" w:eastAsia="Arial" w:hAnsi="Arial"/>
          <w:sz w:val="18"/>
          <w:szCs w:val="18"/>
          <w:color w:val="auto"/>
        </w:rPr>
      </w:pPr>
    </w:p>
    <w:p>
      <w:pPr>
        <w:jc w:val="both"/>
        <w:ind w:left="-428" w:right="440" w:firstLine="428"/>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Ernst &amp; Young LLP, which has certified certain financial statements of the Company and the Subsidiaries, is an independent public accountant as required by the Securities Act and the rules and regulations of the Commission thereunder and the rules and regulations of the Public Company Accounting Oversight Board (United States).</w:t>
      </w:r>
    </w:p>
    <w:p>
      <w:pPr>
        <w:spacing w:after="0" w:line="73" w:lineRule="exact"/>
        <w:rPr>
          <w:rFonts w:ascii="Arial" w:cs="Arial" w:eastAsia="Arial" w:hAnsi="Arial"/>
          <w:sz w:val="18"/>
          <w:szCs w:val="18"/>
          <w:color w:val="auto"/>
        </w:rPr>
      </w:pPr>
    </w:p>
    <w:p>
      <w:pPr>
        <w:ind w:left="-428" w:right="40" w:firstLine="428"/>
        <w:spacing w:after="0" w:line="286"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or incorporated by reference in the Registration Statement, the Time of Sale Prospectus and the Prospectus, together with the related notes, present fairly in all material respects the financial position of the Company and its consolidated Subsidiaries at the dates indicated therein and, in the case of the statements of operations, stockholders’ equity and cash flows of the Company and its consolidated Subsidiaries, for the periods specified therein. The consolidated financial statements of the Company included or incorporated by reference in the Registration Statement, the Time of Sale Prospectus and the Prospectus comply in all material respects with the applicable requirements of the Securities Act and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historical or pro forma financial statements or supporting schedules are required to be included or incorporated by reference in the Registration Statement, the Time of Sale Prospectus or the Prospectus under the Securities Act and the rules and regulations of the Commission thereunder. To the extent included in the Registration Statement, the Time of Sale Prospectus and the Prospectus, the pro forma financial information and the related notes thereto included or incorporated by reference therein have been prepared in accordance with the applicable requirements of the Securities Act and comply with Regulation G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Item 10 of Regulation S-K of the Securities Act, to the</w:t>
      </w:r>
    </w:p>
    <w:p>
      <w:pPr>
        <w:sectPr>
          <w:pgSz w:w="11900" w:h="16838" w:orient="portrait"/>
          <w:cols w:equalWidth="0" w:num="1">
            <w:col w:w="10152"/>
          </w:cols>
          <w:pgMar w:left="1308" w:top="274" w:right="439" w:bottom="1440" w:gutter="0" w:footer="0" w:header="0"/>
        </w:sectPr>
      </w:pPr>
    </w:p>
    <w:bookmarkStart w:id="17" w:name="page18"/>
    <w:bookmarkEnd w:id="1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applicable, and the assumptions underlying such pro forma financial information are reasonable and are set forth in the Registration Statement, the Time of Sale Prospectus and the Prospectus in all material respects. All other information regarding the financial condition or results of operations of the Company or the Subsidiaries included or incorporated by reference in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80" w:lineRule="exact"/>
        <w:rPr>
          <w:sz w:val="20"/>
          <w:szCs w:val="20"/>
          <w:color w:val="auto"/>
        </w:rPr>
      </w:pPr>
    </w:p>
    <w:p>
      <w:pPr>
        <w:ind w:left="780" w:hanging="352"/>
        <w:spacing w:after="0"/>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each Subsidiary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right="280" w:firstLine="4"/>
        <w:spacing w:after="0" w:line="281"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Arial" w:cs="Arial" w:eastAsia="Arial" w:hAnsi="Arial"/>
          <w:sz w:val="16"/>
          <w:szCs w:val="16"/>
          <w:color w:val="auto"/>
        </w:rPr>
      </w:pPr>
    </w:p>
    <w:p>
      <w:pPr>
        <w:ind w:right="100" w:firstLine="4"/>
        <w:spacing w:after="0" w:line="269"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72" w:lineRule="exact"/>
        <w:rPr>
          <w:rFonts w:ascii="Arial" w:cs="Arial" w:eastAsia="Arial" w:hAnsi="Arial"/>
          <w:sz w:val="17"/>
          <w:szCs w:val="17"/>
          <w:color w:val="auto"/>
        </w:rPr>
      </w:pPr>
    </w:p>
    <w:p>
      <w:pPr>
        <w:ind w:firstLine="428"/>
        <w:spacing w:after="0" w:line="276" w:lineRule="auto"/>
        <w:tabs>
          <w:tab w:leader="none" w:pos="68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Except as disclosed in the Time of Sale Prospectus and the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The Company has conducted evaluations of the effectiveness of its disclosure controls and procedures as required by Rule 13a-15 of the Exchange Act.</w:t>
      </w:r>
    </w:p>
    <w:p>
      <w:pPr>
        <w:spacing w:after="0" w:line="64" w:lineRule="exact"/>
        <w:rPr>
          <w:rFonts w:ascii="Arial" w:cs="Arial" w:eastAsia="Arial" w:hAnsi="Arial"/>
          <w:sz w:val="17"/>
          <w:szCs w:val="17"/>
          <w:color w:val="auto"/>
        </w:rPr>
      </w:pPr>
    </w:p>
    <w:p>
      <w:pPr>
        <w:ind w:right="120" w:firstLine="428"/>
        <w:spacing w:after="0" w:line="259" w:lineRule="auto"/>
        <w:tabs>
          <w:tab w:leader="none" w:pos="8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Regulations D or S of, the Securities Act, other than shares issued pursuant to employee benefit plans, qualified stock option plans or other employee compensation plans or pursuant to outstanding options, rights or warrants.</w:t>
      </w:r>
    </w:p>
    <w:p>
      <w:pPr>
        <w:sectPr>
          <w:pgSz w:w="11900" w:h="16838" w:orient="portrait"/>
          <w:cols w:equalWidth="0" w:num="1">
            <w:col w:w="10520"/>
          </w:cols>
          <w:pgMar w:left="880" w:top="274" w:right="499" w:bottom="1440" w:gutter="0" w:footer="0" w:header="0"/>
        </w:sectPr>
      </w:pPr>
    </w:p>
    <w:bookmarkStart w:id="18" w:name="page19"/>
    <w:bookmarkEnd w:id="18"/>
    <w:p>
      <w:pPr>
        <w:ind w:left="-428" w:right="380" w:firstLine="428"/>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Company, neither the Company nor any Subsidiary has any securities rated by any “nationally recognized statistical rating organization,” as such term is defined in Section 3(a)(62) of the Exchange Act.</w:t>
      </w:r>
    </w:p>
    <w:p>
      <w:pPr>
        <w:spacing w:after="0" w:line="62" w:lineRule="exact"/>
        <w:rPr>
          <w:rFonts w:ascii="Arial" w:cs="Arial" w:eastAsia="Arial" w:hAnsi="Arial"/>
          <w:sz w:val="18"/>
          <w:szCs w:val="18"/>
          <w:color w:val="auto"/>
        </w:rPr>
      </w:pPr>
    </w:p>
    <w:p>
      <w:pPr>
        <w:ind w:left="-428" w:right="40" w:firstLine="428"/>
        <w:spacing w:after="0" w:line="25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each Subsidiary has filed all federal, state, local and foreign tax returns required to be filed by them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have a material adverse effect, or, except as currently being contested in good faith and for which reserves required by GAAP have been created in the financial statements of the Company), and no tax deficiency has been determined adversely to the Company or any Subsidiary which has had (nor does the Company nor any Subsidiary have any notice or knowledge of any tax deficiency which could reasonably be expected to be determined adversely to the Company or the Subsidiaries and which could reasonably be expected to have) a material adverse effect.</w:t>
      </w:r>
    </w:p>
    <w:p>
      <w:pPr>
        <w:spacing w:after="0" w:line="84" w:lineRule="exact"/>
        <w:rPr>
          <w:rFonts w:ascii="Arial" w:cs="Arial" w:eastAsia="Arial" w:hAnsi="Arial"/>
          <w:sz w:val="18"/>
          <w:szCs w:val="18"/>
          <w:color w:val="auto"/>
        </w:rPr>
      </w:pPr>
    </w:p>
    <w:p>
      <w:pPr>
        <w:ind w:left="-428" w:firstLine="428"/>
        <w:spacing w:after="0" w:line="276"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each Subsidiary has complied, and are presently in compliance, with its cybersecurity and privacy policies, to the extent such policies exist, and the Company’s and each Subsidiary’s (as applicable) obligations to third parties that have been specifically identified and expressly agreed to in writing by the Company (and each Subsidiary, as applicable) regarding the collection, use, transfer, storage, protection, disposal and disclosure by the Company and each Subsidiary of personally identifiable information, except to the extent that the failure to do so would not reasonably be expected to have a material adverse effect.</w:t>
      </w:r>
    </w:p>
    <w:p>
      <w:pPr>
        <w:spacing w:after="0" w:line="64" w:lineRule="exact"/>
        <w:rPr>
          <w:rFonts w:ascii="Arial" w:cs="Arial" w:eastAsia="Arial" w:hAnsi="Arial"/>
          <w:sz w:val="17"/>
          <w:szCs w:val="17"/>
          <w:color w:val="auto"/>
        </w:rPr>
      </w:pPr>
    </w:p>
    <w:p>
      <w:pPr>
        <w:ind w:left="-428" w:right="100" w:firstLine="428"/>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left="-428" w:right="40" w:firstLine="428"/>
        <w:spacing w:after="0" w:line="257"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subject to and in compliance in all material respects with the reporting requirements of Section 13 or Section 15(d) of the Exchange Act. The Common Stock is registered pursuant to Section 12(b) or 12(g)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80" w:lineRule="exact"/>
        <w:rPr>
          <w:rFonts w:ascii="Arial" w:cs="Arial" w:eastAsia="Arial" w:hAnsi="Arial"/>
          <w:sz w:val="18"/>
          <w:szCs w:val="18"/>
          <w:color w:val="auto"/>
        </w:rPr>
      </w:pPr>
    </w:p>
    <w:p>
      <w:pPr>
        <w:ind w:left="-428" w:right="500" w:firstLine="428"/>
        <w:spacing w:after="0" w:line="277" w:lineRule="auto"/>
        <w:tabs>
          <w:tab w:leader="none" w:pos="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than the Subsidiaries, the Company, directly or indirectly, owns no capital stock or other equity or ownership or proprietary interest in any corporation, partnership, association, trust or other entity.</w:t>
      </w:r>
    </w:p>
    <w:p>
      <w:pPr>
        <w:sectPr>
          <w:pgSz w:w="11900" w:h="16838" w:orient="portrait"/>
          <w:cols w:equalWidth="0" w:num="1">
            <w:col w:w="10132"/>
          </w:cols>
          <w:pgMar w:left="1308" w:top="274" w:right="459" w:bottom="1440" w:gutter="0" w:footer="0" w:header="0"/>
        </w:sectPr>
      </w:pPr>
    </w:p>
    <w:bookmarkStart w:id="19" w:name="page20"/>
    <w:bookmarkEnd w:id="19"/>
    <w:p>
      <w:pPr>
        <w:ind w:left="440" w:right="80" w:firstLine="428"/>
        <w:spacing w:after="0" w:line="257" w:lineRule="auto"/>
        <w:tabs>
          <w:tab w:leader="none" w:pos="1128"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time of initial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left="440" w:firstLine="428"/>
        <w:spacing w:after="0" w:line="291" w:lineRule="auto"/>
        <w:tabs>
          <w:tab w:leader="none" w:pos="12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The Company (i) has not alone engaged in any Testing-the-Waters Communication other than Testing-the-Waters Communications with the consent of each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59" w:lineRule="exact"/>
        <w:rPr>
          <w:rFonts w:ascii="Arial" w:cs="Arial" w:eastAsia="Arial" w:hAnsi="Arial"/>
          <w:sz w:val="16"/>
          <w:szCs w:val="16"/>
          <w:color w:val="auto"/>
        </w:rPr>
      </w:pPr>
    </w:p>
    <w:p>
      <w:pPr>
        <w:ind w:left="440" w:right="100" w:firstLine="428"/>
        <w:spacing w:after="0" w:line="276" w:lineRule="auto"/>
        <w:tabs>
          <w:tab w:leader="none" w:pos="120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2" w:lineRule="exact"/>
        <w:rPr>
          <w:rFonts w:ascii="Arial" w:cs="Arial" w:eastAsia="Arial" w:hAnsi="Arial"/>
          <w:sz w:val="17"/>
          <w:szCs w:val="17"/>
          <w:color w:val="auto"/>
        </w:rPr>
      </w:pPr>
    </w:p>
    <w:p>
      <w:pPr>
        <w:ind w:right="160" w:firstLine="444"/>
        <w:spacing w:after="0" w:line="312" w:lineRule="auto"/>
        <w:tabs>
          <w:tab w:leader="none" w:pos="621"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conditions hereinafter stated, agrees, severally and not jointly, to purchase from the Company the respective numbers of Firm Shares set forth in Schedule I hereto opposite its name at $17.39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975,000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w:t>
      </w:r>
    </w:p>
    <w:p>
      <w:pPr>
        <w:sectPr>
          <w:pgSz w:w="11900" w:h="16838" w:orient="portrait"/>
          <w:cols w:equalWidth="0" w:num="1">
            <w:col w:w="11020"/>
          </w:cols>
          <w:pgMar w:left="440" w:top="274" w:right="439" w:bottom="1440" w:gutter="0" w:footer="0" w:header="0"/>
        </w:sectPr>
      </w:pPr>
    </w:p>
    <w:bookmarkStart w:id="20" w:name="page21"/>
    <w:bookmarkEnd w:id="2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2" w:lineRule="exact"/>
        <w:rPr>
          <w:sz w:val="20"/>
          <w:szCs w:val="20"/>
          <w:color w:val="auto"/>
        </w:rPr>
      </w:pPr>
    </w:p>
    <w:p>
      <w:pPr>
        <w:ind w:firstLine="444"/>
        <w:spacing w:after="0" w:line="259"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$18.50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40" w:firstLine="444"/>
        <w:spacing w:after="0" w:line="259"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respective accounts of the several Underwriters at 10:00 a.m., New York City time, on July 19, 2019, or at such other time on the same or such other date, not later than July 26, 2019,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August 28, 2019, as shall be designated in writing by the Representatives.</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transfer taxes payable in connection with the transfer of the Shares to the Underwriters, if any, duly paid, against payment of the Purchase Price therefor.</w:t>
      </w:r>
    </w:p>
    <w:p>
      <w:pPr>
        <w:sectPr>
          <w:pgSz w:w="11900" w:h="16838" w:orient="portrait"/>
          <w:cols w:equalWidth="0" w:num="1">
            <w:col w:w="11020"/>
          </w:cols>
          <w:pgMar w:left="440" w:top="274" w:right="439" w:bottom="1440" w:gutter="0" w:footer="0" w:header="0"/>
        </w:sectPr>
      </w:pPr>
    </w:p>
    <w:bookmarkStart w:id="21" w:name="page22"/>
    <w:bookmarkEnd w:id="21"/>
    <w:p>
      <w:pPr>
        <w:ind w:right="80" w:firstLine="444"/>
        <w:spacing w:after="0" w:line="264" w:lineRule="auto"/>
        <w:tabs>
          <w:tab w:leader="none" w:pos="62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the Underwriters’ Obligations</w:t>
      </w:r>
      <w:r>
        <w:rPr>
          <w:rFonts w:ascii="Arial" w:cs="Arial" w:eastAsia="Arial" w:hAnsi="Arial"/>
          <w:sz w:val="18"/>
          <w:szCs w:val="18"/>
          <w:color w:val="auto"/>
        </w:rPr>
        <w:t>. The obligations of the Company to sell the Shares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Shares on the Closing Date are subject to the condition that the Registration Statement shall have become effective not later than 6:30 p.m., New York City time, on the date 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440" w:right="180" w:firstLine="428"/>
        <w:spacing w:after="0" w:line="257"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there shall not have occurred any change, or any development involving a prospective change, in the condition, financial or otherwise, or in the earnings, business, prospects or operations of the Company and the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80" w:lineRule="exact"/>
        <w:rPr>
          <w:rFonts w:ascii="Arial" w:cs="Arial" w:eastAsia="Arial" w:hAnsi="Arial"/>
          <w:sz w:val="18"/>
          <w:szCs w:val="18"/>
          <w:color w:val="auto"/>
        </w:rPr>
      </w:pPr>
    </w:p>
    <w:p>
      <w:pPr>
        <w:jc w:val="both"/>
        <w:ind w:left="440" w:right="120" w:firstLine="428"/>
        <w:spacing w:after="0" w:line="259"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right="380" w:firstLine="428"/>
        <w:spacing w:after="0" w:line="308" w:lineRule="auto"/>
        <w:tabs>
          <w:tab w:leader="none" w:pos="11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Goodwin Procter LLP, outside counsel for the Company, dated the Closing Date, in form and substance reasonably satisfactory to the Underwriters.</w:t>
      </w:r>
    </w:p>
    <w:p>
      <w:pPr>
        <w:spacing w:after="0" w:line="38" w:lineRule="exact"/>
        <w:rPr>
          <w:rFonts w:ascii="Arial" w:cs="Arial" w:eastAsia="Arial" w:hAnsi="Arial"/>
          <w:sz w:val="17"/>
          <w:szCs w:val="17"/>
          <w:color w:val="auto"/>
        </w:rPr>
      </w:pPr>
    </w:p>
    <w:p>
      <w:pPr>
        <w:ind w:left="440" w:firstLine="428"/>
        <w:spacing w:after="0" w:line="264"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Clark + Elbing LLP, special counsel to the Company with respect to certain intellectual property matters, dated the Closing Date, in form and substance reasonably satisfactory to the Underwriters.</w:t>
      </w:r>
    </w:p>
    <w:p>
      <w:pPr>
        <w:spacing w:after="0" w:line="73" w:lineRule="exact"/>
        <w:rPr>
          <w:rFonts w:ascii="Arial" w:cs="Arial" w:eastAsia="Arial" w:hAnsi="Arial"/>
          <w:sz w:val="18"/>
          <w:szCs w:val="18"/>
          <w:color w:val="auto"/>
        </w:rPr>
      </w:pPr>
    </w:p>
    <w:p>
      <w:pPr>
        <w:ind w:left="440" w:right="20" w:firstLine="428"/>
        <w:spacing w:after="0" w:line="277"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Ropes &amp; Gray LLP, counsel for the Underwriters, dated the Closing Date, in form and substance reasonably satisfactory to the Underwriters.</w:t>
      </w:r>
    </w:p>
    <w:p>
      <w:pPr>
        <w:spacing w:after="0" w:line="170"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With respect to Sections 5(c) and 5(e) above, Goodwin Procter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ectPr>
          <w:pgSz w:w="11900" w:h="16838" w:orient="portrait"/>
          <w:cols w:equalWidth="0" w:num="1">
            <w:col w:w="11020"/>
          </w:cols>
          <w:pgMar w:left="440" w:top="274" w:right="439" w:bottom="1440" w:gutter="0" w:footer="0" w:header="0"/>
        </w:sectPr>
      </w:pPr>
    </w:p>
    <w:bookmarkStart w:id="22" w:name="page23"/>
    <w:bookmarkEnd w:id="22"/>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opinions of Goodwin Procter LLP and Clark + Elbing LLP described in Section 5(c) and 5(d) above shall be rendered to the Underwriters at the request of the Company and shall so state therein.</w:t>
      </w:r>
    </w:p>
    <w:p>
      <w:pPr>
        <w:spacing w:after="0" w:line="62" w:lineRule="exact"/>
        <w:rPr>
          <w:sz w:val="20"/>
          <w:szCs w:val="20"/>
          <w:color w:val="auto"/>
        </w:rPr>
      </w:pPr>
    </w:p>
    <w:p>
      <w:pPr>
        <w:ind w:left="440" w:firstLine="428"/>
        <w:spacing w:after="0" w:line="297" w:lineRule="auto"/>
        <w:tabs>
          <w:tab w:leader="none" w:pos="10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50" w:lineRule="exact"/>
        <w:rPr>
          <w:rFonts w:ascii="Arial" w:cs="Arial" w:eastAsia="Arial" w:hAnsi="Arial"/>
          <w:sz w:val="16"/>
          <w:szCs w:val="16"/>
          <w:color w:val="auto"/>
        </w:rPr>
      </w:pPr>
    </w:p>
    <w:p>
      <w:pPr>
        <w:ind w:left="440" w:right="120" w:firstLine="428"/>
        <w:spacing w:after="0" w:line="342" w:lineRule="auto"/>
        <w:tabs>
          <w:tab w:leader="none" w:pos="11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Underwriters shall have received, on each of the date hereof and the Closing Date, a certificate dated the date hereof or the Closing Date, as the case may be, in form and substance satisfactory to the Representatives, from the Chief Financial Officer of the Company.</w:t>
      </w:r>
    </w:p>
    <w:p>
      <w:pPr>
        <w:spacing w:after="0" w:line="15" w:lineRule="exact"/>
        <w:rPr>
          <w:rFonts w:ascii="Arial" w:cs="Arial" w:eastAsia="Arial" w:hAnsi="Arial"/>
          <w:sz w:val="16"/>
          <w:szCs w:val="16"/>
          <w:color w:val="auto"/>
        </w:rPr>
      </w:pPr>
    </w:p>
    <w:p>
      <w:pPr>
        <w:ind w:left="440" w:right="200" w:firstLine="428"/>
        <w:spacing w:after="0" w:line="312" w:lineRule="auto"/>
        <w:tabs>
          <w:tab w:leader="none" w:pos="11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“lock-up” agreements, each substantially in the form of Exhibit A hereto, among the Representatives and certain shareholders, officers and directors of the Company relating to sales and certain other dispositions of shares of Common Stock or certain other securities, delivered to the Representatives on or before the date hereof (the “</w:t>
      </w:r>
      <w:r>
        <w:rPr>
          <w:rFonts w:ascii="Arial" w:cs="Arial" w:eastAsia="Arial" w:hAnsi="Arial"/>
          <w:sz w:val="16"/>
          <w:szCs w:val="16"/>
          <w:b w:val="1"/>
          <w:bCs w:val="1"/>
          <w:color w:val="auto"/>
        </w:rPr>
        <w:t>Lock-up Agreements</w:t>
      </w:r>
      <w:r>
        <w:rPr>
          <w:rFonts w:ascii="Arial" w:cs="Arial" w:eastAsia="Arial" w:hAnsi="Arial"/>
          <w:sz w:val="16"/>
          <w:szCs w:val="16"/>
          <w:color w:val="auto"/>
        </w:rPr>
        <w:t>”), shall be in full force and effect on the Closing Date.</w:t>
      </w:r>
    </w:p>
    <w:p>
      <w:pPr>
        <w:spacing w:after="0" w:line="38" w:lineRule="exact"/>
        <w:rPr>
          <w:rFonts w:ascii="Arial" w:cs="Arial" w:eastAsia="Arial" w:hAnsi="Arial"/>
          <w:sz w:val="16"/>
          <w:szCs w:val="16"/>
          <w:color w:val="auto"/>
        </w:rPr>
      </w:pPr>
    </w:p>
    <w:p>
      <w:pPr>
        <w:ind w:left="440" w:right="240" w:firstLine="428"/>
        <w:spacing w:after="0" w:line="277" w:lineRule="auto"/>
        <w:tabs>
          <w:tab w:leader="none" w:pos="10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Underwriters on the applicable Option Closing Date of the following:</w:t>
      </w:r>
    </w:p>
    <w:p>
      <w:pPr>
        <w:spacing w:after="0" w:line="62" w:lineRule="exact"/>
        <w:rPr>
          <w:rFonts w:ascii="Arial" w:cs="Arial" w:eastAsia="Arial" w:hAnsi="Arial"/>
          <w:sz w:val="18"/>
          <w:szCs w:val="18"/>
          <w:color w:val="auto"/>
        </w:rPr>
      </w:pPr>
    </w:p>
    <w:p>
      <w:pPr>
        <w:ind w:left="880" w:right="420" w:firstLine="411"/>
        <w:spacing w:after="0" w:line="342" w:lineRule="auto"/>
        <w:tabs>
          <w:tab w:leader="none" w:pos="15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880" w:right="380" w:firstLine="411"/>
        <w:spacing w:after="0" w:line="264" w:lineRule="auto"/>
        <w:tabs>
          <w:tab w:leader="none" w:pos="15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opinion and negative assurance letter of Goodwin Procter LLP, outside counsel for the Company, dated the Option Closing Date, relating to the Additional Shares to be purchased on such Option Closing Date and otherwise to the same effect as the opinion required by Section 5(c) hereof;</w:t>
      </w:r>
    </w:p>
    <w:p>
      <w:pPr>
        <w:spacing w:after="0" w:line="73" w:lineRule="exact"/>
        <w:rPr>
          <w:rFonts w:ascii="Arial" w:cs="Arial" w:eastAsia="Arial" w:hAnsi="Arial"/>
          <w:sz w:val="18"/>
          <w:szCs w:val="18"/>
          <w:color w:val="auto"/>
        </w:rPr>
      </w:pPr>
    </w:p>
    <w:p>
      <w:pPr>
        <w:ind w:left="880" w:firstLine="411"/>
        <w:spacing w:after="0" w:line="342" w:lineRule="auto"/>
        <w:tabs>
          <w:tab w:leader="none" w:pos="16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 opinion and negative assurance letter of Clark + Elbing LLP, special counsel to the Company with respect to certain intellectual property matters, dated the Option Closing Date and otherwise to the same effect as the opinion required by Section 5(d) hereof;</w:t>
      </w:r>
    </w:p>
    <w:p>
      <w:pPr>
        <w:sectPr>
          <w:pgSz w:w="11900" w:h="16838" w:orient="portrait"/>
          <w:cols w:equalWidth="0" w:num="1">
            <w:col w:w="11000"/>
          </w:cols>
          <w:pgMar w:left="440" w:top="274" w:right="459" w:bottom="1440" w:gutter="0" w:footer="0" w:header="0"/>
        </w:sectPr>
      </w:pPr>
    </w:p>
    <w:bookmarkStart w:id="23" w:name="page24"/>
    <w:bookmarkEnd w:id="23"/>
    <w:p>
      <w:pPr>
        <w:ind w:left="436" w:right="200" w:firstLine="411"/>
        <w:spacing w:after="0" w:line="264" w:lineRule="auto"/>
        <w:tabs>
          <w:tab w:leader="none" w:pos="1146" w:val="left"/>
        </w:tabs>
        <w:numPr>
          <w:ilvl w:val="2"/>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opinion and negative assurance letter of Ropes &amp; Gray LLP, counsel for the Underwriters, dated the Option Closing Date, relating to the Additional Shares to be purchased on such Option Closing Date and otherwise to the same effect as the opinion required by Section 5(e) hereof;</w:t>
      </w:r>
    </w:p>
    <w:p>
      <w:pPr>
        <w:spacing w:after="0" w:line="73" w:lineRule="exact"/>
        <w:rPr>
          <w:rFonts w:ascii="Arial" w:cs="Arial" w:eastAsia="Arial" w:hAnsi="Arial"/>
          <w:sz w:val="18"/>
          <w:szCs w:val="18"/>
          <w:color w:val="auto"/>
        </w:rPr>
      </w:pPr>
    </w:p>
    <w:p>
      <w:pPr>
        <w:ind w:left="436" w:firstLine="411"/>
        <w:spacing w:after="0" w:line="259" w:lineRule="auto"/>
        <w:tabs>
          <w:tab w:leader="none" w:pos="1096"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w:t>
      </w:r>
    </w:p>
    <w:p>
      <w:pPr>
        <w:spacing w:after="0" w:line="78" w:lineRule="exact"/>
        <w:rPr>
          <w:rFonts w:ascii="Arial" w:cs="Arial" w:eastAsia="Arial" w:hAnsi="Arial"/>
          <w:sz w:val="18"/>
          <w:szCs w:val="18"/>
          <w:color w:val="auto"/>
        </w:rPr>
      </w:pPr>
    </w:p>
    <w:p>
      <w:pPr>
        <w:ind w:left="436" w:right="480" w:firstLine="411"/>
        <w:spacing w:after="0" w:line="277" w:lineRule="auto"/>
        <w:tabs>
          <w:tab w:leader="none" w:pos="1146"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certificate dated the Option Closing Date, in form and substance satisfactory to the Underwriters, from the Chief Financial Officer of the Company; and</w:t>
      </w:r>
    </w:p>
    <w:p>
      <w:pPr>
        <w:spacing w:after="0" w:line="62" w:lineRule="exact"/>
        <w:rPr>
          <w:rFonts w:ascii="Arial" w:cs="Arial" w:eastAsia="Arial" w:hAnsi="Arial"/>
          <w:sz w:val="18"/>
          <w:szCs w:val="18"/>
          <w:color w:val="auto"/>
        </w:rPr>
      </w:pPr>
    </w:p>
    <w:p>
      <w:pPr>
        <w:ind w:left="436" w:right="40" w:firstLine="411"/>
        <w:spacing w:after="0" w:line="264" w:lineRule="auto"/>
        <w:tabs>
          <w:tab w:leader="none" w:pos="1196" w:val="left"/>
        </w:tabs>
        <w:numPr>
          <w:ilvl w:val="2"/>
          <w:numId w:val="25"/>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1" w:lineRule="exact"/>
        <w:rPr>
          <w:rFonts w:ascii="Arial" w:cs="Arial" w:eastAsia="Arial" w:hAnsi="Arial"/>
          <w:sz w:val="18"/>
          <w:szCs w:val="18"/>
          <w:color w:val="auto"/>
        </w:rPr>
      </w:pPr>
    </w:p>
    <w:p>
      <w:pPr>
        <w:ind w:left="176" w:hanging="176"/>
        <w:spacing w:after="0"/>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right="100" w:firstLine="428"/>
        <w:spacing w:after="0" w:line="297" w:lineRule="auto"/>
        <w:tabs>
          <w:tab w:leader="none" w:pos="6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furnish to the Representatives, without charge, five conformed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50" w:lineRule="exact"/>
        <w:rPr>
          <w:rFonts w:ascii="Arial" w:cs="Arial" w:eastAsia="Arial" w:hAnsi="Arial"/>
          <w:sz w:val="16"/>
          <w:szCs w:val="16"/>
          <w:color w:val="auto"/>
        </w:rPr>
      </w:pPr>
    </w:p>
    <w:p>
      <w:pPr>
        <w:ind w:left="-4" w:right="140" w:firstLine="428"/>
        <w:spacing w:after="0" w:line="259" w:lineRule="auto"/>
        <w:tabs>
          <w:tab w:leader="none" w:pos="6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140" w:firstLine="428"/>
        <w:spacing w:after="0" w:line="342" w:lineRule="auto"/>
        <w:tabs>
          <w:tab w:leader="none" w:pos="6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ectPr>
          <w:pgSz w:w="11900" w:h="16838" w:orient="portrait"/>
          <w:cols w:equalWidth="0" w:num="1">
            <w:col w:w="10576"/>
          </w:cols>
          <w:pgMar w:left="884" w:top="274" w:right="439" w:bottom="1440" w:gutter="0" w:footer="0" w:header="0"/>
        </w:sectPr>
      </w:pPr>
    </w:p>
    <w:bookmarkStart w:id="24" w:name="page25"/>
    <w:bookmarkEnd w:id="24"/>
    <w:p>
      <w:pPr>
        <w:ind w:right="100" w:firstLine="428"/>
        <w:spacing w:after="0" w:line="264"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80" w:firstLine="428"/>
        <w:spacing w:after="0" w:line="270" w:lineRule="auto"/>
        <w:tabs>
          <w:tab w:leader="none" w:pos="6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9" w:lineRule="exact"/>
        <w:rPr>
          <w:rFonts w:ascii="Arial" w:cs="Arial" w:eastAsia="Arial" w:hAnsi="Arial"/>
          <w:sz w:val="17"/>
          <w:szCs w:val="17"/>
          <w:color w:val="auto"/>
        </w:rPr>
      </w:pPr>
    </w:p>
    <w:p>
      <w:pPr>
        <w:ind w:left="660" w:hanging="232"/>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ectPr>
          <w:pgSz w:w="11900" w:h="16838" w:orient="portrait"/>
          <w:cols w:equalWidth="0" w:num="1">
            <w:col w:w="10540"/>
          </w:cols>
          <w:pgMar w:left="880" w:top="274" w:right="479" w:bottom="1440" w:gutter="0" w:footer="0" w:header="0"/>
        </w:sectPr>
      </w:pPr>
    </w:p>
    <w:bookmarkStart w:id="25" w:name="page26"/>
    <w:bookmarkEnd w:id="25"/>
    <w:p>
      <w:pPr>
        <w:ind w:left="-428" w:right="60" w:firstLine="428"/>
        <w:spacing w:after="0" w:line="259" w:lineRule="auto"/>
        <w:tabs>
          <w:tab w:leader="none" w:pos="25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endeavor to qualify the Shares for offer and sale under the securities or Blue Sky laws of such jurisdictions as the Representatives shall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8" w:lineRule="exact"/>
        <w:rPr>
          <w:rFonts w:ascii="Arial" w:cs="Arial" w:eastAsia="Arial" w:hAnsi="Arial"/>
          <w:sz w:val="18"/>
          <w:szCs w:val="18"/>
          <w:color w:val="auto"/>
        </w:rPr>
      </w:pPr>
    </w:p>
    <w:p>
      <w:pPr>
        <w:ind w:left="-428" w:firstLine="428"/>
        <w:spacing w:after="0" w:line="257" w:lineRule="auto"/>
        <w:tabs>
          <w:tab w:leader="none" w:pos="2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be deemed to have furnished such statement to its security holders to the extent it is filed on the Commission’s Electronic Data Gathering, Analysis and Retrieval System.</w:t>
      </w:r>
    </w:p>
    <w:p>
      <w:pPr>
        <w:spacing w:after="0" w:line="80" w:lineRule="exact"/>
        <w:rPr>
          <w:rFonts w:ascii="Arial" w:cs="Arial" w:eastAsia="Arial" w:hAnsi="Arial"/>
          <w:sz w:val="18"/>
          <w:szCs w:val="18"/>
          <w:color w:val="auto"/>
        </w:rPr>
      </w:pPr>
    </w:p>
    <w:p>
      <w:pPr>
        <w:ind w:left="-428" w:right="40" w:firstLine="428"/>
        <w:spacing w:after="0" w:line="285"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transfer or other taxes, if any,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reasonably incurred and documented fees and disbursements of counsel for the Underwriters in connection with such qualification and in connection with the Blue Sky or Legal Investment memorandum (</w:t>
      </w:r>
      <w:r>
        <w:rPr>
          <w:rFonts w:ascii="Arial" w:cs="Arial" w:eastAsia="Arial" w:hAnsi="Arial"/>
          <w:sz w:val="16"/>
          <w:szCs w:val="16"/>
          <w:i w:val="1"/>
          <w:iCs w:val="1"/>
          <w:color w:val="auto"/>
        </w:rPr>
        <w:t>provided</w:t>
      </w:r>
      <w:r>
        <w:rPr>
          <w:rFonts w:ascii="Arial" w:cs="Arial" w:eastAsia="Arial" w:hAnsi="Arial"/>
          <w:sz w:val="16"/>
          <w:szCs w:val="16"/>
          <w:color w:val="auto"/>
        </w:rPr>
        <w:t>, that, the amount payable by the Company with respect to fees and disbursements of counsel for the Underwriters pursuant to this subsection (iii) shall not exceed $10,000), (iv) all filing fees and the reasonable fees and disbursements of counsel to the Underwriters incurred in connection with the review and qualification of the offering of the Shares by FINRA (</w:t>
      </w:r>
      <w:r>
        <w:rPr>
          <w:rFonts w:ascii="Arial" w:cs="Arial" w:eastAsia="Arial" w:hAnsi="Arial"/>
          <w:sz w:val="16"/>
          <w:szCs w:val="16"/>
          <w:i w:val="1"/>
          <w:iCs w:val="1"/>
          <w:color w:val="auto"/>
        </w:rPr>
        <w:t>provided</w:t>
      </w:r>
      <w:r>
        <w:rPr>
          <w:rFonts w:ascii="Arial" w:cs="Arial" w:eastAsia="Arial" w:hAnsi="Arial"/>
          <w:sz w:val="16"/>
          <w:szCs w:val="16"/>
          <w:color w:val="auto"/>
        </w:rPr>
        <w:t>, that, the amount payable by the Company with respect to fees and disbursements of counsel for the Underwriters pursuant to this subsection (iv) shall not exceed $30,000), (v) the cost of printing certificates representing the Shares, (vi) the costs and charges of any transfer agent, registrar or depositary, (vii) the costs and expenses of the Company relating to investor presentations on any “road show”</w:t>
      </w:r>
    </w:p>
    <w:p>
      <w:pPr>
        <w:sectPr>
          <w:pgSz w:w="11900" w:h="16838" w:orient="portrait"/>
          <w:cols w:equalWidth="0" w:num="1">
            <w:col w:w="10152"/>
          </w:cols>
          <w:pgMar w:left="1308" w:top="274" w:right="439" w:bottom="1440" w:gutter="0" w:footer="0" w:header="0"/>
        </w:sectPr>
      </w:pPr>
    </w:p>
    <w:bookmarkStart w:id="26" w:name="page27"/>
    <w:bookmarkEnd w:id="26"/>
    <w:p>
      <w:pPr>
        <w:ind w:left="440"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the cost of such aircraft, as well as any other travel and lodging expenses of the Underwriters in connection with the road show, to be paid by the Underwriters), (viii) the document production charges and expenses associated with printing this Agreement and</w:t>
      </w:r>
    </w:p>
    <w:p>
      <w:pPr>
        <w:spacing w:after="0" w:line="5" w:lineRule="exact"/>
        <w:rPr>
          <w:sz w:val="20"/>
          <w:szCs w:val="20"/>
          <w:color w:val="auto"/>
        </w:rPr>
      </w:pPr>
    </w:p>
    <w:p>
      <w:pPr>
        <w:ind w:left="440" w:right="220" w:firstLine="4"/>
        <w:spacing w:after="0" w:line="295"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53" w:lineRule="exact"/>
        <w:rPr>
          <w:rFonts w:ascii="Arial" w:cs="Arial" w:eastAsia="Arial" w:hAnsi="Arial"/>
          <w:sz w:val="16"/>
          <w:szCs w:val="16"/>
          <w:color w:val="auto"/>
        </w:rPr>
      </w:pPr>
    </w:p>
    <w:p>
      <w:pPr>
        <w:ind w:left="440" w:firstLine="428"/>
        <w:spacing w:after="0" w:line="264" w:lineRule="auto"/>
        <w:tabs>
          <w:tab w:leader="none" w:pos="10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3" w:lineRule="exact"/>
        <w:rPr>
          <w:rFonts w:ascii="Arial" w:cs="Arial" w:eastAsia="Arial" w:hAnsi="Arial"/>
          <w:sz w:val="18"/>
          <w:szCs w:val="18"/>
          <w:color w:val="auto"/>
        </w:rPr>
      </w:pPr>
    </w:p>
    <w:p>
      <w:pPr>
        <w:ind w:left="440" w:right="20" w:firstLine="428"/>
        <w:spacing w:after="0" w:line="297" w:lineRule="auto"/>
        <w:tabs>
          <w:tab w:leader="none" w:pos="1118"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50" w:lineRule="exact"/>
        <w:rPr>
          <w:rFonts w:ascii="Arial" w:cs="Arial" w:eastAsia="Arial" w:hAnsi="Arial"/>
          <w:sz w:val="16"/>
          <w:szCs w:val="16"/>
          <w:color w:val="auto"/>
        </w:rPr>
      </w:pPr>
    </w:p>
    <w:p>
      <w:pPr>
        <w:jc w:val="both"/>
        <w:ind w:left="440" w:right="300" w:firstLine="428"/>
        <w:spacing w:after="0" w:line="259" w:lineRule="auto"/>
        <w:tabs>
          <w:tab w:leader="none" w:pos="10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 also covenants with each Underwriter that, without the prior written consent of each of Morgan Stanley &amp; Co. LLC and Cowen and Company, LLC, on behalf of the Underwriters, it will not, during the period ending 90 days after the date of the Prospectus (the “</w:t>
      </w:r>
      <w:r>
        <w:rPr>
          <w:rFonts w:ascii="Arial" w:cs="Arial" w:eastAsia="Arial" w:hAnsi="Arial"/>
          <w:sz w:val="18"/>
          <w:szCs w:val="18"/>
          <w:b w:val="1"/>
          <w:bCs w:val="1"/>
          <w:color w:val="auto"/>
        </w:rPr>
        <w:t>Restricted Period</w:t>
      </w:r>
      <w:r>
        <w:rPr>
          <w:rFonts w:ascii="Arial" w:cs="Arial" w:eastAsia="Arial" w:hAnsi="Arial"/>
          <w:sz w:val="18"/>
          <w:szCs w:val="18"/>
          <w:color w:val="auto"/>
        </w:rPr>
        <w:t>”), (1) offer, pledge, sell, contract to sell, sell</w:t>
      </w:r>
    </w:p>
    <w:p>
      <w:pPr>
        <w:sectPr>
          <w:pgSz w:w="11900" w:h="16838" w:orient="portrait"/>
          <w:cols w:equalWidth="0" w:num="1">
            <w:col w:w="11000"/>
          </w:cols>
          <w:pgMar w:left="440" w:top="274" w:right="459" w:bottom="1440" w:gutter="0" w:footer="0" w:header="0"/>
        </w:sectPr>
      </w:pPr>
    </w:p>
    <w:bookmarkStart w:id="27" w:name="page28"/>
    <w:bookmarkEnd w:id="27"/>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ind w:right="60" w:firstLine="4"/>
        <w:spacing w:after="0" w:line="25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90"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Shares to be sold hereunder, (b) the issuance by the Company of shares of Common Stock upon the exercise of an option pursuant to stock plans or a warrant or the conversion of a security outstanding on the date hereof, in each case disclosed in the Time of Sale Prospectus or pursuant to any qualifying inducement award under Nasdaq rules, (c) 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shares of Common Stock during the Restricted Period and (ii)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 (d) the grant or issuance by the Company, or exercise or settlement (in cash, shares of Common Stock or otherwise), of options, restricted stock awards, restricted stock units or any other type of equity award to employees, officers, directors, advisors or consultants of the Company pursuant to employee benefit plans described in the Time of Sale Prospectus or pursuant to any qualifying inducement award under Nasdaq rules, (e) the filing by the Company of a registration statement with the Commission on Form S-8 with respect to employee benefit plans issued under stock plans described in the Time of Sale Prospectus, or (f) 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w:t>
      </w:r>
    </w:p>
    <w:p>
      <w:pPr>
        <w:spacing w:after="0" w:line="3" w:lineRule="exact"/>
        <w:rPr>
          <w:sz w:val="20"/>
          <w:szCs w:val="20"/>
          <w:color w:val="auto"/>
        </w:rPr>
      </w:pPr>
    </w:p>
    <w:p>
      <w:pPr>
        <w:ind w:right="40" w:firstLine="4"/>
        <w:spacing w:after="0" w:line="252"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equipment leasing arrangements or (vi) debt financing, provided that the aggregate number of shares of Common Stock or securities convertible into or exercisable for Common Stock (on an as-converted or as exercised basis, as the case may be) that the Company may sell or issue or agree to sell or issue pursuant to this clause (f) shall not exceed 5% of the total number of shares of the Company’s Common Stock issued and outstanding immediately following the completion of the transactions contemplated by this Agreement, and provided further, that each recipient of shares of Common Stock or securities convertible into or exercisable for Common Stock pursuant to clauses (d) and (f) shall execute a lock-up agreement substantially in the form of Exhibit A hereto.</w:t>
      </w:r>
    </w:p>
    <w:p>
      <w:pPr>
        <w:spacing w:after="0" w:line="194" w:lineRule="exact"/>
        <w:rPr>
          <w:rFonts w:ascii="Arial" w:cs="Arial" w:eastAsia="Arial" w:hAnsi="Arial"/>
          <w:sz w:val="18"/>
          <w:szCs w:val="18"/>
          <w:color w:val="auto"/>
        </w:rPr>
      </w:pPr>
    </w:p>
    <w:p>
      <w:pPr>
        <w:ind w:right="360" w:firstLine="444"/>
        <w:spacing w:after="0" w:line="286" w:lineRule="auto"/>
        <w:tabs>
          <w:tab w:leader="none" w:pos="621"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ectPr>
          <w:pgSz w:w="11900" w:h="16838" w:orient="portrait"/>
          <w:cols w:equalWidth="0" w:num="1">
            <w:col w:w="11020"/>
          </w:cols>
          <w:pgMar w:left="440" w:top="274" w:right="439" w:bottom="1440" w:gutter="0" w:footer="0" w:header="0"/>
        </w:sectPr>
      </w:pPr>
    </w:p>
    <w:bookmarkStart w:id="28" w:name="page29"/>
    <w:bookmarkEnd w:id="28"/>
    <w:p>
      <w:pPr>
        <w:ind w:left="176" w:hanging="176"/>
        <w:spacing w:after="0"/>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428"/>
        <w:spacing w:after="0" w:line="287" w:lineRule="auto"/>
        <w:tabs>
          <w:tab w:leader="none" w:pos="664"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60" w:lineRule="exact"/>
        <w:rPr>
          <w:rFonts w:ascii="Arial" w:cs="Arial" w:eastAsia="Arial" w:hAnsi="Arial"/>
          <w:sz w:val="16"/>
          <w:szCs w:val="16"/>
          <w:color w:val="auto"/>
        </w:rPr>
      </w:pPr>
    </w:p>
    <w:p>
      <w:pPr>
        <w:ind w:left="-4" w:right="140" w:firstLine="428"/>
        <w:spacing w:after="0" w:line="255" w:lineRule="auto"/>
        <w:tabs>
          <w:tab w:leader="none" w:pos="6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85" w:lineRule="exact"/>
        <w:rPr>
          <w:rFonts w:ascii="Arial" w:cs="Arial" w:eastAsia="Arial" w:hAnsi="Arial"/>
          <w:sz w:val="18"/>
          <w:szCs w:val="18"/>
          <w:color w:val="auto"/>
        </w:rPr>
      </w:pPr>
    </w:p>
    <w:p>
      <w:pPr>
        <w:ind w:left="-4" w:firstLine="428"/>
        <w:spacing w:after="0" w:line="257" w:lineRule="auto"/>
        <w:tabs>
          <w:tab w:leader="none" w:pos="6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w:t>
      </w:r>
    </w:p>
    <w:p>
      <w:pPr>
        <w:sectPr>
          <w:pgSz w:w="11900" w:h="16838" w:orient="portrait"/>
          <w:cols w:equalWidth="0" w:num="1">
            <w:col w:w="10576"/>
          </w:cols>
          <w:pgMar w:left="884" w:top="274" w:right="43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admitting fault, culpability or a failure to act, by or on behalf of any indemnified party.</w:t>
      </w:r>
    </w:p>
    <w:p>
      <w:pPr>
        <w:spacing w:after="0" w:line="60" w:lineRule="exact"/>
        <w:rPr>
          <w:sz w:val="20"/>
          <w:szCs w:val="20"/>
          <w:color w:val="auto"/>
        </w:rPr>
      </w:pPr>
    </w:p>
    <w:p>
      <w:pPr>
        <w:ind w:right="80" w:firstLine="428"/>
        <w:spacing w:after="0" w:line="273" w:lineRule="auto"/>
        <w:tabs>
          <w:tab w:leader="none" w:pos="67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w:t>
      </w:r>
    </w:p>
    <w:p>
      <w:pPr>
        <w:sectPr>
          <w:pgSz w:w="11900" w:h="16838" w:orient="portrait"/>
          <w:cols w:equalWidth="0" w:num="1">
            <w:col w:w="10580"/>
          </w:cols>
          <w:pgMar w:left="880" w:top="274" w:right="43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75" w:lineRule="exact"/>
        <w:rPr>
          <w:sz w:val="20"/>
          <w:szCs w:val="20"/>
          <w:color w:val="auto"/>
        </w:rPr>
      </w:pPr>
    </w:p>
    <w:p>
      <w:pPr>
        <w:ind w:right="40" w:firstLine="428"/>
        <w:spacing w:after="0" w:line="269" w:lineRule="auto"/>
        <w:tabs>
          <w:tab w:leader="none" w:pos="668"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4" w:lineRule="exact"/>
        <w:rPr>
          <w:rFonts w:ascii="Arial" w:cs="Arial" w:eastAsia="Arial" w:hAnsi="Arial"/>
          <w:sz w:val="17"/>
          <w:szCs w:val="17"/>
          <w:color w:val="auto"/>
        </w:rPr>
      </w:pPr>
    </w:p>
    <w:p>
      <w:pPr>
        <w:ind w:right="360" w:firstLine="428"/>
        <w:spacing w:after="0" w:line="291" w:lineRule="auto"/>
        <w:tabs>
          <w:tab w:leader="none" w:pos="64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firstLine="4"/>
        <w:spacing w:after="0" w:line="255"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ectPr>
          <w:pgSz w:w="11900" w:h="16838" w:orient="portrait"/>
          <w:cols w:equalWidth="0" w:num="1">
            <w:col w:w="10580"/>
          </w:cols>
          <w:pgMar w:left="880" w:top="274" w:right="439" w:bottom="1440" w:gutter="0" w:footer="0" w:header="0"/>
        </w:sectPr>
      </w:pPr>
    </w:p>
    <w:bookmarkStart w:id="31" w:name="page32"/>
    <w:bookmarkEnd w:id="31"/>
    <w:p>
      <w:pPr>
        <w:ind w:left="620" w:hanging="176"/>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444"/>
        <w:spacing w:after="0" w:line="285" w:lineRule="auto"/>
        <w:tabs>
          <w:tab w:leader="none" w:pos="711"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the Closing Date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w:t>
      </w:r>
    </w:p>
    <w:p>
      <w:pPr>
        <w:spacing w:after="0" w:line="2" w:lineRule="exact"/>
        <w:rPr>
          <w:rFonts w:ascii="Arial" w:cs="Arial" w:eastAsia="Arial" w:hAnsi="Arial"/>
          <w:sz w:val="16"/>
          <w:szCs w:val="16"/>
          <w:color w:val="auto"/>
        </w:rPr>
      </w:pPr>
    </w:p>
    <w:p>
      <w:pPr>
        <w:ind w:firstLine="4"/>
        <w:spacing w:after="0" w:line="253"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91" w:lineRule="exact"/>
        <w:rPr>
          <w:rFonts w:ascii="Arial" w:cs="Arial" w:eastAsia="Arial" w:hAnsi="Arial"/>
          <w:sz w:val="18"/>
          <w:szCs w:val="18"/>
          <w:color w:val="auto"/>
        </w:rPr>
      </w:pPr>
    </w:p>
    <w:p>
      <w:pPr>
        <w:ind w:left="700" w:hanging="256"/>
        <w:spacing w:after="0"/>
        <w:tabs>
          <w:tab w:leader="none" w:pos="700"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w:t>
      </w:r>
    </w:p>
    <w:p>
      <w:pPr>
        <w:sectPr>
          <w:pgSz w:w="11900" w:h="16838" w:orient="portrait"/>
          <w:cols w:equalWidth="0" w:num="1">
            <w:col w:w="11000"/>
          </w:cols>
          <w:pgMar w:left="440" w:top="274" w:right="459" w:bottom="1440" w:gutter="0" w:footer="0" w:header="0"/>
        </w:sectPr>
      </w:pPr>
    </w:p>
    <w:bookmarkStart w:id="32" w:name="page33"/>
    <w:bookmarkEnd w:id="3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6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the Company will reimburse the non-defaulting Underwriters or such Underwriters as have so terminated this Agreement with respect to themselves, severally, for all out-of-pocket expenses (including the reasonably incurred and documented fees and disbursements of their counsel) reasonably incurred by such non-defaulting Underwriters in connection with this Agreement or the offering contemplated hereunder.</w:t>
      </w:r>
    </w:p>
    <w:p>
      <w:pPr>
        <w:spacing w:after="0" w:line="193" w:lineRule="exact"/>
        <w:rPr>
          <w:sz w:val="20"/>
          <w:szCs w:val="20"/>
          <w:color w:val="auto"/>
        </w:rPr>
      </w:pPr>
    </w:p>
    <w:p>
      <w:pPr>
        <w:ind w:left="720" w:hanging="27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59" w:lineRule="auto"/>
        <w:tabs>
          <w:tab w:leader="none" w:pos="11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40" w:firstLine="428"/>
        <w:spacing w:after="0" w:line="293" w:lineRule="auto"/>
        <w:tabs>
          <w:tab w:leader="none" w:pos="1118"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w:t>
      </w:r>
    </w:p>
    <w:p>
      <w:pPr>
        <w:sectPr>
          <w:pgSz w:w="11900" w:h="16838" w:orient="portrait"/>
          <w:cols w:equalWidth="0" w:num="1">
            <w:col w:w="11020"/>
          </w:cols>
          <w:pgMar w:left="440" w:top="274" w:right="439" w:bottom="1440" w:gutter="0" w:footer="0" w:header="0"/>
        </w:sectPr>
      </w:pPr>
    </w:p>
    <w:bookmarkStart w:id="33" w:name="page34"/>
    <w:bookmarkEnd w:id="33"/>
    <w:p>
      <w:pPr>
        <w:ind w:right="120" w:firstLine="444"/>
        <w:spacing w:after="0" w:line="279"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440" w:right="60" w:firstLine="428"/>
        <w:spacing w:after="0" w:line="259" w:lineRule="auto"/>
        <w:tabs>
          <w:tab w:leader="none" w:pos="11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300" w:firstLine="44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40" w:firstLine="44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70" w:lineRule="exact"/>
        <w:rPr>
          <w:rFonts w:ascii="Arial" w:cs="Arial" w:eastAsia="Arial" w:hAnsi="Arial"/>
          <w:sz w:val="18"/>
          <w:szCs w:val="18"/>
          <w:color w:val="auto"/>
        </w:rPr>
      </w:pPr>
    </w:p>
    <w:p>
      <w:pPr>
        <w:ind w:firstLine="444"/>
        <w:spacing w:after="0" w:line="272"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w:t>
      </w:r>
      <w:r>
        <w:rPr>
          <w:rFonts w:ascii="Arial" w:cs="Arial" w:eastAsia="Arial" w:hAnsi="Arial"/>
          <w:sz w:val="17"/>
          <w:szCs w:val="17"/>
          <w:i w:val="1"/>
          <w:iCs w:val="1"/>
          <w:color w:val="auto"/>
        </w:rPr>
        <w:t xml:space="preserve"> </w:t>
      </w:r>
      <w:r>
        <w:rPr>
          <w:rFonts w:ascii="Arial" w:cs="Arial" w:eastAsia="Arial" w:hAnsi="Arial"/>
          <w:sz w:val="17"/>
          <w:szCs w:val="17"/>
          <w:color w:val="auto"/>
        </w:rPr>
        <w:t>or sent to the Representatives at c/o Morgan Stanley &amp; Co. LLC, 1585 Broadway, New York, New York 10036, Attention: Equity Syndicate Desk, with a copy to the Legal Department; c/o Cowen and Company, LLC, 599 Lexington Avenue, 25th Floor, New York, New York 10022; and, in each case, with a copy (which copy shall not constitute notice) to Ropes &amp; Gray LLP, Prudential Tower, 800 Boylston Street, Boston, Massachusetts 02199, Attention: Patrick O’Brien; and if to the Company, shall be delivered, mailed or sent to One Kendall Square, Building 300, Suite 201, Cambridge, Massachusetts 02139, Attention: Geoff MacKay, President and Chief Executive Officer, with a copy (which copy shall not constitute notice) to Goodwin Procter LLP, 100 Northern Avenue, Boston, Massachusetts 02210, Attention: Arthur McGivern.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020"/>
          </w:cols>
          <w:pgMar w:left="440" w:top="274" w:right="439" w:bottom="1440" w:gutter="0" w:footer="0" w:header="0"/>
        </w:sectPr>
      </w:pPr>
    </w:p>
    <w:bookmarkStart w:id="34" w:name="page35"/>
    <w:bookmarkEnd w:id="34"/>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 Rigoli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Chris Rigoli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Bill Follis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60"/>
          </w:cols>
          <w:pgMar w:left="440" w:top="274" w:right="1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720" w:type="dxa"/>
            <w:vAlign w:val="bottom"/>
            <w:gridSpan w:val="2"/>
          </w:tcPr>
          <w:p>
            <w:pPr>
              <w:ind w:left="60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260" w:type="dxa"/>
            <w:vAlign w:val="bottom"/>
            <w:gridSpan w:val="3"/>
          </w:tcPr>
          <w:p>
            <w:pPr>
              <w:jc w:val="center"/>
              <w:ind w:left="5373"/>
              <w:spacing w:after="0"/>
              <w:rPr>
                <w:sz w:val="20"/>
                <w:szCs w:val="20"/>
                <w:color w:val="auto"/>
              </w:rPr>
            </w:pPr>
            <w:r>
              <w:rPr>
                <w:rFonts w:ascii="Arial" w:cs="Arial" w:eastAsia="Arial" w:hAnsi="Arial"/>
                <w:sz w:val="14"/>
                <w:szCs w:val="14"/>
                <w:b w:val="1"/>
                <w:bCs w:val="1"/>
                <w:color w:val="auto"/>
                <w:w w:val="93"/>
              </w:rPr>
              <w:t>Number of Firm Shares To</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5540" w:type="dxa"/>
            <w:vAlign w:val="bottom"/>
          </w:tcPr>
          <w:p>
            <w:pPr>
              <w:spacing w:after="0"/>
              <w:rPr>
                <w:sz w:val="13"/>
                <w:szCs w:val="13"/>
                <w:color w:val="auto"/>
              </w:rPr>
            </w:pPr>
          </w:p>
        </w:tc>
        <w:tc>
          <w:tcPr>
            <w:tcW w:w="17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55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2,697,500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1,787,500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7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682,500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Wedbush Securities Inc.</w:t>
            </w:r>
          </w:p>
        </w:tc>
        <w:tc>
          <w:tcPr>
            <w:tcW w:w="7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554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54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60" w:type="dxa"/>
            <w:vAlign w:val="bottom"/>
            <w:gridSpan w:val="3"/>
          </w:tcPr>
          <w:p>
            <w:pPr>
              <w:ind w:left="162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40" w:hanging="436"/>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Basic Prospectus dated July 10, 2019.</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Prospectus dated July 16, 2019.</w:t>
      </w:r>
    </w:p>
    <w:p>
      <w:pPr>
        <w:spacing w:after="0" w:line="130" w:lineRule="exact"/>
        <w:rPr>
          <w:rFonts w:ascii="Arial" w:cs="Arial" w:eastAsia="Arial" w:hAnsi="Arial"/>
          <w:sz w:val="18"/>
          <w:szCs w:val="18"/>
          <w:color w:val="auto"/>
        </w:rPr>
      </w:pPr>
    </w:p>
    <w:p>
      <w:pPr>
        <w:ind w:left="5380" w:right="4820" w:hanging="5376"/>
        <w:spacing w:after="0" w:line="536" w:lineRule="auto"/>
        <w:tabs>
          <w:tab w:leader="none" w:pos="4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information set forth on the pricing term sheet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II-1</w:t>
      </w:r>
    </w:p>
    <w:p>
      <w:pPr>
        <w:sectPr>
          <w:pgSz w:w="11900" w:h="16838" w:orient="portrait"/>
          <w:cols w:equalWidth="0" w:num="1">
            <w:col w:w="11020"/>
          </w:cols>
          <w:pgMar w:left="440" w:top="270"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70"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The undersigned understands that Morgan Stanley &amp; Co. LLC and Cowen and Company, LLC,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of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AVROBIO,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Underwriters, including the Representatives of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common stock, par value $0.0001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Capitalized terms used but not defined herein shall have the meanings assigned thereto in the Underwriting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undersigned hereby agrees that, without the prior written consent of each of the Representatives on behalf of the Underwriters, it will not,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commencing on the date hereof and ending 90 days after the date of the final prospectus relating to the Public Offering (the “</w:t>
      </w:r>
      <w:r>
        <w:rPr>
          <w:rFonts w:ascii="Arial" w:cs="Arial" w:eastAsia="Arial" w:hAnsi="Arial"/>
          <w:sz w:val="17"/>
          <w:szCs w:val="17"/>
          <w:b w:val="1"/>
          <w:bCs w:val="1"/>
          <w:color w:val="auto"/>
        </w:rPr>
        <w:t>Restricted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are convertible into or exercisable or exchangeable for Common Stock or (2) enter into any swap or other arrangement that transfers to another,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 or in part, any of the economic consequences of ownership of shares of Common Stock, whether any such transaction described in clause (1) or</w:t>
      </w:r>
    </w:p>
    <w:p>
      <w:pPr>
        <w:spacing w:after="0" w:line="32" w:lineRule="exact"/>
        <w:rPr>
          <w:sz w:val="20"/>
          <w:szCs w:val="20"/>
          <w:color w:val="auto"/>
        </w:rPr>
      </w:pPr>
    </w:p>
    <w:p>
      <w:pPr>
        <w:ind w:left="260" w:hanging="256"/>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above is to be settled by delivery of shares of Common Stock or such other securities, in cash or otherwise. The foregoing sentence shall not apply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102" w:lineRule="exact"/>
        <w:rPr>
          <w:rFonts w:ascii="Arial" w:cs="Arial" w:eastAsia="Arial" w:hAnsi="Arial"/>
          <w:sz w:val="16"/>
          <w:szCs w:val="16"/>
          <w:color w:val="auto"/>
        </w:rPr>
      </w:pPr>
    </w:p>
    <w:p>
      <w:pPr>
        <w:ind w:right="360" w:firstLine="444"/>
        <w:spacing w:after="0" w:line="277" w:lineRule="auto"/>
        <w:tabs>
          <w:tab w:leader="none" w:pos="6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the Public Offering or in open market transactions after the completion of the Public Offering;</w:t>
      </w:r>
    </w:p>
    <w:p>
      <w:pPr>
        <w:sectPr>
          <w:pgSz w:w="11900" w:h="16838" w:orient="portrait"/>
          <w:cols w:equalWidth="0" w:num="1">
            <w:col w:w="11020"/>
          </w:cols>
          <w:pgMar w:left="440" w:top="270" w:right="439" w:bottom="1440" w:gutter="0" w:footer="0" w:header="0"/>
        </w:sectPr>
      </w:pPr>
    </w:p>
    <w:bookmarkStart w:id="39" w:name="page40"/>
    <w:bookmarkEnd w:id="39"/>
    <w:p>
      <w:pPr>
        <w:ind w:left="256" w:hanging="256"/>
        <w:spacing w:after="0"/>
        <w:tabs>
          <w:tab w:leader="none" w:pos="256"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of shares of Common Stock or any security convertible into or exercisable or exchangeable for Common Stock as a bona fide gift;</w:t>
      </w:r>
    </w:p>
    <w:p>
      <w:pPr>
        <w:spacing w:after="0" w:line="248" w:lineRule="exact"/>
        <w:rPr>
          <w:rFonts w:ascii="Arial" w:cs="Arial" w:eastAsia="Arial" w:hAnsi="Arial"/>
          <w:sz w:val="16"/>
          <w:szCs w:val="16"/>
          <w:color w:val="auto"/>
        </w:rPr>
      </w:pPr>
    </w:p>
    <w:p>
      <w:pPr>
        <w:ind w:left="-444" w:right="20" w:firstLine="444"/>
        <w:spacing w:after="0" w:line="257" w:lineRule="auto"/>
        <w:tabs>
          <w:tab w:leader="none" w:pos="2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of shares of Common Stock or any security convertible into or exercisable or exchangeable for Common Stock to limited partners, stockholders, members, general partners, managers, directors, officers or employees or trust beneficiaries of the undersigned or of the undersigned’s affiliates (as defined in Rule 405 promulgated under the Securities Act of 1933, as amended) or to any investment fund or other entity that is directly or indirectly controlling, controlled by, managing or managed by or under common control with the undersigned or the undersigned’s affiliates;</w:t>
      </w:r>
    </w:p>
    <w:p>
      <w:pPr>
        <w:spacing w:after="0" w:line="188" w:lineRule="exact"/>
        <w:rPr>
          <w:rFonts w:ascii="Arial" w:cs="Arial" w:eastAsia="Arial" w:hAnsi="Arial"/>
          <w:sz w:val="18"/>
          <w:szCs w:val="18"/>
          <w:color w:val="auto"/>
        </w:rPr>
      </w:pPr>
    </w:p>
    <w:p>
      <w:pPr>
        <w:ind w:left="-444" w:right="60" w:firstLine="444"/>
        <w:spacing w:after="0" w:line="277" w:lineRule="auto"/>
        <w:tabs>
          <w:tab w:leader="none" w:pos="2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shares of Common Stock during the Restricted Period;</w:t>
      </w:r>
    </w:p>
    <w:p>
      <w:pPr>
        <w:spacing w:after="0" w:line="170" w:lineRule="exact"/>
        <w:rPr>
          <w:rFonts w:ascii="Arial" w:cs="Arial" w:eastAsia="Arial" w:hAnsi="Arial"/>
          <w:sz w:val="18"/>
          <w:szCs w:val="18"/>
          <w:color w:val="auto"/>
        </w:rPr>
      </w:pPr>
    </w:p>
    <w:p>
      <w:pPr>
        <w:ind w:left="-444" w:right="60" w:firstLine="444"/>
        <w:spacing w:after="0" w:line="342" w:lineRule="auto"/>
        <w:tabs>
          <w:tab w:leader="none" w:pos="24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123" w:lineRule="exact"/>
        <w:rPr>
          <w:rFonts w:ascii="Arial" w:cs="Arial" w:eastAsia="Arial" w:hAnsi="Arial"/>
          <w:sz w:val="16"/>
          <w:szCs w:val="16"/>
          <w:color w:val="auto"/>
        </w:rPr>
      </w:pPr>
    </w:p>
    <w:p>
      <w:pPr>
        <w:ind w:left="-444" w:firstLine="444"/>
        <w:spacing w:after="0" w:line="272" w:lineRule="auto"/>
        <w:tabs>
          <w:tab w:leader="none" w:pos="2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any corporation, partnership, limited liability company or other entity that is directly or indirectly controlling, controlled by, managing or managed by or under common control with the undersigned or the undersigned’s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in a transaction not involving a disposition for value;</w:t>
      </w:r>
    </w:p>
    <w:p>
      <w:pPr>
        <w:spacing w:after="0" w:line="177" w:lineRule="exact"/>
        <w:rPr>
          <w:rFonts w:ascii="Arial" w:cs="Arial" w:eastAsia="Arial" w:hAnsi="Arial"/>
          <w:sz w:val="17"/>
          <w:szCs w:val="17"/>
          <w:color w:val="auto"/>
        </w:rPr>
      </w:pPr>
    </w:p>
    <w:p>
      <w:pPr>
        <w:jc w:val="both"/>
        <w:ind w:left="-444" w:right="60" w:firstLine="444"/>
        <w:spacing w:after="0" w:line="264" w:lineRule="auto"/>
        <w:tabs>
          <w:tab w:leader="none" w:pos="2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181" w:lineRule="exact"/>
        <w:rPr>
          <w:rFonts w:ascii="Arial" w:cs="Arial" w:eastAsia="Arial" w:hAnsi="Arial"/>
          <w:sz w:val="18"/>
          <w:szCs w:val="18"/>
          <w:color w:val="auto"/>
        </w:rPr>
      </w:pPr>
    </w:p>
    <w:p>
      <w:pPr>
        <w:jc w:val="both"/>
        <w:ind w:left="-444" w:right="60" w:firstLine="444"/>
        <w:spacing w:after="0" w:line="302" w:lineRule="auto"/>
        <w:tabs>
          <w:tab w:leader="none" w:pos="251"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transfers or dispositions of shares of Common Stock or any security convertible into or exercisable or exchangeable for Common Stock to the Company pursuant to any contractual arrangement in effect prior to the date hereof and disclosed to the Representatives that provides for the repurchase of the undersigned’s Common Stock or other securities by the Company or in connection with the termination of the undersigned’s employment with or service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repurchase price for any such shares of Common Stock or other securities shall not exceed the</w:t>
      </w:r>
    </w:p>
    <w:p>
      <w:pPr>
        <w:sectPr>
          <w:pgSz w:w="11900" w:h="16838" w:orient="portrait"/>
          <w:cols w:equalWidth="0" w:num="1">
            <w:col w:w="10576"/>
          </w:cols>
          <w:pgMar w:left="884" w:top="274" w:right="439" w:bottom="1440" w:gutter="0" w:footer="0" w:header="0"/>
        </w:sectPr>
      </w:pPr>
    </w:p>
    <w:bookmarkStart w:id="40" w:name="page41"/>
    <w:bookmarkEnd w:id="4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original purchase price (subject to appropriate adjustment in the event of any stock dividend, stock split, combination or other similar recapitalization) paid by the undersigned to the Company for such shares or securities,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the Company pursuant to the circumstances described in this clause (h);</w:t>
      </w:r>
    </w:p>
    <w:p>
      <w:pPr>
        <w:spacing w:after="0" w:line="188" w:lineRule="exact"/>
        <w:rPr>
          <w:sz w:val="20"/>
          <w:szCs w:val="20"/>
          <w:color w:val="auto"/>
        </w:rPr>
      </w:pPr>
    </w:p>
    <w:p>
      <w:pPr>
        <w:ind w:firstLine="444"/>
        <w:spacing w:after="0" w:line="254"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conversion of any convertible preferred stock described in the Prospectus and outstanding as of the date of the Prospectus into, or the exercise of any option or warrant described in the Prospectus and outstanding as of the date of the Prospectus for,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received by the undersigned shall be subject to the terms of this letter;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192" w:lineRule="exact"/>
        <w:rPr>
          <w:rFonts w:ascii="Arial" w:cs="Arial" w:eastAsia="Arial" w:hAnsi="Arial"/>
          <w:sz w:val="18"/>
          <w:szCs w:val="18"/>
          <w:color w:val="auto"/>
        </w:rPr>
      </w:pPr>
    </w:p>
    <w:p>
      <w:pPr>
        <w:ind w:right="80" w:firstLine="444"/>
        <w:spacing w:after="0" w:line="264"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transfers or dispositions of title to (but not beneficial ownership of) shares of Common Stock or other securities to a nominee or custodian of a person or entity to whom a disposition or transfer would be permissible under any of the foregoing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or other securities shall remain subject to the terms of this letter; or</w:t>
      </w:r>
    </w:p>
    <w:p>
      <w:pPr>
        <w:spacing w:after="0" w:line="181" w:lineRule="exact"/>
        <w:rPr>
          <w:rFonts w:ascii="Arial" w:cs="Arial" w:eastAsia="Arial" w:hAnsi="Arial"/>
          <w:sz w:val="18"/>
          <w:szCs w:val="18"/>
          <w:color w:val="auto"/>
        </w:rPr>
      </w:pPr>
    </w:p>
    <w:p>
      <w:pPr>
        <w:ind w:right="100" w:firstLine="444"/>
        <w:spacing w:after="0" w:line="255" w:lineRule="auto"/>
        <w:tabs>
          <w:tab w:leader="none" w:pos="6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the Company’s capital stock,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the board of directors of the Company, provided that, in the event that such Change of Control transaction is not consummated, this clause (k) shall not be applicable and the undersigned’s shares and other securities shall remain subject to the restrictions contained in this letter;</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clauses (b), (c), (e), (f) or (g), each transferee or distributee shall sign and deliver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of the Representatives a lock-up letter substantially in the form of this letter;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case of any transfer or distribution pursuant to clauses (a), (b), (c), (d), (e), (f), (g), or (j), no public announcement or public filing under Section 16(a) of the Exchange Act relating to such transfer or distribution shall be required or shall be voluntarily made during the Restricted Period.</w:t>
      </w:r>
    </w:p>
    <w:p>
      <w:pPr>
        <w:sectPr>
          <w:pgSz w:w="11900" w:h="16838" w:orient="portrait"/>
          <w:cols w:equalWidth="0" w:num="1">
            <w:col w:w="11000"/>
          </w:cols>
          <w:pgMar w:left="440" w:top="274" w:right="459" w:bottom="1440" w:gutter="0" w:footer="0" w:header="0"/>
        </w:sectPr>
      </w:pPr>
    </w:p>
    <w:bookmarkStart w:id="41" w:name="page42"/>
    <w:bookmarkEnd w:id="41"/>
    <w:p>
      <w:pPr>
        <w:ind w:right="20" w:firstLine="44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letter, “</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relationship by blood, marriage, domestic partnership or adoption, not more remote than first cousin, and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90% of the outstanding voting securities of the Company (or the surviving entity), provided that, for the avoidance of doubt, the Public Offering shall not constitute a Change of Control.</w:t>
      </w:r>
    </w:p>
    <w:p>
      <w:pPr>
        <w:spacing w:after="0" w:line="192"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In addition, the undersigned agrees that, without the prior written consent of each of the Representatives,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54"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7"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execution of the Underwriting Agreement or (iv) the Underwriting Agreement is not executed on or before August 12, 2019 (which date may be extended for an additional three months by the Company upon written notice to the undersigned), then, in each case, this letter shall automatically, and without any action on the part of any other party, be of no further force and effect, and the undersigned shall be automatically released from all obligations under this letter.</w:t>
      </w:r>
    </w:p>
    <w:p>
      <w:pPr>
        <w:sectPr>
          <w:pgSz w:w="11900" w:h="16838" w:orient="portrait"/>
          <w:cols w:equalWidth="0" w:num="1">
            <w:col w:w="10980"/>
          </w:cols>
          <w:pgMar w:left="440" w:top="270" w:right="479" w:bottom="1440" w:gutter="0" w:footer="0" w:header="0"/>
        </w:sectPr>
      </w:pPr>
    </w:p>
    <w:bookmarkStart w:id="42" w:name="page43"/>
    <w:bookmarkEnd w:id="4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6,500,000 Shares</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AVROBIO, Inc.</w:t>
      </w:r>
    </w:p>
    <w:p>
      <w:pPr>
        <w:spacing w:after="0" w:line="129"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AVRO</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Size (Pre-Greenshoe):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$120,250,000</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Total Firm Shares Offered by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6,500,000</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Greenshoe Shares Offered by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975,000</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$18.50</w:t>
      </w:r>
    </w:p>
    <w:p>
      <w:pPr>
        <w:spacing w:after="0" w:line="151"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17, 2019</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19, 2019</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05455M 100</w:t>
      </w:r>
    </w:p>
    <w:p>
      <w:pPr>
        <w:spacing w:after="0" w:line="14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Guggenheim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H.C. Wainwright &amp; Co., LLC</w:t>
      </w:r>
    </w:p>
    <w:p>
      <w:pPr>
        <w:spacing w:after="0" w:line="200" w:lineRule="exact"/>
        <w:rPr>
          <w:sz w:val="20"/>
          <w:szCs w:val="20"/>
          <w:color w:val="auto"/>
        </w:rPr>
      </w:pPr>
    </w:p>
    <w:p>
      <w:pPr>
        <w:sectPr>
          <w:pgSz w:w="11900" w:h="16838" w:orient="portrait"/>
          <w:cols w:equalWidth="0" w:num="2">
            <w:col w:w="3600" w:space="720"/>
            <w:col w:w="6700"/>
          </w:cols>
          <w:pgMar w:left="440" w:top="270" w:right="439" w:bottom="1440" w:gutter="0" w:footer="0" w:header="0"/>
          <w:type w:val="continuous"/>
        </w:sectPr>
      </w:pPr>
    </w:p>
    <w:p>
      <w:pPr>
        <w:spacing w:after="0" w:line="3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issuer has filed a registration statement (including a base prospectus) and a preliminary prospectus supplement with the Securities and Exchange Commission (the “SEC”) for the offering to which this communication relates, which has become effective by rule of the SEC. Before you invest, you should read the base prospectus and the preliminary prospectus supplement for more complete information about the issuer and this offering. You may get these documents for free by visiting EDGAR on the SEC web site at www.sec.gov. Alternatively, you may request a copy of the base prospectus and the preliminary prospectus supplement from Morgan Stanley &amp; Co. LLC, Attention: Prospectus Department, 180 Varick Street, 2nd Floor, New York, New York 10014, and Cowen and Company, LLC, c/o Broadridge Financial Solutions, 1155 Long Island Avenue, Edgewood, NY, 11717, Attn: Prospectus Department.</w:t>
      </w:r>
    </w:p>
    <w:p>
      <w:pPr>
        <w:spacing w:after="0" w:line="18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any offer to buy, nor shall there be any sale of the securities in any jurisdiction in which such offer, solicitation or sale would be unlawful prior to the registration or qualification under the securities law of any such jurisdiction.</w:t>
      </w:r>
    </w:p>
    <w:p>
      <w:pPr>
        <w:sectPr>
          <w:pgSz w:w="11900" w:h="16838" w:orient="portrait"/>
          <w:cols w:equalWidth="0" w:num="1">
            <w:col w:w="11020"/>
          </w:cols>
          <w:pgMar w:left="440" w:top="270" w:right="4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(File No. 333-232489) (as amended or supplemented, the “Registration Statement”) filed on July 1, 2019 with the Securities and Exchange Commission (the “Commission”) pursuant to the Securities Act of 1933, as amended (the “Securities Act”), relating to the registration of the offer by AVROBIO, Inc., a Delaware corporation (the “Company”) of up to $200,000,000 of any combination of securities of the types specified therein. The Registration Statement was declared effective by the Commission on July 10, 2019. Reference is made to our opinion letter dated July 1, 2019 and included as Exhibit 5.1 to the Registration Statement. We are delivering this supplemental opinion letter in connection with the prospectus supplement (the “Prospectus Supplement”) filed on July 17, 2019 by the Company with the Commission pursuant to Rule 424 under the Securities Act. The Prospectus Supplement relates to the offering by the Company of up to 7,475,000 shares of the Company’s Common Stock, par value $0.0001 per share (the “Shares”) covered by the Registration Statement. The Shares include an over-allotment option granted to the underwriters of the offering to purchase 975,000 Shares. The Shares are being sold to the several underwriters named in, and pursuant to, an underwriting agreement among the Company and such underwriters (the “Underwriting Agreement”).</w:t>
      </w:r>
    </w:p>
    <w:p>
      <w:pPr>
        <w:spacing w:after="0" w:line="183"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ectPr>
          <w:pgSz w:w="11900" w:h="16838" w:orient="portrait"/>
          <w:cols w:equalWidth="0" w:num="1">
            <w:col w:w="11020"/>
          </w:cols>
          <w:pgMar w:left="440" w:top="121"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5"/>
          <w:szCs w:val="15"/>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0900"/>
          </w:cols>
          <w:pgMar w:left="440" w:top="274" w:right="5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Announces Proposed Public Offering of Common Stock</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CAMBRIDGE, Mass</w:t>
      </w:r>
      <w:r>
        <w:rPr>
          <w:rFonts w:ascii="Arial" w:cs="Arial" w:eastAsia="Arial" w:hAnsi="Arial"/>
          <w:sz w:val="16"/>
          <w:szCs w:val="16"/>
          <w:color w:val="auto"/>
        </w:rPr>
        <w:t>.– July 16, 2019 – AVROBIO, Inc. (NASDAQ: AVRO) (the “Company”), a Phase 2 clinical-stage gene therapy company,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it intends to offer and sell, subject to market and other conditions, $100.0 million of its common stock in an underwritten public offering. The Company expects to grant the underwriters a 30-day option to purchase up to $15.0 million of additional shares of its common stock (15%) offered in the public offering. All of the shares in the proposed offering are to be sold by the Company. The offering is subject to market and other conditions, and there can be no assurance as to whether or when the offering may be completed, or as to the actual size or terms of the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and Cowen are acting as joint book-running managers for the offering.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intends to use the net proceeds from the offering, in addition to its existing cash resources, to fund the support of the Company’s current programs in Fabry disease, Gaucher disease, cystinosis and Pompe disease, fund external and internal manufacturing and process development activities related to the Company’s programs and to fund research and development activities that relate to all of the Company’s clinical and preclinical activities, including the cost of research and development personnel, and the remainder for planned general and administrative expenses, working capital and other general corporate purposes.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securities described may be offered pursuant to a shelf registration statement on Form S-3 (File No. 333-232489), including a base prospectus. The securities may be offered only by means of a prospectus. A preliminary prospectus supplement related to the offering and a final prospectus supplement related to the offering will be filed with the U.S. Securities and Exchange Commission (SEC) and will be available on the SEC’s website at www.sec.gov. Copies of the preliminary prospectus supplement and the accompanying prospectus relating to the securities being offered may also be obtained by contacting: Morgan Stanley &amp; Co. LLC, Attention: Prospectus Department,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or Cowen and Company, LLC, Attention: Prospectus Department, c/o Broadridge Financial Solutions, 1155 Long Island Avenue, Edgewood, NY 11717, by telephone at (631) 274-2806.</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AVROBIO, Inc., is a Phase 2 clinical-stage gene therapy company. AVROBIO is focused on the development of its investigational gene therapy, AVR-RD-01, in Fabry disease, as well as additional gene therapy programs in other lysosomal storage disorders including Gaucher disease, cystinosis and Pompe disease.</w:t>
      </w:r>
    </w:p>
    <w:p>
      <w:pPr>
        <w:sectPr>
          <w:pgSz w:w="11900" w:h="16838" w:orient="portrait"/>
          <w:cols w:equalWidth="0" w:num="1">
            <w:col w:w="11020"/>
          </w:cols>
          <w:pgMar w:left="440" w:top="121"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completion, timing and anticipated size of the proposed offering and the anticipated use of proceeds therefrom.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and our subsequent periodic reports on Form 10-Q, as well as discussions of potential risks, uncertainties, and other important factors in our other filings with the SEC, including those contained or incorporated by reference in the preliminary prospectus supplement related to the proposed public offering to be filed with the SEC. AVROBIO explicitly disclaims any obligation to update any forward-looking statements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ectPr>
          <w:pgSz w:w="11900" w:h="16838" w:orient="portrait"/>
          <w:cols w:equalWidth="0" w:num="1">
            <w:col w:w="11000"/>
          </w:cols>
          <w:pgMar w:left="440" w:top="270"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kathryn@theyatesnetwork.com</w:t>
      </w:r>
    </w:p>
    <w:p>
      <w:pPr>
        <w:sectPr>
          <w:pgSz w:w="11900" w:h="16838" w:orient="portrait"/>
          <w:cols w:equalWidth="0" w:num="1">
            <w:col w:w="10019"/>
          </w:cols>
          <w:pgMar w:left="440" w:top="27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Announces Pricing of Underwritten Public Offering of $120.25 Million of Common Stock</w:t>
      </w:r>
    </w:p>
    <w:p>
      <w:pPr>
        <w:spacing w:after="0" w:line="22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b w:val="1"/>
          <w:bCs w:val="1"/>
          <w:color w:val="auto"/>
        </w:rPr>
        <w:t>CAMBRIDGE, Mass</w:t>
      </w:r>
      <w:r>
        <w:rPr>
          <w:rFonts w:ascii="Arial" w:cs="Arial" w:eastAsia="Arial" w:hAnsi="Arial"/>
          <w:sz w:val="16"/>
          <w:szCs w:val="16"/>
          <w:color w:val="auto"/>
        </w:rPr>
        <w:t>.– July 16, 2019 – AVROBIO, Inc. (NASDAQ: AVRO) (the “Company”), a Phase 2 clinical-stage gene therapy company,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the pricing of an underwritten public offering of 6,500,000 shares of its common stock at a public offering price of $18.50 per share. Gross proceeds from the underwritten public offering totaled approximately $120.25 million, before deducting underwriting discounts and commissions and other offering expenses payable by the Company. In addition, the Company has granted the underwriters a 30-day option to purchase up to 975,000 additional shares of its common stock at the public offering price, less underwriting discounts and commissions. All of the shares in the offering are to be sold by the Company. The offering is expected to close on or about July 19, 2019, subject to customary closing conditions.</w:t>
      </w:r>
    </w:p>
    <w:p>
      <w:pPr>
        <w:spacing w:after="0" w:line="1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Morgan Stanley, Cowen and Wells Fargo Securities are acting as joint book-running managers for the offering, Guggenheim Securities is acting as lead manager, and Wedbush PacGrow and H.C. Wainwright &amp; Co. are acting as co-managers.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intends to use the net proceeds from the offering, in addition to its existing cash resources, to fund the support of the Company’s current programs in Fabry disease, Gaucher disease, cystinosis and Pompe disease, fund external and internal manufacturing and process development activities related to the Company’s programs and to fund research and development activities that relate to all of the Company’s clinical and preclinical activities, including the cost of research and development personnel, and the remainder for planned general and administrative expenses, working capital and other general corporate purposes.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securities described were offered pursuant to a shelf registration statement on Form S-3 (File No. 333-232489), including a base prospectus. The securities were offered only by means of a prospectus. A preliminary prospectus supplement related to the offering was filed with the Securities and Exchange Commission (SEC) on July 16, 2019 and is available on the SEC’s website at www.sec.gov. A final prospectus supplement will be filed with the SEC. Copies of the final prospectus supplement and the accompanying prospectus relating to the securities being offered may also be obtained by contacting: Morgan Stanley &amp; Co. LLC, Attention: Prospectus Department,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or Cowen and Company, LLC, Attention: Prospectus Department, c/o Broadridge Financial Solutions, 1155 Long Island Avenue, Edgewood, NY 11717, by telephone at (631) 274-2806.</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AVROBIO, Inc.</w:t>
      </w:r>
    </w:p>
    <w:p>
      <w:pPr>
        <w:spacing w:after="0" w:line="12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AVROBIO, Inc., is a Phase 2 clinical-stage gene therapy company. AVROBIO is focused on the development of its investigational gene therapy, AVR-RD-01, in Fabry disease, as well as additional gene therapy programs in other lysosomal storage disorders including Gaucher disease, cystinosis and Pompe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completion, timing and anticipated size of the offering and the anticipated use of proceeds therefrom.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completion of the proposed public offering on the anticipated terms, or at all, market conditions and the satisfaction of customary closing conditions related to the proposed public offering.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and our subsequent periodic reports on Form 10-Q, as well as discussions of potential risks, uncertainties, and other important factors in our other filings with the SEC, including those contained or incorporated by reference in the preliminary prospectus supplement related to the public offering filed with the SEC. AVROBIO explicitly disclaims any obligation to update any forward-looking statements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ectPr>
          <w:pgSz w:w="11900" w:h="16838" w:orient="portrait"/>
          <w:cols w:equalWidth="0" w:num="1">
            <w:col w:w="10980"/>
          </w:cols>
          <w:pgMar w:left="440" w:top="270"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kathryn@theyatesnetwork.com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
    <w:nsid w:val="6763845E"/>
    <w:multiLevelType w:val="hybridMultilevel"/>
    <w:lvl w:ilvl="0">
      <w:lvlJc w:val="left"/>
      <w:lvlText w:val="(%1)"/>
      <w:numFmt w:val="lowerLetter"/>
      <w:start w:val="3"/>
    </w:lvl>
  </w:abstractNum>
  <w:abstractNum w:abstractNumId="3">
    <w:nsid w:val="75A2A8D4"/>
    <w:multiLevelType w:val="hybridMultilevel"/>
    <w:lvl w:ilvl="0">
      <w:lvlJc w:val="left"/>
      <w:lvlText w:val="(%1)"/>
      <w:numFmt w:val="lowerLetter"/>
      <w:start w:val="6"/>
    </w:lvl>
  </w:abstractNum>
  <w:abstractNum w:abstractNumId="4">
    <w:nsid w:val="8EDBDAB"/>
    <w:multiLevelType w:val="hybridMultilevel"/>
    <w:lvl w:ilvl="0">
      <w:lvlJc w:val="left"/>
      <w:lvlText w:val="(%1)"/>
      <w:numFmt w:val="lowerLetter"/>
      <w:start w:val="12"/>
    </w:lvl>
  </w:abstractNum>
  <w:abstractNum w:abstractNumId="5">
    <w:nsid w:val="79838CB2"/>
    <w:multiLevelType w:val="hybridMultilevel"/>
    <w:lvl w:ilvl="0">
      <w:lvlJc w:val="left"/>
      <w:lvlText w:val="(%1)"/>
      <w:numFmt w:val="lowerLetter"/>
      <w:start w:val="17"/>
    </w:lvl>
  </w:abstractNum>
  <w:abstractNum w:abstractNumId="6">
    <w:nsid w:val="4353D0CD"/>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7">
    <w:nsid w:val="B03E0C6"/>
    <w:multiLevelType w:val="hybridMultilevel"/>
    <w:lvl w:ilvl="0">
      <w:lvlJc w:val="left"/>
      <w:lvlText w:val="(%1)"/>
      <w:numFmt w:val="lowerLetter"/>
      <w:start w:val="22"/>
    </w:lvl>
  </w:abstractNum>
  <w:abstractNum w:abstractNumId="8">
    <w:nsid w:val="189A769B"/>
    <w:multiLevelType w:val="hybridMultilevel"/>
    <w:lvl w:ilvl="0">
      <w:lvlJc w:val="left"/>
      <w:lvlText w:val="(%1)"/>
      <w:numFmt w:val="lowerLetter"/>
      <w:start w:val="24"/>
    </w:lvl>
  </w:abstractNum>
  <w:abstractNum w:abstractNumId="9">
    <w:nsid w:val="54E49EB4"/>
    <w:multiLevelType w:val="hybridMultilevel"/>
    <w:lvl w:ilvl="0">
      <w:lvlJc w:val="left"/>
      <w:lvlText w:val="(%1)"/>
      <w:numFmt w:val="lowerLetter"/>
      <w:start w:val="26"/>
    </w:lvl>
  </w:abstractNum>
  <w:abstractNum w:abstractNumId="10">
    <w:nsid w:val="71F32454"/>
    <w:multiLevelType w:val="hybridMultilevel"/>
    <w:lvl w:ilvl="0">
      <w:lvlJc w:val="left"/>
      <w:lvlText w:val="(%1)"/>
      <w:numFmt w:val="lowerLetter"/>
      <w:start w:val="27"/>
    </w:lvl>
  </w:abstractNum>
  <w:abstractNum w:abstractNumId="11">
    <w:nsid w:val="2CA88611"/>
    <w:multiLevelType w:val="hybridMultilevel"/>
    <w:lvl w:ilvl="0">
      <w:lvlJc w:val="left"/>
      <w:lvlText w:val="(%1)"/>
      <w:numFmt w:val="lowerLetter"/>
      <w:start w:val="28"/>
    </w:lvl>
  </w:abstractNum>
  <w:abstractNum w:abstractNumId="12">
    <w:nsid w:val="836C40E"/>
    <w:multiLevelType w:val="hybridMultilevel"/>
    <w:lvl w:ilvl="0">
      <w:lvlJc w:val="left"/>
      <w:lvlText w:val="(%1)"/>
      <w:numFmt w:val="lowerLetter"/>
      <w:start w:val="34"/>
    </w:lvl>
  </w:abstractNum>
  <w:abstractNum w:abstractNumId="13">
    <w:nsid w:val="2901D82"/>
    <w:multiLevelType w:val="hybridMultilevel"/>
    <w:lvl w:ilvl="0">
      <w:lvlJc w:val="left"/>
      <w:lvlText w:val="%1"/>
      <w:numFmt w:val="lowerLetter"/>
      <w:start w:val="1"/>
    </w:lvl>
    <w:lvl w:ilvl="1">
      <w:lvlJc w:val="left"/>
      <w:lvlText w:val="(%2)"/>
      <w:numFmt w:val="lowerLetter"/>
      <w:start w:val="37"/>
    </w:lvl>
  </w:abstractNum>
  <w:abstractNum w:abstractNumId="14">
    <w:nsid w:val="3A95F874"/>
    <w:multiLevelType w:val="hybridMultilevel"/>
    <w:lvl w:ilvl="0">
      <w:lvlJc w:val="left"/>
      <w:lvlText w:val="(%1)"/>
      <w:numFmt w:val="lowerLetter"/>
      <w:start w:val="9"/>
    </w:lvl>
    <w:lvl w:ilvl="1">
      <w:lvlJc w:val="left"/>
      <w:lvlText w:val="%2"/>
      <w:numFmt w:val="lowerLetter"/>
      <w:start w:val="1"/>
    </w:lvl>
  </w:abstractNum>
  <w:abstractNum w:abstractNumId="15">
    <w:nsid w:val="8138641"/>
    <w:multiLevelType w:val="hybridMultilevel"/>
    <w:lvl w:ilvl="0">
      <w:lvlJc w:val="left"/>
      <w:lvlText w:val="(%1)"/>
      <w:numFmt w:val="lowerLetter"/>
      <w:start w:val="61"/>
    </w:lvl>
    <w:lvl w:ilvl="1">
      <w:lvlJc w:val="left"/>
      <w:lvlText w:val="(%2)"/>
      <w:numFmt w:val="lowerLetter"/>
      <w:start w:val="38"/>
    </w:lvl>
  </w:abstractNum>
  <w:abstractNum w:abstractNumId="16">
    <w:nsid w:val="1E7FF521"/>
    <w:multiLevelType w:val="hybridMultilevel"/>
    <w:lvl w:ilvl="0">
      <w:lvlJc w:val="left"/>
      <w:lvlText w:val="(%1)"/>
      <w:numFmt w:val="lowerLetter"/>
      <w:start w:val="40"/>
    </w:lvl>
  </w:abstractNum>
  <w:abstractNum w:abstractNumId="17">
    <w:nsid w:val="7C3DBD3D"/>
    <w:multiLevelType w:val="hybridMultilevel"/>
    <w:lvl w:ilvl="0">
      <w:lvlJc w:val="left"/>
      <w:lvlText w:val="%1"/>
      <w:numFmt w:val="decimal"/>
      <w:start w:val="1"/>
    </w:lvl>
    <w:lvl w:ilvl="1">
      <w:lvlJc w:val="left"/>
      <w:lvlText w:val="(%2)"/>
      <w:numFmt w:val="lowerLetter"/>
      <w:start w:val="46"/>
    </w:lvl>
  </w:abstractNum>
  <w:abstractNum w:abstractNumId="18">
    <w:nsid w:val="737B8DDC"/>
    <w:multiLevelType w:val="hybridMultilevel"/>
    <w:lvl w:ilvl="0">
      <w:lvlJc w:val="left"/>
      <w:lvlText w:val="%1."/>
      <w:numFmt w:val="decimal"/>
      <w:start w:val="2"/>
    </w:lvl>
    <w:lvl w:ilvl="1">
      <w:lvlJc w:val="left"/>
      <w:lvlText w:val="%2"/>
      <w:numFmt w:val="lowerLetter"/>
      <w:start w:val="1"/>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3"/>
    </w:lvl>
  </w:abstractNum>
  <w:abstractNum w:abstractNumId="23">
    <w:nsid w:val="614FD4A1"/>
    <w:multiLevelType w:val="hybridMultilevel"/>
    <w:lvl w:ilvl="0">
      <w:lvlJc w:val="left"/>
      <w:lvlText w:val="(%1)"/>
      <w:numFmt w:val="lowerLetter"/>
      <w:start w:val="6"/>
    </w:lvl>
    <w:lvl w:ilvl="1">
      <w:lvlJc w:val="left"/>
      <w:lvlText w:val="(%2)"/>
      <w:numFmt w:val="lowerRoman"/>
      <w:start w:val="1"/>
    </w:lvl>
  </w:abstractNum>
  <w:abstractNum w:abstractNumId="24">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
    <w:nsid w:val="5577F8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440BADFC"/>
    <w:multiLevelType w:val="hybridMultilevel"/>
    <w:lvl w:ilvl="0">
      <w:lvlJc w:val="left"/>
      <w:lvlText w:val="(%1)"/>
      <w:numFmt w:val="lowerLetter"/>
      <w:start w:val="4"/>
    </w:lvl>
  </w:abstractNum>
  <w:abstractNum w:abstractNumId="27">
    <w:nsid w:val="5072367"/>
    <w:multiLevelType w:val="hybridMultilevel"/>
    <w:lvl w:ilvl="0">
      <w:lvlJc w:val="left"/>
      <w:lvlText w:val="(%1)"/>
      <w:numFmt w:val="lowerLetter"/>
      <w:start w:val="7"/>
    </w:lvl>
  </w:abstractNum>
  <w:abstractNum w:abstractNumId="28">
    <w:nsid w:val="3804823E"/>
    <w:multiLevelType w:val="hybridMultilevel"/>
    <w:lvl w:ilvl="0">
      <w:lvlJc w:val="left"/>
      <w:lvlText w:val="(%1)"/>
      <w:numFmt w:val="lowerLetter"/>
      <w:start w:val="24"/>
    </w:lvl>
    <w:lvl w:ilvl="1">
      <w:lvlJc w:val="left"/>
      <w:lvlText w:val="(%2)"/>
      <w:numFmt w:val="lowerLetter"/>
      <w:start w:val="10"/>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1)"/>
      <w:numFmt w:val="lowerRoman"/>
      <w:start w:val="5"/>
    </w:lvl>
    <w:lvl w:ilvl="1">
      <w:lvlJc w:val="left"/>
      <w:lvlText w:val="%2."/>
      <w:numFmt w:val="decimal"/>
      <w:start w:val="7"/>
    </w:lvl>
  </w:abstractNum>
  <w:abstractNum w:abstractNumId="31">
    <w:nsid w:val="5C482A97"/>
    <w:multiLevelType w:val="hybridMultilevel"/>
    <w:lvl w:ilvl="0">
      <w:lvlJc w:val="left"/>
      <w:lvlText w:val="%1."/>
      <w:numFmt w:val="decimal"/>
      <w:start w:val="8"/>
    </w:lvl>
    <w:lvl w:ilvl="1">
      <w:lvlJc w:val="left"/>
      <w:lvlText w:val="(%2)"/>
      <w:numFmt w:val="lowerLetter"/>
      <w:start w:val="1"/>
    </w:lvl>
  </w:abstractNum>
  <w:abstractNum w:abstractNumId="32">
    <w:nsid w:val="2463B9EA"/>
    <w:multiLevelType w:val="hybridMultilevel"/>
    <w:lvl w:ilvl="0">
      <w:lvlJc w:val="left"/>
      <w:lvlText w:val="(%1)"/>
      <w:numFmt w:val="lowerLetter"/>
      <w:start w:val="4"/>
    </w:lvl>
  </w:abstractNum>
  <w:abstractNum w:abstractNumId="33">
    <w:nsid w:val="5E884ADC"/>
    <w:multiLevelType w:val="hybridMultilevel"/>
    <w:lvl w:ilvl="0">
      <w:lvlJc w:val="left"/>
      <w:lvlText w:val="%1"/>
      <w:numFmt w:val="lowerLetter"/>
      <w:start w:val="1"/>
    </w:lvl>
    <w:lvl w:ilvl="1">
      <w:lvlJc w:val="left"/>
      <w:lvlText w:val="(%2)"/>
      <w:numFmt w:val="lowerLetter"/>
      <w:start w:val="5"/>
    </w:lvl>
  </w:abstractNum>
  <w:abstractNum w:abstractNumId="34">
    <w:nsid w:val="51EAD36B"/>
    <w:multiLevelType w:val="hybridMultilevel"/>
    <w:lvl w:ilvl="0">
      <w:lvlJc w:val="left"/>
      <w:lvlText w:val="(%1)"/>
      <w:numFmt w:val="lowerLetter"/>
      <w:start w:val="35"/>
    </w:lvl>
    <w:lvl w:ilvl="1">
      <w:lvlJc w:val="left"/>
      <w:lvlText w:val="%2"/>
      <w:numFmt w:val="lowerLetter"/>
      <w:start w:val="1"/>
    </w:lvl>
  </w:abstractNum>
  <w:abstractNum w:abstractNumId="35">
    <w:nsid w:val="2D517796"/>
    <w:multiLevelType w:val="hybridMultilevel"/>
    <w:lvl w:ilvl="0">
      <w:lvlJc w:val="left"/>
      <w:lvlText w:val="%1"/>
      <w:numFmt w:val="lowerRoman"/>
      <w:start w:val="1"/>
    </w:lvl>
    <w:lvl w:ilvl="1">
      <w:lvlJc w:val="left"/>
      <w:lvlText w:val="%2."/>
      <w:numFmt w:val="decimal"/>
      <w:start w:val="9"/>
    </w:lvl>
  </w:abstractNum>
  <w:abstractNum w:abstractNumId="36">
    <w:nsid w:val="580BD78F"/>
    <w:multiLevelType w:val="hybridMultilevel"/>
    <w:lvl w:ilvl="0">
      <w:lvlJc w:val="left"/>
      <w:lvlText w:val="(%1)"/>
      <w:numFmt w:val="lowerRoman"/>
      <w:start w:val="4"/>
    </w:lvl>
    <w:lvl w:ilvl="1">
      <w:lvlJc w:val="left"/>
      <w:lvlText w:val="%2."/>
      <w:numFmt w:val="decimal"/>
      <w:start w:val="11"/>
    </w:lvl>
  </w:abstractNum>
  <w:abstractNum w:abstractNumId="37">
    <w:nsid w:val="153EA438"/>
    <w:multiLevelType w:val="hybridMultilevel"/>
    <w:lvl w:ilvl="0">
      <w:lvlJc w:val="left"/>
      <w:lvlText w:val="%1."/>
      <w:numFmt w:val="decimal"/>
      <w:start w:val="12"/>
    </w:lvl>
    <w:lvl w:ilvl="1">
      <w:lvlJc w:val="left"/>
      <w:lvlText w:val="(%2)"/>
      <w:numFmt w:val="lowerLetter"/>
      <w:start w:val="1"/>
    </w:lvl>
  </w:abstractNum>
  <w:abstractNum w:abstractNumId="38">
    <w:nsid w:val="3855585C"/>
    <w:multiLevelType w:val="hybridMultilevel"/>
    <w:lvl w:ilvl="0">
      <w:lvlJc w:val="left"/>
      <w:lvlText w:val="%1."/>
      <w:numFmt w:val="decimal"/>
      <w:start w:val="13"/>
    </w:lvl>
    <w:lvl w:ilvl="1">
      <w:lvlJc w:val="left"/>
      <w:lvlText w:val="(%2)"/>
      <w:numFmt w:val="lowerLetter"/>
      <w:start w:val="2"/>
    </w:lvl>
  </w:abstractNum>
  <w:abstractNum w:abstractNumId="39">
    <w:nsid w:val="70A64E2A"/>
    <w:multiLevelType w:val="hybridMultilevel"/>
    <w:lvl w:ilvl="0">
      <w:lvlJc w:val="left"/>
      <w:lvlText w:val="%1."/>
      <w:numFmt w:val="decimal"/>
      <w:start w:val="14"/>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2"/>
    </w:lvl>
    <w:lvl w:ilvl="1">
      <w:lvlJc w:val="left"/>
      <w:lvlText w:val="(%2)"/>
      <w:numFmt w:val="lowerLetter"/>
      <w:start w:val="1"/>
    </w:lvl>
  </w:abstractNum>
  <w:abstractNum w:abstractNumId="42">
    <w:nsid w:val="1D4ED43B"/>
    <w:multiLevelType w:val="hybridMultilevel"/>
    <w:lvl w:ilvl="0">
      <w:lvlJc w:val="left"/>
      <w:lvlText w:val="(%1)"/>
      <w:numFmt w:val="lowerLetter"/>
      <w:start w:val="2"/>
    </w:lvl>
  </w:abstractNum>
  <w:abstractNum w:abstractNumId="43">
    <w:nsid w:val="725A06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2019-12-28T10:23:26Z</dcterms:created>
  <dcterms:modified xsi:type="dcterms:W3CDTF">2019-12-28T10:23:26Z</dcterms:modified>
</cp:coreProperties>
</file>