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4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0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0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20" w:type="dxa"/>
            <w:vAlign w:val="bottom"/>
            <w:gridSpan w:val="18"/>
            <w:vMerge w:val="restart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Ostrowski Erik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9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AVRO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Interim CEO, President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TECHNOLOGY SQUARE, 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1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-5808980</wp:posOffset>
            </wp:positionV>
            <wp:extent cx="7045960" cy="58223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2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subject to the RSU shall vest over 4 years, with 25% vesting annually on each anniversary of the Vesting Commencement Date.</w:t>
      </w:r>
    </w:p>
    <w:p>
      <w:pPr>
        <w:ind w:left="658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Steven Avruch,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-27940</wp:posOffset>
            </wp:positionV>
            <wp:extent cx="134556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Erik Ostrowski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-19050</wp:posOffset>
            </wp:positionV>
            <wp:extent cx="1021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762507" TargetMode="External"/><Relationship Id="rId9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2023-07-03T12:18:19Z</dcterms:created>
  <dcterms:modified xsi:type="dcterms:W3CDTF">2023-07-03T12:18:19Z</dcterms:modified>
</cp:coreProperties>
</file>