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40" w:right="100" w:hanging="436"/>
        <w:spacing w:after="0" w:line="237" w:lineRule="auto"/>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40" w:right="100" w:hanging="436"/>
        <w:spacing w:after="0" w:line="256" w:lineRule="auto"/>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7"/>
                <w:szCs w:val="17"/>
                <w:color w:val="auto"/>
              </w:rPr>
            </w:pPr>
          </w:p>
        </w:tc>
      </w:tr>
      <w:tr>
        <w:trPr>
          <w:trHeight w:val="453"/>
        </w:trPr>
        <w:tc>
          <w:tcPr>
            <w:tcW w:w="4060" w:type="dxa"/>
            <w:vAlign w:val="bottom"/>
            <w:gridSpan w:val="4"/>
          </w:tcPr>
          <w:p>
            <w:pPr>
              <w:ind w:left="600"/>
              <w:spacing w:after="0"/>
              <w:rPr>
                <w:sz w:val="20"/>
                <w:szCs w:val="20"/>
                <w:color w:val="auto"/>
              </w:rPr>
            </w:pPr>
            <w:r>
              <w:rPr>
                <w:rFonts w:ascii="Arial" w:cs="Arial" w:eastAsia="Arial" w:hAnsi="Arial"/>
                <w:sz w:val="18"/>
                <w:szCs w:val="18"/>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222885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4280" w:type="dxa"/>
            <w:vAlign w:val="bottom"/>
          </w:tcPr>
          <w:p>
            <w:pPr>
              <w:jc w:val="center"/>
              <w:ind w:right="1838"/>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61"/>
              <w:spacing w:after="0"/>
              <w:rPr>
                <w:sz w:val="20"/>
                <w:szCs w:val="20"/>
                <w:color w:val="auto"/>
              </w:rPr>
            </w:pPr>
            <w:r>
              <w:rPr>
                <w:rFonts w:ascii="Arial" w:cs="Arial" w:eastAsia="Arial" w:hAnsi="Arial"/>
                <w:sz w:val="18"/>
                <w:szCs w:val="18"/>
                <w:b w:val="1"/>
                <w:bCs w:val="1"/>
                <w:color w:val="auto"/>
              </w:rPr>
              <w:t>81-0710585</w:t>
            </w:r>
          </w:p>
        </w:tc>
      </w:tr>
      <w:tr>
        <w:trPr>
          <w:trHeight w:val="149"/>
        </w:trPr>
        <w:tc>
          <w:tcPr>
            <w:tcW w:w="4280" w:type="dxa"/>
            <w:vAlign w:val="bottom"/>
          </w:tcPr>
          <w:p>
            <w:pPr>
              <w:jc w:val="center"/>
              <w:ind w:right="18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280" w:type="dxa"/>
            <w:vAlign w:val="bottom"/>
          </w:tcPr>
          <w:p>
            <w:pPr>
              <w:jc w:val="center"/>
              <w:ind w:right="1838"/>
              <w:spacing w:after="0"/>
              <w:rPr>
                <w:sz w:val="20"/>
                <w:szCs w:val="20"/>
                <w:color w:val="auto"/>
              </w:rPr>
            </w:pPr>
            <w:r>
              <w:rPr>
                <w:rFonts w:ascii="Arial" w:cs="Arial" w:eastAsia="Arial" w:hAnsi="Arial"/>
                <w:sz w:val="14"/>
                <w:szCs w:val="14"/>
                <w:b w:val="1"/>
                <w:bCs w:val="1"/>
                <w:color w:val="auto"/>
                <w:w w:val="94"/>
              </w:rPr>
              <w:t>incorporation or organization)</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280" w:type="dxa"/>
            <w:vAlign w:val="bottom"/>
          </w:tcPr>
          <w:p>
            <w:pPr>
              <w:jc w:val="center"/>
              <w:ind w:right="1838"/>
              <w:spacing w:after="0"/>
              <w:rPr>
                <w:sz w:val="20"/>
                <w:szCs w:val="20"/>
                <w:color w:val="auto"/>
              </w:rPr>
            </w:pPr>
            <w:r>
              <w:rPr>
                <w:rFonts w:ascii="Arial" w:cs="Arial" w:eastAsia="Arial" w:hAnsi="Arial"/>
                <w:sz w:val="18"/>
                <w:szCs w:val="18"/>
                <w:b w:val="1"/>
                <w:bCs w:val="1"/>
                <w:color w:val="auto"/>
                <w:w w:val="91"/>
              </w:rPr>
              <w:t>One Kendall Square</w:t>
            </w:r>
          </w:p>
        </w:tc>
        <w:tc>
          <w:tcPr>
            <w:tcW w:w="3040" w:type="dxa"/>
            <w:vAlign w:val="bottom"/>
          </w:tcPr>
          <w:p>
            <w:pPr>
              <w:spacing w:after="0"/>
              <w:rPr>
                <w:sz w:val="24"/>
                <w:szCs w:val="24"/>
                <w:color w:val="auto"/>
              </w:rPr>
            </w:pPr>
          </w:p>
        </w:tc>
      </w:tr>
      <w:tr>
        <w:trPr>
          <w:trHeight w:val="216"/>
        </w:trPr>
        <w:tc>
          <w:tcPr>
            <w:tcW w:w="4280" w:type="dxa"/>
            <w:vAlign w:val="bottom"/>
          </w:tcPr>
          <w:p>
            <w:pPr>
              <w:jc w:val="center"/>
              <w:ind w:right="1818"/>
              <w:spacing w:after="0"/>
              <w:rPr>
                <w:sz w:val="20"/>
                <w:szCs w:val="20"/>
                <w:color w:val="auto"/>
              </w:rPr>
            </w:pPr>
            <w:r>
              <w:rPr>
                <w:rFonts w:ascii="Arial" w:cs="Arial" w:eastAsia="Arial" w:hAnsi="Arial"/>
                <w:sz w:val="18"/>
                <w:szCs w:val="18"/>
                <w:b w:val="1"/>
                <w:bCs w:val="1"/>
                <w:color w:val="auto"/>
                <w:w w:val="90"/>
              </w:rPr>
              <w:t>Building 300, Suite 201</w:t>
            </w:r>
          </w:p>
        </w:tc>
        <w:tc>
          <w:tcPr>
            <w:tcW w:w="3040" w:type="dxa"/>
            <w:vAlign w:val="bottom"/>
          </w:tcPr>
          <w:p>
            <w:pPr>
              <w:spacing w:after="0"/>
              <w:rPr>
                <w:sz w:val="18"/>
                <w:szCs w:val="18"/>
                <w:color w:val="auto"/>
              </w:rPr>
            </w:pPr>
          </w:p>
        </w:tc>
      </w:tr>
      <w:tr>
        <w:trPr>
          <w:trHeight w:val="225"/>
        </w:trPr>
        <w:tc>
          <w:tcPr>
            <w:tcW w:w="4280" w:type="dxa"/>
            <w:vAlign w:val="bottom"/>
          </w:tcPr>
          <w:p>
            <w:pPr>
              <w:jc w:val="center"/>
              <w:ind w:right="1818"/>
              <w:spacing w:after="0"/>
              <w:rPr>
                <w:sz w:val="20"/>
                <w:szCs w:val="20"/>
                <w:color w:val="auto"/>
              </w:rPr>
            </w:pPr>
            <w:r>
              <w:rPr>
                <w:rFonts w:ascii="Arial" w:cs="Arial" w:eastAsia="Arial" w:hAnsi="Arial"/>
                <w:sz w:val="18"/>
                <w:szCs w:val="18"/>
                <w:b w:val="1"/>
                <w:bCs w:val="1"/>
                <w:color w:val="auto"/>
                <w:w w:val="95"/>
              </w:rPr>
              <w:t>Cambridge, MA</w:t>
            </w:r>
          </w:p>
        </w:tc>
        <w:tc>
          <w:tcPr>
            <w:tcW w:w="304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4280" w:type="dxa"/>
            <w:vAlign w:val="bottom"/>
          </w:tcPr>
          <w:p>
            <w:pPr>
              <w:jc w:val="center"/>
              <w:ind w:right="18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c>
          <w:tcPr>
            <w:tcW w:w="0" w:type="dxa"/>
            <w:vAlign w:val="bottom"/>
          </w:tcPr>
          <w:p>
            <w:pPr>
              <w:spacing w:after="0"/>
              <w:rPr>
                <w:sz w:val="1"/>
                <w:szCs w:val="1"/>
                <w:color w:val="auto"/>
              </w:rPr>
            </w:pPr>
          </w:p>
        </w:tc>
      </w:tr>
    </w:tbl>
    <w:p>
      <w:pPr>
        <w:sectPr>
          <w:pgSz w:w="11900" w:h="16838" w:orient="portrait"/>
          <w:cols w:equalWidth="0" w:num="1">
            <w:col w:w="11040"/>
          </w:cols>
          <w:pgMar w:left="440" w:top="368" w:right="41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May 9, 2019, the registrant had 24,147,025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218440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60" w:type="dxa"/>
            <w:vAlign w:val="bottom"/>
            <w:gridSpan w:val="6"/>
          </w:tcPr>
          <w:p>
            <w:pPr>
              <w:ind w:left="280"/>
              <w:spacing w:after="0"/>
              <w:rPr>
                <w:sz w:val="20"/>
                <w:szCs w:val="20"/>
                <w:color w:val="auto"/>
              </w:rPr>
            </w:pPr>
            <w:r>
              <w:rPr>
                <w:rFonts w:ascii="Arial" w:cs="Arial" w:eastAsia="Arial" w:hAnsi="Arial"/>
                <w:sz w:val="18"/>
                <w:szCs w:val="18"/>
                <w:b w:val="1"/>
                <w:bCs w:val="1"/>
                <w:color w:val="auto"/>
              </w:rPr>
              <w:t>Table of Contents</w:t>
            </w: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8160" w:type="dxa"/>
            <w:vAlign w:val="bottom"/>
            <w:gridSpan w:val="17"/>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FINANCIAL INFORMATION</w:t>
              </w:r>
            </w:hyperlink>
          </w:p>
        </w:tc>
        <w:tc>
          <w:tcPr>
            <w:tcW w:w="1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60" w:type="dxa"/>
            <w:vAlign w:val="bottom"/>
            <w:gridSpan w:val="2"/>
            <w:vMerge w:val="continue"/>
          </w:tcPr>
          <w:p>
            <w:pPr>
              <w:spacing w:after="0"/>
              <w:rPr>
                <w:sz w:val="13"/>
                <w:szCs w:val="13"/>
                <w:color w:val="auto"/>
              </w:rPr>
            </w:pPr>
          </w:p>
        </w:tc>
        <w:tc>
          <w:tcPr>
            <w:tcW w:w="8160" w:type="dxa"/>
            <w:vAlign w:val="bottom"/>
            <w:gridSpan w:val="17"/>
            <w:vMerge w:val="continue"/>
          </w:tcPr>
          <w:p>
            <w:pPr>
              <w:spacing w:after="0"/>
              <w:rPr>
                <w:sz w:val="13"/>
                <w:szCs w:val="13"/>
                <w:color w:val="auto"/>
              </w:rPr>
            </w:pPr>
          </w:p>
        </w:tc>
        <w:tc>
          <w:tcPr>
            <w:tcW w:w="16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816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Financial Statements (Unaudited)</w:t>
              </w:r>
            </w:hyperlink>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Balance Sheets</w:t>
              </w:r>
            </w:hyperlink>
          </w:p>
        </w:tc>
        <w:tc>
          <w:tcPr>
            <w:tcW w:w="3900" w:type="dxa"/>
            <w:vAlign w:val="bottom"/>
            <w:gridSpan w:val="5"/>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Statements of Operations and Comprehensive Loss</w:t>
              </w:r>
            </w:hyperlink>
          </w:p>
        </w:tc>
        <w:tc>
          <w:tcPr>
            <w:tcW w:w="4460" w:type="dxa"/>
            <w:vAlign w:val="bottom"/>
            <w:gridSpan w:val="6"/>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Statements of Redeemable Convertible Preferred Stock and Stockholders’ Equity (Deficit)</w:t>
              </w:r>
            </w:hyperlink>
          </w:p>
        </w:tc>
        <w:tc>
          <w:tcPr>
            <w:tcW w:w="1640" w:type="dxa"/>
            <w:vAlign w:val="bottom"/>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Statements of Cash Flows</w:t>
              </w:r>
            </w:hyperlink>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Financial Statements</w:t>
              </w:r>
            </w:hyperlink>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16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1700" w:type="dxa"/>
            <w:vAlign w:val="bottom"/>
            <w:gridSpan w:val="2"/>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6380" w:type="dxa"/>
            <w:vAlign w:val="bottom"/>
            <w:gridSpan w:val="11"/>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8160" w:type="dxa"/>
            <w:vAlign w:val="bottom"/>
            <w:gridSpan w:val="17"/>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140" w:type="dxa"/>
            <w:vAlign w:val="bottom"/>
            <w:gridSpan w:val="9"/>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6820" w:type="dxa"/>
            <w:vAlign w:val="bottom"/>
            <w:gridSpan w:val="12"/>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Unregistered Sales of Equity Securities and Use of Proceeds</w:t>
              </w:r>
            </w:hyperlink>
          </w:p>
        </w:tc>
        <w:tc>
          <w:tcPr>
            <w:tcW w:w="3800" w:type="dxa"/>
            <w:vAlign w:val="bottom"/>
            <w:gridSpan w:val="4"/>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Defaults Upon Senior Securities</w:t>
              </w:r>
            </w:hyperlink>
          </w:p>
        </w:tc>
        <w:tc>
          <w:tcPr>
            <w:tcW w:w="5780" w:type="dxa"/>
            <w:vAlign w:val="bottom"/>
            <w:gridSpan w:val="7"/>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Mine Safety Disclosures</w:t>
              </w:r>
            </w:hyperlink>
          </w:p>
        </w:tc>
        <w:tc>
          <w:tcPr>
            <w:tcW w:w="6380" w:type="dxa"/>
            <w:vAlign w:val="bottom"/>
            <w:gridSpan w:val="11"/>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160" w:type="dxa"/>
            <w:vAlign w:val="bottom"/>
            <w:gridSpan w:val="1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6840" w:type="dxa"/>
            <w:vAlign w:val="bottom"/>
            <w:gridSpan w:val="13"/>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Information</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are made pursuant to the safe harbor provisions of Section 27A of the Securities Act of 1933, as amended, and Section 21E of the Securities Exchange Act of 1934, as amended (the “Exchange Act”).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87" w:lineRule="exact"/>
        <w:rPr>
          <w:sz w:val="20"/>
          <w:szCs w:val="20"/>
          <w:color w:val="auto"/>
        </w:rPr>
      </w:pPr>
    </w:p>
    <w:p>
      <w:pPr>
        <w:ind w:left="860" w:right="80" w:hanging="316"/>
        <w:spacing w:after="0" w:line="264"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860" w:right="200" w:hanging="316"/>
        <w:spacing w:after="0" w:line="342"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9" w:lineRule="exact"/>
        <w:rPr>
          <w:rFonts w:ascii="Arial" w:cs="Arial" w:eastAsia="Arial" w:hAnsi="Arial"/>
          <w:sz w:val="16"/>
          <w:szCs w:val="16"/>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860" w:right="480" w:hanging="316"/>
        <w:spacing w:after="0" w:line="308"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product candidates, technology and plato platform, including our transition to LV2 and our use of a therapeutic drug monitoring, or TDM, conditioning regimen;</w:t>
      </w:r>
    </w:p>
    <w:p>
      <w:pPr>
        <w:spacing w:after="0" w:line="51" w:lineRule="exact"/>
        <w:rPr>
          <w:rFonts w:ascii="Arial" w:cs="Arial" w:eastAsia="Arial" w:hAnsi="Arial"/>
          <w:sz w:val="17"/>
          <w:szCs w:val="17"/>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860" w:right="24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plans to move to a closed, automated system;</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860" w:right="54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860" w:right="36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JOBS Act;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w:t>
      </w:r>
    </w:p>
    <w:p>
      <w:pPr>
        <w:spacing w:after="0" w:line="323" w:lineRule="auto"/>
        <w:rPr>
          <w:sz w:val="20"/>
          <w:szCs w:val="20"/>
          <w:color w:val="auto"/>
        </w:rPr>
      </w:pPr>
      <w:r>
        <w:rPr>
          <w:rFonts w:ascii="Arial" w:cs="Arial" w:eastAsia="Arial" w:hAnsi="Arial"/>
          <w:sz w:val="16"/>
          <w:szCs w:val="16"/>
          <w:color w:val="auto"/>
        </w:rPr>
        <w:t>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440" w:top="274" w:right="459" w:bottom="1440" w:gutter="0" w:footer="0" w:header="0"/>
        </w:sectPr>
      </w:pPr>
    </w:p>
    <w:bookmarkStart w:id="4" w:name="page5"/>
    <w:bookmarkEnd w:id="4"/>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20" w:type="dxa"/>
            <w:vAlign w:val="bottom"/>
          </w:tcPr>
          <w:p>
            <w:pPr>
              <w:jc w:val="center"/>
              <w:ind w:left="1650"/>
              <w:spacing w:after="0"/>
              <w:rPr>
                <w:sz w:val="20"/>
                <w:szCs w:val="20"/>
                <w:color w:val="auto"/>
              </w:rPr>
            </w:pPr>
            <w:r>
              <w:rPr>
                <w:rFonts w:ascii="Arial" w:cs="Arial" w:eastAsia="Arial" w:hAnsi="Arial"/>
                <w:sz w:val="18"/>
                <w:szCs w:val="18"/>
                <w:b w:val="1"/>
                <w:bCs w:val="1"/>
                <w:color w:val="auto"/>
              </w:rPr>
              <w:t>PART I—FINANCIAL INFORMATION</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22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2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20" w:type="dxa"/>
            <w:vAlign w:val="bottom"/>
          </w:tcPr>
          <w:p>
            <w:pPr>
              <w:jc w:val="center"/>
              <w:ind w:left="163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20" w:type="dxa"/>
            <w:vAlign w:val="bottom"/>
          </w:tcPr>
          <w:p>
            <w:pPr>
              <w:jc w:val="center"/>
              <w:ind w:left="16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March 31,</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4"/>
              </w:rPr>
              <w:t>Assets</w:t>
            </w:r>
          </w:p>
        </w:tc>
        <w:tc>
          <w:tcPr>
            <w:tcW w:w="8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108,476</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126,302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4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130,020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117,368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133,479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4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40" w:type="dxa"/>
            <w:vAlign w:val="bottom"/>
            <w:gridSpan w:val="2"/>
          </w:tcPr>
          <w:p>
            <w:pPr>
              <w:ind w:left="340"/>
              <w:spacing w:after="0"/>
              <w:rPr>
                <w:sz w:val="20"/>
                <w:szCs w:val="20"/>
                <w:color w:val="auto"/>
              </w:rPr>
            </w:pPr>
            <w:r>
              <w:rPr>
                <w:rFonts w:ascii="Arial" w:cs="Arial" w:eastAsia="Arial" w:hAnsi="Arial"/>
                <w:sz w:val="18"/>
                <w:szCs w:val="18"/>
                <w:color w:val="auto"/>
              </w:rPr>
              <w:t>Deferred rent, net of current portion</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120" w:type="dxa"/>
            <w:vAlign w:val="bottom"/>
            <w:shd w:val="clear" w:color="auto" w:fill="CCEEFF"/>
          </w:tcPr>
          <w:p>
            <w:pPr>
              <w:spacing w:after="0"/>
              <w:rPr>
                <w:sz w:val="18"/>
                <w:szCs w:val="18"/>
                <w:color w:val="auto"/>
              </w:rPr>
            </w:pPr>
          </w:p>
        </w:tc>
      </w:tr>
      <w:tr>
        <w:trPr>
          <w:trHeight w:val="223"/>
        </w:trPr>
        <w:tc>
          <w:tcPr>
            <w:tcW w:w="8760" w:type="dxa"/>
            <w:vAlign w:val="bottom"/>
            <w:gridSpan w:val="3"/>
          </w:tcPr>
          <w:p>
            <w:pPr>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7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7"/>
              </w:rPr>
              <w:t>Preferred stock, $0.0001 par value; 10,000,000 shares authorized and no shares issued or outstanding as of</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March 31, 2019 and December 31, 2018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7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Common stock, $0.0001 par value; 150,000,000 shares authorized as of March 31, 2019 and December 31, 2018;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24,076,762 and 23,959,903 shares issued as of March 31, 2019 and December 31, 2018, respectively;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5"/>
              </w:rPr>
              <w:t>23,954,241 and 23,806,628 shares outstanding as of March 31, 2019 and December 31, 2018, respectively</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195,628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193,921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(88,842)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(71,739)</w:t>
            </w: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106,788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122,184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117,368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133,479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40" w:top="270" w:right="4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STATEMENTS OF OPERATIONS AND COMPREHENSIVE LOSS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12,446</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 (Note 10)</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Weighted-average number of common shares used in computing net loss per share attributable to common</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23,893,696</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2,324,790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40" w:top="270"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STATEMENTS OF REDEEMABLE CONVERTIBLE PREFERRED STOCK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Series Seed</w:t>
            </w:r>
          </w:p>
        </w:tc>
        <w:tc>
          <w:tcPr>
            <w:tcW w:w="100" w:type="dxa"/>
            <w:vAlign w:val="bottom"/>
          </w:tcPr>
          <w:p>
            <w:pPr>
              <w:spacing w:after="0"/>
              <w:rPr>
                <w:sz w:val="3"/>
                <w:szCs w:val="3"/>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Redeemable</w:t>
            </w:r>
          </w:p>
        </w:tc>
        <w:tc>
          <w:tcPr>
            <w:tcW w:w="100" w:type="dxa"/>
            <w:vAlign w:val="bottom"/>
          </w:tcPr>
          <w:p>
            <w:pPr>
              <w:spacing w:after="0"/>
              <w:rPr>
                <w:sz w:val="12"/>
                <w:szCs w:val="12"/>
                <w:color w:val="auto"/>
              </w:rPr>
            </w:pPr>
          </w:p>
        </w:tc>
        <w:tc>
          <w:tcPr>
            <w:tcW w:w="14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Redeemable</w:t>
            </w:r>
          </w:p>
        </w:tc>
        <w:tc>
          <w:tcPr>
            <w:tcW w:w="120" w:type="dxa"/>
            <w:vAlign w:val="bottom"/>
          </w:tcPr>
          <w:p>
            <w:pPr>
              <w:spacing w:after="0"/>
              <w:rPr>
                <w:sz w:val="12"/>
                <w:szCs w:val="12"/>
                <w:color w:val="auto"/>
              </w:rPr>
            </w:pPr>
          </w:p>
        </w:tc>
        <w:tc>
          <w:tcPr>
            <w:tcW w:w="1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Redeemable</w:t>
            </w:r>
          </w:p>
        </w:tc>
        <w:tc>
          <w:tcPr>
            <w:tcW w:w="2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20" w:type="dxa"/>
            <w:vAlign w:val="bottom"/>
            <w:gridSpan w:val="4"/>
          </w:tcPr>
          <w:p>
            <w:pPr>
              <w:jc w:val="center"/>
              <w:spacing w:after="0" w:line="158" w:lineRule="exact"/>
              <w:rPr>
                <w:sz w:val="20"/>
                <w:szCs w:val="20"/>
                <w:color w:val="auto"/>
              </w:rPr>
            </w:pPr>
            <w:r>
              <w:rPr>
                <w:rFonts w:ascii="Arial" w:cs="Arial" w:eastAsia="Arial" w:hAnsi="Arial"/>
                <w:sz w:val="14"/>
                <w:szCs w:val="14"/>
                <w:b w:val="1"/>
                <w:bCs w:val="1"/>
                <w:color w:val="auto"/>
                <w:w w:val="96"/>
              </w:rPr>
              <w:t>Convertible</w:t>
            </w:r>
          </w:p>
        </w:tc>
        <w:tc>
          <w:tcPr>
            <w:tcW w:w="100" w:type="dxa"/>
            <w:vAlign w:val="bottom"/>
          </w:tcPr>
          <w:p>
            <w:pPr>
              <w:spacing w:after="0"/>
              <w:rPr>
                <w:sz w:val="13"/>
                <w:szCs w:val="13"/>
                <w:color w:val="auto"/>
              </w:rPr>
            </w:pPr>
          </w:p>
        </w:tc>
        <w:tc>
          <w:tcPr>
            <w:tcW w:w="1400" w:type="dxa"/>
            <w:vAlign w:val="bottom"/>
            <w:gridSpan w:val="4"/>
          </w:tcPr>
          <w:p>
            <w:pPr>
              <w:jc w:val="center"/>
              <w:spacing w:after="0" w:line="158" w:lineRule="exact"/>
              <w:rPr>
                <w:sz w:val="20"/>
                <w:szCs w:val="20"/>
                <w:color w:val="auto"/>
              </w:rPr>
            </w:pPr>
            <w:r>
              <w:rPr>
                <w:rFonts w:ascii="Arial" w:cs="Arial" w:eastAsia="Arial" w:hAnsi="Arial"/>
                <w:sz w:val="14"/>
                <w:szCs w:val="14"/>
                <w:b w:val="1"/>
                <w:bCs w:val="1"/>
                <w:color w:val="auto"/>
                <w:w w:val="93"/>
              </w:rPr>
              <w:t>Convertible</w:t>
            </w:r>
          </w:p>
        </w:tc>
        <w:tc>
          <w:tcPr>
            <w:tcW w:w="120" w:type="dxa"/>
            <w:vAlign w:val="bottom"/>
          </w:tcPr>
          <w:p>
            <w:pPr>
              <w:spacing w:after="0"/>
              <w:rPr>
                <w:sz w:val="13"/>
                <w:szCs w:val="13"/>
                <w:color w:val="auto"/>
              </w:rPr>
            </w:pPr>
          </w:p>
        </w:tc>
        <w:tc>
          <w:tcPr>
            <w:tcW w:w="140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6"/>
              </w:rPr>
              <w:t>Convertible</w:t>
            </w: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gridSpan w:val="4"/>
          </w:tcPr>
          <w:p>
            <w:pPr>
              <w:ind w:left="100"/>
              <w:spacing w:after="0" w:line="158" w:lineRule="exact"/>
              <w:rPr>
                <w:sz w:val="20"/>
                <w:szCs w:val="20"/>
                <w:color w:val="auto"/>
              </w:rPr>
            </w:pPr>
            <w:r>
              <w:rPr>
                <w:rFonts w:ascii="Arial" w:cs="Arial" w:eastAsia="Arial" w:hAnsi="Arial"/>
                <w:sz w:val="14"/>
                <w:szCs w:val="14"/>
                <w:b w:val="1"/>
                <w:bCs w:val="1"/>
                <w:color w:val="auto"/>
              </w:rPr>
              <w:t>Additional</w:t>
            </w:r>
          </w:p>
        </w:tc>
        <w:tc>
          <w:tcPr>
            <w:tcW w:w="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20" w:type="dxa"/>
            <w:vAlign w:val="bottom"/>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2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76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83"/>
              </w:rPr>
              <w:t>Amount</w:t>
            </w:r>
          </w:p>
        </w:tc>
        <w:tc>
          <w:tcPr>
            <w:tcW w:w="2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101"/>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112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4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Balance as of December 31,</w:t>
            </w: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2018</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23,806,628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193,921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(71,739)</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ind w:left="300"/>
              <w:spacing w:after="0"/>
              <w:rPr>
                <w:sz w:val="20"/>
                <w:szCs w:val="20"/>
                <w:color w:val="auto"/>
              </w:rPr>
            </w:pPr>
            <w:r>
              <w:rPr>
                <w:rFonts w:ascii="Arial" w:cs="Arial" w:eastAsia="Arial" w:hAnsi="Arial"/>
                <w:sz w:val="16"/>
                <w:szCs w:val="16"/>
                <w:color w:val="auto"/>
              </w:rPr>
              <w:t>Stock-based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w w:val="93"/>
              </w:rPr>
              <w:t>compensation expense</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7"/>
              </w:rPr>
              <w:t>Exercise of stock options</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116,859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2"/>
              </w:rPr>
              <w:t>252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ind w:left="300"/>
              <w:spacing w:after="0"/>
              <w:rPr>
                <w:sz w:val="20"/>
                <w:szCs w:val="20"/>
                <w:color w:val="auto"/>
              </w:rPr>
            </w:pPr>
            <w:r>
              <w:rPr>
                <w:rFonts w:ascii="Arial" w:cs="Arial" w:eastAsia="Arial" w:hAnsi="Arial"/>
                <w:sz w:val="16"/>
                <w:szCs w:val="16"/>
                <w:color w:val="auto"/>
              </w:rPr>
              <w:t>Vesting of restricted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stock awards</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30,753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(17,103)</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(17,103)</w:t>
            </w: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Arial" w:cs="Arial" w:eastAsia="Arial" w:hAnsi="Arial"/>
                <w:sz w:val="16"/>
                <w:szCs w:val="16"/>
                <w:color w:val="auto"/>
                <w:w w:val="95"/>
              </w:rPr>
              <w:t>Balance as of March 31, 2019</w:t>
            </w: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60" w:type="dxa"/>
            <w:vAlign w:val="bottom"/>
            <w:gridSpan w:val="2"/>
            <w:vMerge w:val="continue"/>
          </w:tcPr>
          <w:p>
            <w:pPr>
              <w:spacing w:after="0"/>
              <w:rPr>
                <w:sz w:val="17"/>
                <w:szCs w:val="17"/>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23,954,241</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2</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195,628</w:t>
            </w:r>
          </w:p>
        </w:tc>
        <w:tc>
          <w:tcPr>
            <w:tcW w:w="120" w:type="dxa"/>
            <w:vAlign w:val="bottom"/>
          </w:tcPr>
          <w:p>
            <w:pPr>
              <w:spacing w:after="0"/>
              <w:rPr>
                <w:sz w:val="17"/>
                <w:szCs w:val="17"/>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(88,842)</w:t>
            </w:r>
          </w:p>
        </w:tc>
        <w:tc>
          <w:tcPr>
            <w:tcW w:w="2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106,788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Balance as of December 31,</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2017</w:t>
            </w: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3,333,333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1,500</w:t>
            </w:r>
          </w:p>
        </w:tc>
        <w:tc>
          <w:tcPr>
            <w:tcW w:w="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31,450,499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w w:val="85"/>
              </w:rPr>
              <w:t>25,000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2,305,173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2"/>
              </w:rPr>
              <w:t>339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(23,474)</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(23,135)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ind w:left="300"/>
              <w:spacing w:after="0"/>
              <w:rPr>
                <w:sz w:val="20"/>
                <w:szCs w:val="20"/>
                <w:color w:val="auto"/>
              </w:rPr>
            </w:pPr>
            <w:r>
              <w:rPr>
                <w:rFonts w:ascii="Arial" w:cs="Arial" w:eastAsia="Arial" w:hAnsi="Arial"/>
                <w:sz w:val="16"/>
                <w:szCs w:val="16"/>
                <w:color w:val="auto"/>
              </w:rPr>
              <w:t>Issuance of series B</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redeemable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convertible preferred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stock, net of issuance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costs of $2,243</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28,285,557</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58,257</w:t>
            </w: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Issuance of series B</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redeemable</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convertible preferred</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 to settled</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liability of</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license cost</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233,765</w:t>
            </w:r>
          </w:p>
        </w:tc>
        <w:tc>
          <w:tcPr>
            <w:tcW w:w="1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89"/>
              </w:rPr>
              <w:t>500</w:t>
            </w:r>
          </w:p>
        </w:tc>
        <w:tc>
          <w:tcPr>
            <w:tcW w:w="2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ind w:left="300"/>
              <w:spacing w:after="0"/>
              <w:rPr>
                <w:sz w:val="20"/>
                <w:szCs w:val="20"/>
                <w:color w:val="auto"/>
              </w:rPr>
            </w:pPr>
            <w:r>
              <w:rPr>
                <w:rFonts w:ascii="Arial" w:cs="Arial" w:eastAsia="Arial" w:hAnsi="Arial"/>
                <w:sz w:val="16"/>
                <w:szCs w:val="16"/>
                <w:color w:val="auto"/>
              </w:rPr>
              <w:t>Accretion of issuance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costs related to</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redeemable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convertible preferred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stock</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2,243</w:t>
            </w: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(1,904)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3"/>
              </w:rPr>
              <w:t>compensation expense</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2"/>
              </w:rPr>
              <w:t>109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ind w:left="300"/>
              <w:spacing w:after="0"/>
              <w:rPr>
                <w:sz w:val="20"/>
                <w:szCs w:val="20"/>
                <w:color w:val="auto"/>
              </w:rPr>
            </w:pPr>
            <w:r>
              <w:rPr>
                <w:rFonts w:ascii="Arial" w:cs="Arial" w:eastAsia="Arial" w:hAnsi="Arial"/>
                <w:sz w:val="16"/>
                <w:szCs w:val="16"/>
                <w:color w:val="auto"/>
              </w:rPr>
              <w:t>Vesting of restricted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ind w:left="480"/>
              <w:spacing w:after="0"/>
              <w:rPr>
                <w:sz w:val="20"/>
                <w:szCs w:val="20"/>
                <w:color w:val="auto"/>
              </w:rPr>
            </w:pPr>
            <w:r>
              <w:rPr>
                <w:rFonts w:ascii="Arial" w:cs="Arial" w:eastAsia="Arial" w:hAnsi="Arial"/>
                <w:sz w:val="16"/>
                <w:szCs w:val="16"/>
                <w:color w:val="auto"/>
              </w:rPr>
              <w:t>stock awards</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30,753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(8,242)</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(8,242)</w:t>
            </w: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Arial" w:cs="Arial" w:eastAsia="Arial" w:hAnsi="Arial"/>
                <w:sz w:val="16"/>
                <w:szCs w:val="16"/>
                <w:color w:val="auto"/>
                <w:w w:val="95"/>
              </w:rPr>
              <w:t>Balance as of March 31, 2018</w:t>
            </w: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60" w:type="dxa"/>
            <w:vAlign w:val="bottom"/>
            <w:gridSpan w:val="2"/>
            <w:vMerge w:val="continue"/>
          </w:tcPr>
          <w:p>
            <w:pPr>
              <w:spacing w:after="0"/>
              <w:rPr>
                <w:sz w:val="17"/>
                <w:szCs w:val="17"/>
                <w:color w:val="auto"/>
              </w:rPr>
            </w:pPr>
          </w:p>
        </w:tc>
        <w:tc>
          <w:tcPr>
            <w:tcW w:w="700" w:type="dxa"/>
            <w:vAlign w:val="bottom"/>
          </w:tcPr>
          <w:p>
            <w:pPr>
              <w:ind w:left="40"/>
              <w:spacing w:after="0"/>
              <w:rPr>
                <w:sz w:val="20"/>
                <w:szCs w:val="20"/>
                <w:color w:val="auto"/>
              </w:rPr>
            </w:pPr>
            <w:r>
              <w:rPr>
                <w:rFonts w:ascii="Arial" w:cs="Arial" w:eastAsia="Arial" w:hAnsi="Arial"/>
                <w:sz w:val="16"/>
                <w:szCs w:val="16"/>
                <w:color w:val="auto"/>
                <w:w w:val="89"/>
              </w:rPr>
              <w:t>3,333,333</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1,500</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31,450,499</w:t>
            </w:r>
          </w:p>
        </w:tc>
        <w:tc>
          <w:tcPr>
            <w:tcW w:w="1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440" w:type="dxa"/>
            <w:vAlign w:val="bottom"/>
          </w:tcPr>
          <w:p>
            <w:pPr>
              <w:spacing w:after="0"/>
              <w:rPr>
                <w:sz w:val="20"/>
                <w:szCs w:val="20"/>
                <w:color w:val="auto"/>
              </w:rPr>
            </w:pPr>
            <w:r>
              <w:rPr>
                <w:rFonts w:ascii="Arial" w:cs="Arial" w:eastAsia="Arial" w:hAnsi="Arial"/>
                <w:sz w:val="16"/>
                <w:szCs w:val="16"/>
                <w:color w:val="auto"/>
                <w:w w:val="85"/>
              </w:rPr>
              <w:t>25,000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28,519,322</w:t>
            </w:r>
          </w:p>
        </w:tc>
        <w:tc>
          <w:tcPr>
            <w:tcW w:w="180" w:type="dxa"/>
            <w:vAlign w:val="bottom"/>
          </w:tcPr>
          <w:p>
            <w:pPr>
              <w:jc w:val="right"/>
              <w:spacing w:after="0"/>
              <w:rPr>
                <w:sz w:val="20"/>
                <w:szCs w:val="20"/>
                <w:color w:val="auto"/>
              </w:rPr>
            </w:pPr>
            <w:r>
              <w:rPr>
                <w:rFonts w:ascii="Arial" w:cs="Arial" w:eastAsia="Arial" w:hAnsi="Arial"/>
                <w:sz w:val="16"/>
                <w:szCs w:val="16"/>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61,000</w:t>
            </w:r>
          </w:p>
        </w:tc>
        <w:tc>
          <w:tcPr>
            <w:tcW w:w="200" w:type="dxa"/>
            <w:vAlign w:val="bottom"/>
            <w:tcBorders>
              <w:right w:val="single" w:sz="8" w:color="auto"/>
            </w:tcBorders>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2,335,926</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tcPr>
          <w:p>
            <w:pPr>
              <w:ind w:left="320"/>
              <w:spacing w:after="0"/>
              <w:rPr>
                <w:sz w:val="20"/>
                <w:szCs w:val="20"/>
                <w:color w:val="auto"/>
              </w:rPr>
            </w:pPr>
            <w:r>
              <w:rPr>
                <w:rFonts w:ascii="Arial" w:cs="Arial" w:eastAsia="Arial" w:hAnsi="Arial"/>
                <w:sz w:val="16"/>
                <w:szCs w:val="16"/>
                <w:color w:val="auto"/>
                <w:w w:val="82"/>
              </w:rPr>
              <w:t>109</w:t>
            </w:r>
          </w:p>
        </w:tc>
        <w:tc>
          <w:tcPr>
            <w:tcW w:w="120" w:type="dxa"/>
            <w:vAlign w:val="bottom"/>
          </w:tcPr>
          <w:p>
            <w:pPr>
              <w:spacing w:after="0"/>
              <w:rPr>
                <w:sz w:val="17"/>
                <w:szCs w:val="17"/>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(33,620)</w:t>
            </w:r>
          </w:p>
        </w:tc>
        <w:tc>
          <w:tcPr>
            <w:tcW w:w="2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(33,511)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0" w:right="4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(17,103)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 of property and equipment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Deferred rent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(17,738)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(5,980)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Payments of initial public offering costs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58,208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126,794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108,968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57,952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Property and equipment held for sale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Purchase of property and equipment paid for by landlord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0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Reconciliation of cash, cash equivalents and restricted cash reported within the condensed consolidated balance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b w:val="1"/>
                <w:bCs w:val="1"/>
                <w:color w:val="auto"/>
              </w:rPr>
              <w:t>sheets: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108,476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Long-term restricted cash (included in other assets)</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108,968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57,952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70" w:right="419" w:bottom="1440" w:gutter="0" w:footer="0" w:header="0"/>
        </w:sectPr>
      </w:pPr>
    </w:p>
    <w:bookmarkStart w:id="9" w:name="page10"/>
    <w:bookmarkEnd w:id="9"/>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11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lentiviral gene therapies to treat rare diseases following a single dose.</w:t>
      </w:r>
    </w:p>
    <w:p>
      <w:pPr>
        <w:spacing w:after="0" w:line="170"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jc w:val="both"/>
        <w:ind w:right="40" w:firstLine="881"/>
        <w:spacing w:after="0" w:line="288" w:lineRule="auto"/>
        <w:rPr>
          <w:sz w:val="20"/>
          <w:szCs w:val="20"/>
          <w:color w:val="auto"/>
        </w:rPr>
      </w:pPr>
      <w:r>
        <w:rPr>
          <w:rFonts w:ascii="Arial" w:cs="Arial" w:eastAsia="Arial" w:hAnsi="Arial"/>
          <w:sz w:val="16"/>
          <w:szCs w:val="16"/>
          <w:color w:val="auto"/>
        </w:rPr>
        <w:t>On June 20, 2018, the Company’s registration statement on Form S-1 relating to its initial public offering (“IPO”) was declared effective by the SEC. The IPO closed on June 25, 2018 and the Company issued and sold 5,247,958 common shares at a public offering price of $19.00 per share for net proceeds of $90,103 after deducting underwriting discounts and commissions of $6,980 and other offering expenses of approximately $2,628.</w:t>
      </w:r>
    </w:p>
    <w:p>
      <w:pPr>
        <w:ind w:right="20"/>
        <w:spacing w:after="0" w:line="269" w:lineRule="auto"/>
        <w:rPr>
          <w:sz w:val="20"/>
          <w:szCs w:val="20"/>
          <w:color w:val="auto"/>
        </w:rPr>
      </w:pPr>
      <w:r>
        <w:rPr>
          <w:rFonts w:ascii="Arial" w:cs="Arial" w:eastAsia="Arial" w:hAnsi="Arial"/>
          <w:sz w:val="17"/>
          <w:szCs w:val="17"/>
          <w:color w:val="auto"/>
        </w:rPr>
        <w:t>Simultaneously, on June 25, 2018, the Company issued and sold 787,193 additional common shares, pursuant to the full exercise of the underwriters’ option to purchase additional shares, for net proceeds of $13,910 after deducting underwriting discounts and commissions of $1,047. Thus, the aggregate net proceeds to the Company from the IPO, after deducting underwriting discounts and commissions and other offering costs, were $104,013. Upon the closing of the IPO, all series Seed redeemable convertible preferred stock (the “Series Seed Preferred Stock”), series A redeemable convertible preferred stock (the “Series A Preferred Stock”) and series B redeemable convertible preferred stock (the “Series B Preferred Stock”), (the Series Seed Preferred Stock, the Series A Preferred Stock and the Series B Preferred Stock are collectively referred to as the “Preferred Stock”) then outstanding converted into an aggregate of 15,320,213 shares of common stock.</w:t>
      </w:r>
    </w:p>
    <w:p>
      <w:pPr>
        <w:spacing w:after="0" w:line="181" w:lineRule="exact"/>
        <w:rPr>
          <w:sz w:val="20"/>
          <w:szCs w:val="20"/>
          <w:color w:val="auto"/>
        </w:rPr>
      </w:pPr>
    </w:p>
    <w:p>
      <w:pPr>
        <w:ind w:firstLine="881"/>
        <w:spacing w:after="0" w:line="289" w:lineRule="auto"/>
        <w:rPr>
          <w:sz w:val="20"/>
          <w:szCs w:val="20"/>
          <w:color w:val="auto"/>
        </w:rPr>
      </w:pPr>
      <w:r>
        <w:rPr>
          <w:rFonts w:ascii="Arial" w:cs="Arial" w:eastAsia="Arial" w:hAnsi="Arial"/>
          <w:sz w:val="16"/>
          <w:szCs w:val="16"/>
          <w:color w:val="auto"/>
        </w:rPr>
        <w:t>Through March 31, 2019, the Company has funded its operations primarily with proceeds from the sale of the Preferred Stock and common stock through the Company’s IPO. The Company has incurred recurring losses since its inception, including net losses of $17,103 and $8,242 for the three months ended March 31, 2019 and 2018, respectively. In addition, as of March 31, 2019, the Company had an accumulated deficit of $88,842. Although the Company has incurred recurring losses and expects to continue to incur losses for the foreseeable future, the Company expects that its existing cash, cash equivalents and marketable securities will be sufficient to fund current planned operations and capital expenditure requirements for at least the next twelve months from the date of issuance of the financial statements contained in this Form 10-Q.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The unaudited condensed consolidated interim financial statements have been prepared on the same basis as the audited annual consolidated financial statements as of and for the year ended December 31, 2018, and, in the opinion of management, reflect all adjustments, consisting of normal recurring adjustments, necessary for the fair presentation of the Company’s financial position as of March 31, 2019, and the results of its operations, changes in stockholders’ equity and its cash flows for the three months ended March 31, 2019 and 2018.</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10" w:name="page11"/>
    <w:bookmarkEnd w:id="10"/>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(continued)</w:t>
      </w:r>
    </w:p>
    <w:p>
      <w:pPr>
        <w:spacing w:after="0" w:line="158" w:lineRule="exact"/>
        <w:rPr>
          <w:sz w:val="20"/>
          <w:szCs w:val="20"/>
          <w:color w:val="auto"/>
        </w:rPr>
      </w:pPr>
    </w:p>
    <w:p>
      <w:pPr>
        <w:ind w:right="20" w:firstLine="881"/>
        <w:spacing w:after="0" w:line="302" w:lineRule="auto"/>
        <w:rPr>
          <w:sz w:val="20"/>
          <w:szCs w:val="20"/>
          <w:color w:val="auto"/>
        </w:rPr>
      </w:pPr>
      <w:r>
        <w:rPr>
          <w:rFonts w:ascii="Arial" w:cs="Arial" w:eastAsia="Arial" w:hAnsi="Arial"/>
          <w:sz w:val="16"/>
          <w:szCs w:val="16"/>
          <w:color w:val="auto"/>
        </w:rPr>
        <w:t>The results for the three months ended March 31, 2019 are not necessarily indicative of the results to be expected for the year ending December 31, 2019, any other interim periods, or any future year or period. These interim financial statements should be read in conjunction with the audited financial statements as of and for the year ended December 31, 2018, and the notes thereto, which are included in the Company’s Annual Report on Form 10-K for the year ended December 31, 2018, filed with the Securities and Exchange Commission (“SEC”) on March 25, 2019.</w:t>
      </w:r>
    </w:p>
    <w:p>
      <w:pPr>
        <w:spacing w:after="0" w:line="154"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The accompanying Unaudited Condensed Consolidated Financial Statements reflect the application of certain significant accounting policies as described below and elsewhere in these notes to the Unaudited Condensed Consolidated Financial Statements. As of March 31, 2019, there have been no changes to the Company’s significant accounting policies as described in the Company’s Annual Report on Form 10-K for the fiscal year ended December 31, 2018.</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firstLine="881"/>
        <w:spacing w:after="0" w:line="286"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808)—Clarifying the Interaction between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808 and Topic 606 </w:t>
      </w:r>
      <w:r>
        <w:rPr>
          <w:rFonts w:ascii="Arial" w:cs="Arial" w:eastAsia="Arial" w:hAnsi="Arial"/>
          <w:sz w:val="16"/>
          <w:szCs w:val="16"/>
          <w:color w:val="auto"/>
        </w:rPr>
        <w:t>(“ASU 2018-18”). The amendments in ASU 2018-18 clarify that certain transactions between collaborative arrangement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should be accounted for as revenue under ASC 606 when the collaborative arrangement participant is a customer in the context of a unit of account. The amendments under ASU 2018-18 are effective for interim and annual fiscal periods beginning after December 15, 2019, with early adoption permitted.</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amendments in ASU 2018-18 should be applied retrospectively to the date of initial application of ASC 606. The Company does not expect the adoption of ASU 2018-18 to have a material impact on its consolidated financial statements.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1" w:name="page12"/>
    <w:bookmarkEnd w:id="11"/>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(continued)</w:t>
      </w:r>
    </w:p>
    <w:p>
      <w:pPr>
        <w:spacing w:after="0" w:line="158"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Intangible-Goodwill and Other Internal-Use Software (Subtopic 350-40)</w:t>
      </w:r>
      <w:r>
        <w:rPr>
          <w:rFonts w:ascii="Arial" w:cs="Arial" w:eastAsia="Arial" w:hAnsi="Arial"/>
          <w:sz w:val="16"/>
          <w:szCs w:val="16"/>
          <w:color w:val="auto"/>
        </w:rPr>
        <w:t xml:space="preserve"> (“ASU 2018-15”). ASU 2018-15 updates guidance regarding accounting for implementation costs associated with a cloud computing arrangement that is a service contract. The amendments under ASU 2018-15 are effective for interim and annual fiscal periods beginning after December 15, 2019, with early adoption permitted. The Company does not expect the adoption of ASU 2018-15 to have a material impact on its consolidated financial statements.</w:t>
      </w:r>
    </w:p>
    <w:p>
      <w:pPr>
        <w:spacing w:after="0" w:line="154" w:lineRule="exact"/>
        <w:rPr>
          <w:sz w:val="20"/>
          <w:szCs w:val="20"/>
          <w:color w:val="auto"/>
        </w:rPr>
      </w:pPr>
    </w:p>
    <w:p>
      <w:pPr>
        <w:ind w:right="40" w:firstLine="881"/>
        <w:spacing w:after="0" w:line="254" w:lineRule="auto"/>
        <w:rPr>
          <w:sz w:val="20"/>
          <w:szCs w:val="20"/>
          <w:color w:val="auto"/>
        </w:rPr>
      </w:pPr>
      <w:r>
        <w:rPr>
          <w:rFonts w:ascii="Arial" w:cs="Arial" w:eastAsia="Arial" w:hAnsi="Arial"/>
          <w:sz w:val="18"/>
          <w:szCs w:val="18"/>
          <w:color w:val="auto"/>
        </w:rPr>
        <w:t xml:space="preserve">In August 2019, The FASB issued ASU No. 2018-13, </w:t>
      </w:r>
      <w:r>
        <w:rPr>
          <w:rFonts w:ascii="Arial" w:cs="Arial" w:eastAsia="Arial" w:hAnsi="Arial"/>
          <w:sz w:val="18"/>
          <w:szCs w:val="18"/>
          <w:i w:val="1"/>
          <w:iCs w:val="1"/>
          <w:color w:val="auto"/>
        </w:rPr>
        <w:t>Fair Value Measurement (Topic 820): Disclosure Framework—Changes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Requirements for Fair Value Measurement</w:t>
      </w:r>
      <w:r>
        <w:rPr>
          <w:rFonts w:ascii="Arial" w:cs="Arial" w:eastAsia="Arial" w:hAnsi="Arial"/>
          <w:sz w:val="18"/>
          <w:szCs w:val="18"/>
          <w:color w:val="auto"/>
        </w:rPr>
        <w:t>, or ASU 2018-13. The amendments in ASU 2018-13 eliminate, add, and modify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for fair value measurements. The amendments are effective for interim and annual reporting periods beginning after December 15, 2019, with early adoption permitted for either the entire ASU or only the provisions that eliminate or modify requirements. The amendments with respect to changes in unrealized gains and losses, the range and weighted-average of significant unobservable inputs used to develop Level 3 fair value measurements, and the narrative description of measurement uncertainty are to be applied prospectively. All other amendments are to be applied retrospectively to all periods presented. The Company is currently evaluating the effects the adoption of ASU 2018-13 will have on its disclosures.</w:t>
      </w:r>
    </w:p>
    <w:p>
      <w:pPr>
        <w:spacing w:after="0" w:line="192" w:lineRule="exact"/>
        <w:rPr>
          <w:sz w:val="20"/>
          <w:szCs w:val="20"/>
          <w:color w:val="auto"/>
        </w:rPr>
      </w:pPr>
    </w:p>
    <w:p>
      <w:pPr>
        <w:ind w:right="20" w:firstLine="881"/>
        <w:spacing w:after="0" w:line="273"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Classification of Certain Cash Receipts and Cash Payments</w:t>
      </w:r>
      <w:r>
        <w:rPr>
          <w:rFonts w:ascii="Arial" w:cs="Arial" w:eastAsia="Arial" w:hAnsi="Arial"/>
          <w:sz w:val="17"/>
          <w:szCs w:val="17"/>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adopted ASU 2016-15 during the quarter ended March 31, 2019. The adoption did not have a material impact on the condensed consolidated financial statements.</w:t>
      </w:r>
    </w:p>
    <w:p>
      <w:pPr>
        <w:spacing w:after="0" w:line="178"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ASU 2016-02 supersedes the previous leases standard, ASC 840, </w:t>
      </w:r>
      <w:r>
        <w:rPr>
          <w:rFonts w:ascii="Arial" w:cs="Arial" w:eastAsia="Arial" w:hAnsi="Arial"/>
          <w:sz w:val="16"/>
          <w:szCs w:val="16"/>
          <w:i w:val="1"/>
          <w:iCs w:val="1"/>
          <w:color w:val="auto"/>
        </w:rPr>
        <w:t>Leases</w:t>
      </w:r>
      <w:r>
        <w:rPr>
          <w:rFonts w:ascii="Arial" w:cs="Arial" w:eastAsia="Arial" w:hAnsi="Arial"/>
          <w:sz w:val="16"/>
          <w:szCs w:val="16"/>
          <w:color w:val="auto"/>
        </w:rPr>
        <w:t>.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 The Company is currently evaluating the impact that the adoption of ASU 2016-02 will have on its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12" w:name="page13"/>
    <w:bookmarkEnd w:id="12"/>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right="20" w:firstLine="881"/>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indicates the level of the fair value hierarchy utilized to determine such fair values as of March 31, 2019 and December 31, 2018:</w:t>
      </w:r>
    </w:p>
    <w:p>
      <w:pPr>
        <w:spacing w:after="0" w:line="15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5"/>
              </w:rPr>
              <w:t>March 31, 2019 Using:</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Level 1</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2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Level 3</w:t>
            </w: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$108,233</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w w:val="87"/>
              </w:rPr>
              <w:t>$108,233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108,725</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108,725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December 31, 2018 Using:</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Level 1</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2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Level 3</w:t>
            </w: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$126,047</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w w:val="87"/>
              </w:rPr>
              <w:t>$126,047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126,539</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126,539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During the three months ended March 31, 2019 and 2018, there were no transfers between Level 1, Level 2 and Level 3.</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Valuation of the Warrant to Purchase Preferred Stock</w:t>
      </w:r>
    </w:p>
    <w:p>
      <w:pPr>
        <w:spacing w:after="0" w:line="117"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At March 31, 2018, the Company had outstanding a warrant to purchase shares of Series A Preferred Stock that was issued to a lender in connection with a loan and security agreement entered into in 2017. The fair value of the warrant to purchase preferred stock was determined based on significant inputs not observable in the market, which represents a Level 3 measurement within the fair value hierarchy.</w:t>
      </w:r>
    </w:p>
    <w:p>
      <w:pPr>
        <w:spacing w:after="0" w:line="166"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Prior to the IPO, the Company classified the warrant as a liability on its consolidated balance sheets as the warrant is a free-standing financial instrument that may require the Company to transfer assets upon exercise. The preferred stock warrant liability was initially recorded at fair value upon the date of issuance and was subsequently remeasured to fair value at each reporting date. Changes in the fair value of the warrant to purchase preferred stock were recognized as a component of other income (expense), net in the consolidated statements of operations and comprehensive loss.</w:t>
      </w:r>
    </w:p>
    <w:p>
      <w:pPr>
        <w:spacing w:after="0" w:line="154"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The Company utilized the Black-Scholes option-pricing model, which incorporates assumptions and estimates, to value the warrant. The Company assessed these assumptions and estimates on a quarterly basis as additional information impacting the assumptions was obtained. Estimates and assumptions impacting the fair value measurement included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 Upon the IPO, the warrant to purchase preferred stock was converted to a warrant to purchase common stock. The carrying amount of warrant to purchase preferred stock as of the date of IPO was transferred to additional paid in capital.</w:t>
      </w:r>
    </w:p>
    <w:p>
      <w:pPr>
        <w:spacing w:after="0" w:line="18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Company recognized a loss of $12 in the condensed consolidated statements of operations and comprehensive loss for the three months ended March 31, 2018 related to the change in fair value of the warrant.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3" w:name="page14"/>
    <w:bookmarkEnd w:id="13"/>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Valuation of Derivative</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The Stock Purchase Agreement contained a provision requiring the Company to make a cash payment to UHN of up to $2,000 if UHN’s fully diluted ownership was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was recorded as research and development expense in January 2016.</w:t>
      </w:r>
    </w:p>
    <w:p>
      <w:pPr>
        <w:spacing w:after="0" w:line="189"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On March 31, 2018, the Company remeasured the fair value of the derivative, using current assumptions, resulting in an increase in fair value of $587, which was recorded in other expense in the accompanying condensed consolidated statements of operations and comprehensive loss for the three months ended March 31, 2018. On June 21, 2018, in connection with the Company’s IPO, the Company remeasured the fair value of the derivative to $2,000 as the Company was required to pay the dilution payment as mentioned above, which the Company paid in July 2018. An increase in fair value of $1,629 was recorded in other expense in the accompanying condensed consolidated statements of operations and comprehensive loss for the three months ended September 30,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Tax incentive refund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1,268</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Prepaid research and development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2,950</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income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475</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5,203</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ind w:left="88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March 31,</w:t>
            </w:r>
          </w:p>
        </w:tc>
        <w:tc>
          <w:tcPr>
            <w:tcW w:w="1460" w:type="dxa"/>
            <w:vAlign w:val="bottom"/>
            <w:gridSpan w:val="6"/>
          </w:tcPr>
          <w:p>
            <w:pPr>
              <w:ind w:lef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4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2,044</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3,439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0"/>
        <w:spacing w:after="0" w:line="449" w:lineRule="auto"/>
        <w:rPr>
          <w:sz w:val="20"/>
          <w:szCs w:val="20"/>
          <w:color w:val="auto"/>
        </w:rPr>
      </w:pPr>
      <w:r>
        <w:rPr>
          <w:rFonts w:ascii="Arial" w:cs="Arial" w:eastAsia="Arial" w:hAnsi="Arial"/>
          <w:sz w:val="18"/>
          <w:szCs w:val="18"/>
          <w:color w:val="auto"/>
        </w:rPr>
        <w:t>Depreciation and amortization expense for the three months ended March 31, 2019 and 2018 was $190 and $21, respectively. 9</w:t>
      </w:r>
    </w:p>
    <w:p>
      <w:pPr>
        <w:sectPr>
          <w:pgSz w:w="11900" w:h="16838" w:orient="portrait"/>
          <w:cols w:equalWidth="0" w:num="1">
            <w:col w:w="11000"/>
          </w:cols>
          <w:pgMar w:left="440" w:top="270" w:right="459" w:bottom="1440" w:gutter="0" w:footer="0" w:header="0"/>
        </w:sectPr>
      </w:pPr>
    </w:p>
    <w:bookmarkStart w:id="14" w:name="page15"/>
    <w:bookmarkEnd w:id="14"/>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0" w:type="dxa"/>
            <w:vAlign w:val="bottom"/>
            <w:gridSpan w:val="3"/>
          </w:tcPr>
          <w:p>
            <w:pPr>
              <w:ind w:left="1960"/>
              <w:spacing w:after="0"/>
              <w:rPr>
                <w:sz w:val="20"/>
                <w:szCs w:val="20"/>
                <w:color w:val="auto"/>
              </w:rPr>
            </w:pPr>
            <w:r>
              <w:rPr>
                <w:rFonts w:ascii="Arial" w:cs="Arial" w:eastAsia="Arial" w:hAnsi="Arial"/>
                <w:sz w:val="14"/>
                <w:szCs w:val="14"/>
                <w:b w:val="1"/>
                <w:bCs w:val="1"/>
                <w:color w:val="auto"/>
                <w:w w:val="95"/>
              </w:rPr>
              <w:t>March 31,</w:t>
            </w:r>
          </w:p>
        </w:tc>
        <w:tc>
          <w:tcPr>
            <w:tcW w:w="1460" w:type="dxa"/>
            <w:vAlign w:val="bottom"/>
            <w:gridSpan w:val="4"/>
          </w:tcPr>
          <w:p>
            <w:pPr>
              <w:ind w:left="5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 costs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4,086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3,969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professional fees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liabilities</w:t>
            </w:r>
          </w:p>
        </w:tc>
        <w:tc>
          <w:tcPr>
            <w:tcW w:w="1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7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 and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Prior to the IPO, the authorized capital stock of the Company included 63,491,857 shares of $0.0001 par value preferred stock, of</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which 3,333,333 shares have been designated as Series Seed Preferred Stock, 31,639,202 shares have been designated as Series A Preferred Stock and 28,519,322 shares have been designated as Series B Preferred Stock.</w:t>
      </w:r>
    </w:p>
    <w:p>
      <w:pPr>
        <w:spacing w:after="0" w:line="184"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In January 2018, the Company issued and sold 28,519,322 shares of Series B Preferred Stock, at a price of $2.1389 per share, for total proceeds of $58,757, net of issuance costs of $2,243.</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2018, the Preferred Stock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gridSpan w:val="3"/>
            <w:vMerge w:val="restart"/>
          </w:tcPr>
          <w:p>
            <w:pPr>
              <w:jc w:val="center"/>
              <w:ind w:left="116"/>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Liquidation</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Preference</w:t>
            </w:r>
          </w:p>
        </w:tc>
        <w:tc>
          <w:tcPr>
            <w:tcW w:w="2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1,500,000</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31,639,202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31,450,499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25,000,000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25,000,000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7,611,438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28,519,322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28,519,322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61,000,000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6,902,064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63,491,857</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63,303,154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87,500,000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87,500,000</w:t>
            </w: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15,320,213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Upon closing of the IPO, the Preferred Stock as of March 31, 2018, were converted into 15,320,213 shares of common stock. The holders of the Company’s Preferred Stock had certain voting, dividend, and redemption rights, as well as liquidation preferences and conversion privileges. All rights, preferences, and privileges associated with the preferred stock were terminated at the time of the Company’s IPO in conjunction with the conversion of all outstanding shares of Preferred Stock into shares of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As of March 31, 2019 and December 31, 2018, the authorized capital stock of the Company included 150,000,000 shares of common stock, $0.0001 par value and 10,000,000 shares of undesignated preferred stock. As of March 31, 2019 and December 31, 2018, no undesignated preferred stock was outstanding.</w:t>
      </w:r>
    </w:p>
    <w:p>
      <w:pPr>
        <w:spacing w:after="0" w:line="181" w:lineRule="exact"/>
        <w:rPr>
          <w:sz w:val="20"/>
          <w:szCs w:val="20"/>
          <w:color w:val="auto"/>
        </w:rPr>
      </w:pPr>
    </w:p>
    <w:p>
      <w:pPr>
        <w:ind w:right="240" w:firstLine="881"/>
        <w:spacing w:after="0" w:line="254" w:lineRule="auto"/>
        <w:rPr>
          <w:sz w:val="20"/>
          <w:szCs w:val="20"/>
          <w:color w:val="auto"/>
        </w:rPr>
      </w:pPr>
      <w:r>
        <w:rPr>
          <w:rFonts w:ascii="Arial" w:cs="Arial" w:eastAsia="Arial" w:hAnsi="Arial"/>
          <w:sz w:val="18"/>
          <w:szCs w:val="18"/>
          <w:color w:val="auto"/>
        </w:rPr>
        <w:t>In accordance to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Through March 31, 2019, no cash dividends have been declared or paid.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440" w:top="270" w:right="419" w:bottom="1440" w:gutter="0" w:footer="0" w:header="0"/>
        </w:sectPr>
      </w:pPr>
    </w:p>
    <w:bookmarkStart w:id="15" w:name="page16"/>
    <w:bookmarkEnd w:id="15"/>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 and Common Stock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At March 31, 2019 and December 31, 2018, the Company has reserved the following shares of common stock for future issuance:</w:t>
      </w:r>
    </w:p>
    <w:p>
      <w:pPr>
        <w:spacing w:after="0" w:line="24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3"/>
          </w:tcPr>
          <w:p>
            <w:pPr>
              <w:ind w:left="3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2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124,821</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153,276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2,986,048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2,164,101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87"/>
              </w:rPr>
              <w:t>Shares reserved for issuance under the 2018</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and Grant Plan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528,134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385,561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87"/>
              </w:rPr>
              <w:t>Shares reserved for issuance under the 2018</w:t>
            </w:r>
          </w:p>
        </w:tc>
        <w:tc>
          <w:tcPr>
            <w:tcW w:w="31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461,266</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223,200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4,100,269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2,926,138</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assumptions that the Company used to determine the grant-date fair value of stock options granted to employees and members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were as follows, presented on a weighted-average basis:</w:t>
      </w:r>
    </w:p>
    <w:p>
      <w:pPr>
        <w:spacing w:after="0" w:line="229"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Three Months Ended</w:t>
      </w:r>
    </w:p>
    <w:p>
      <w:pPr>
        <w:jc w:val="center"/>
        <w:ind w:left="64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2.53%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80.57%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84.00%</w:t>
            </w: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Company’s stock option activity for the three months ended March 31, 2019:</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100" w:type="dxa"/>
            <w:vAlign w:val="bottom"/>
            <w:gridSpan w:val="3"/>
            <w:vMerge w:val="restart"/>
          </w:tcPr>
          <w:p>
            <w:pPr>
              <w:jc w:val="center"/>
              <w:ind w:left="27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Number of</w:t>
            </w:r>
          </w:p>
        </w:tc>
        <w:tc>
          <w:tcPr>
            <w:tcW w:w="20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left="31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42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42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2,164,101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$ 23,083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1,002,579</w:t>
            </w: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16.30</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(116,859)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(63,773)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3.23</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2,986,048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$ 34,524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March 31, 2019</w:t>
            </w: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vMerge w:val="restart"/>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6.73</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$ 13,502</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673,946</w:t>
            </w:r>
          </w:p>
        </w:tc>
        <w:tc>
          <w:tcPr>
            <w:tcW w:w="26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March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2,986,048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$ 34,524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81"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three months ended March 31, 2019 and 2018 was $11.41 and $6.99, respectively.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440" w:top="270" w:right="579" w:bottom="1440" w:gutter="0" w:footer="0" w:header="0"/>
        </w:sectPr>
      </w:pPr>
    </w:p>
    <w:bookmarkStart w:id="16" w:name="page17"/>
    <w:bookmarkEnd w:id="16"/>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Company’s restricted common stock activity for the three months ended March 31, 2019:</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center"/>
              <w:ind w:left="9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of Shares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2018</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153,275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Issued and unvested as of March 31, 2019</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124,821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0" w:firstLine="881"/>
        <w:spacing w:after="0" w:line="277" w:lineRule="auto"/>
        <w:rPr>
          <w:sz w:val="20"/>
          <w:szCs w:val="20"/>
          <w:color w:val="auto"/>
        </w:rPr>
      </w:pPr>
      <w:r>
        <w:rPr>
          <w:rFonts w:ascii="Arial" w:cs="Arial" w:eastAsia="Arial" w:hAnsi="Arial"/>
          <w:sz w:val="18"/>
          <w:szCs w:val="18"/>
          <w:color w:val="auto"/>
        </w:rPr>
        <w:t>The total fair value of restricted common stock vested during the three months ended March 31, 2019 and 2018 was $13 and $13,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4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3"/>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As of March 31, 2019, total unrecognized compensation cost related to the unvested stock-based awards was $22,083, which is expected to be recognized over a weighted-average period of 3.61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UHN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40" w:firstLine="88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17" w:name="page18"/>
    <w:bookmarkEnd w:id="17"/>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License Agreements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UHN (continued)</w:t>
      </w:r>
    </w:p>
    <w:p>
      <w:pPr>
        <w:spacing w:after="0" w:line="158"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93"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For the three months ended March 31, 2019 and 2018, the Company recorded research and development expense related to this agreement with UHN of $194 and zero, respectively, which consists of reimbursable funded study trial costs. No milestone or maintenance fees were incurred related to the Fabry license agreement in the three months ended March 31, 2019 and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right="60" w:firstLine="881"/>
        <w:spacing w:after="0" w:line="287" w:lineRule="auto"/>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was considered a derivative instrument and was initially recorded at fair value of $49 (Note 3).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right="40" w:firstLine="881"/>
        <w:spacing w:after="0" w:line="297" w:lineRule="auto"/>
        <w:rPr>
          <w:sz w:val="20"/>
          <w:szCs w:val="20"/>
          <w:color w:val="auto"/>
        </w:rPr>
      </w:pPr>
      <w:r>
        <w:rPr>
          <w:rFonts w:ascii="Arial" w:cs="Arial" w:eastAsia="Arial" w:hAnsi="Arial"/>
          <w:sz w:val="16"/>
          <w:szCs w:val="16"/>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For the three months ended March 31, 2019 and 2018, the Company recorded research and development expense related to this agreement with UHN of $38 and $41, respectively, which consists of license maintenance fees. No milestone fees were incurred related to the IL-12 license agreement in the three months ended March 31, 2019 and 2018.</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18" w:name="page19"/>
    <w:bookmarkEnd w:id="18"/>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License Agreements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firstLine="881"/>
        <w:spacing w:after="0" w:line="253" w:lineRule="auto"/>
        <w:rPr>
          <w:sz w:val="20"/>
          <w:szCs w:val="20"/>
          <w:color w:val="auto"/>
        </w:rPr>
      </w:pPr>
      <w:r>
        <w:rPr>
          <w:rFonts w:ascii="Arial" w:cs="Arial" w:eastAsia="Arial" w:hAnsi="Arial"/>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milestone fees related to the license were recorded for the three months ended March 31, 2019 and 2018.</w:t>
      </w:r>
    </w:p>
    <w:p>
      <w:pPr>
        <w:spacing w:after="0" w:line="197" w:lineRule="exact"/>
        <w:rPr>
          <w:sz w:val="20"/>
          <w:szCs w:val="20"/>
          <w:color w:val="auto"/>
        </w:rPr>
      </w:pPr>
    </w:p>
    <w:p>
      <w:pPr>
        <w:ind w:right="40" w:firstLine="881"/>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right="20" w:firstLine="881"/>
        <w:spacing w:after="0" w:line="286" w:lineRule="auto"/>
        <w:rPr>
          <w:sz w:val="20"/>
          <w:szCs w:val="20"/>
          <w:color w:val="auto"/>
        </w:rPr>
      </w:pPr>
      <w:r>
        <w:rPr>
          <w:rFonts w:ascii="Arial" w:cs="Arial" w:eastAsia="Arial" w:hAnsi="Arial"/>
          <w:sz w:val="16"/>
          <w:szCs w:val="16"/>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next anticipated payment under this Agreement is $2,000, and would become due following the treatment of the first patient in the planned Phase 1/2 clinical trial of AVR-RD-04 in cystinosis.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milestone fees related to the license were recorded for the three months ended March 31, 2019 and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right="60" w:firstLine="881"/>
        <w:spacing w:after="0" w:line="269" w:lineRule="auto"/>
        <w:rPr>
          <w:sz w:val="20"/>
          <w:szCs w:val="20"/>
          <w:color w:val="auto"/>
        </w:rPr>
      </w:pPr>
      <w:r>
        <w:rPr>
          <w:rFonts w:ascii="Arial" w:cs="Arial" w:eastAsia="Arial" w:hAnsi="Arial"/>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milestone fees related to the license were recorded for the three months ended March 31, 2019 and 2018.</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19" w:name="page20"/>
    <w:bookmarkEnd w:id="19"/>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AVROBIO, INC.</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121"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Preferred Stock and the warrant to purchase shares of Series A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w:t>
      </w:r>
    </w:p>
    <w:p>
      <w:pPr>
        <w:spacing w:after="0" w:line="17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2,986,048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1,788,750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rPr>
              <w:t>124,821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245,548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15,320,213</w:t>
            </w: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360" w:type="dxa"/>
            <w:vAlign w:val="bottom"/>
          </w:tcPr>
          <w:p>
            <w:pPr>
              <w:spacing w:after="0" w:line="201" w:lineRule="exact"/>
              <w:rPr>
                <w:sz w:val="20"/>
                <w:szCs w:val="20"/>
                <w:color w:val="auto"/>
              </w:rPr>
            </w:pPr>
            <w:r>
              <w:rPr>
                <w:rFonts w:ascii="Arial" w:cs="Arial" w:eastAsia="Arial" w:hAnsi="Arial"/>
                <w:sz w:val="18"/>
                <w:szCs w:val="18"/>
                <w:color w:val="auto"/>
              </w:rPr>
              <w:t>Warrants to purchase redeemable convertible preferred stock (as converted to</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6,850</w:t>
            </w:r>
          </w:p>
        </w:tc>
        <w:tc>
          <w:tcPr>
            <w:tcW w:w="4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w:t>
      </w:r>
    </w:p>
    <w:p>
      <w:pPr>
        <w:spacing w:after="0" w:line="117"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On January 12, 2018, the Company entered into a lease agreement for office space located in Cambridge, Massachusetts. The lease agreement expires in January 2023, with a landlord who is an affiliate of the landlord of the Company’s prior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$842 in 2018. Such incentive allowance is being amortized as a reduction of rent expense on a straight-line basis over the lease period. In accordance with the lease agreement, the Company is required to maintain a security deposit of $209, which was recorded in other assets. In contemplation of this agreement, the Company terminated its prior lease agreement.</w:t>
      </w:r>
    </w:p>
    <w:p>
      <w:pPr>
        <w:spacing w:after="0" w:line="165" w:lineRule="exact"/>
        <w:rPr>
          <w:sz w:val="20"/>
          <w:szCs w:val="20"/>
          <w:color w:val="auto"/>
        </w:rPr>
      </w:pPr>
    </w:p>
    <w:p>
      <w:pPr>
        <w:jc w:val="both"/>
        <w:ind w:right="260" w:firstLine="441"/>
        <w:spacing w:after="0" w:line="286" w:lineRule="auto"/>
        <w:rPr>
          <w:sz w:val="20"/>
          <w:szCs w:val="20"/>
          <w:color w:val="auto"/>
        </w:rPr>
      </w:pPr>
      <w:r>
        <w:rPr>
          <w:rFonts w:ascii="Arial" w:cs="Arial" w:eastAsia="Arial" w:hAnsi="Arial"/>
          <w:sz w:val="17"/>
          <w:szCs w:val="17"/>
          <w:color w:val="auto"/>
        </w:rPr>
        <w:t>On August 31, 2018, the Company entered into a sub-lease agreement for lab space located in Cambridge Massachusetts, United States, which expires in October 2020. The annual lease payments are subject to a 3% increase each year. In accordance with the lease agreement, the Company is required to maintain a security deposit of $283, which was recorded in other assets as of September 30,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60" w:firstLine="88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three months ended March 31, 2019 and 2018 and to the best of its knowledge, no material legal proceedings are currently pending or threatened.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220" w:firstLine="881"/>
        <w:spacing w:after="0" w:line="312" w:lineRule="auto"/>
        <w:rPr>
          <w:sz w:val="20"/>
          <w:szCs w:val="20"/>
          <w:color w:val="auto"/>
        </w:rPr>
      </w:pPr>
      <w:r>
        <w:rPr>
          <w:rFonts w:ascii="Arial" w:cs="Arial" w:eastAsia="Arial" w:hAnsi="Arial"/>
          <w:sz w:val="16"/>
          <w:szCs w:val="16"/>
          <w:color w:val="auto"/>
        </w:rPr>
        <w:t>The Company is also party to various agreements, principally relating to licensed technology, that require future payments relating to milestones not met at March 31, 2019 and December 31, 2018, or royalties on future sales. No milestone or royalty payments under these agreements are expected to be payable in the immediate future, except as disclosed in Note 9. See Note 9 for discussion of these arrangements.</w:t>
      </w:r>
    </w:p>
    <w:p>
      <w:pPr>
        <w:spacing w:after="0" w:line="147" w:lineRule="exact"/>
        <w:rPr>
          <w:sz w:val="20"/>
          <w:szCs w:val="20"/>
          <w:color w:val="auto"/>
        </w:rPr>
      </w:pPr>
    </w:p>
    <w:p>
      <w:pPr>
        <w:ind w:firstLine="881"/>
        <w:spacing w:after="0" w:line="290"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at March 31, 2019.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20" w:name="page21"/>
    <w:bookmarkEnd w:id="20"/>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In connection with the Company’s entry into a license agreement with UHN on January 27, 2016, the Company issued UHN 1,161,665 shares of its common stock. Upon the closing of the IPO, as UHN’s fully-diluted percentage ownership of the Company was reduced within a range of specified percentages, the Company was obligated to pay UHN an amount up to $2,000, which was paid in July 2018. See Note 3 for further discussion on the accounting treatment for this provision.</w:t>
      </w:r>
    </w:p>
    <w:p>
      <w:pPr>
        <w:spacing w:after="0" w:line="187"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For the three months ended March 31, 2019 and 2018, the Company recognized $232 and $41, respectively, of research and development expense related to the license agreements with UHN (Note 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For the three months ended March 31, 2019, the Company recorded expenses of $356, related to a sublease to rent lab space, provided by an entity affiliated with a member of the Board. No such expense was recorded for the three months ended March 31, 2018.</w:t>
      </w:r>
    </w:p>
    <w:p>
      <w:pPr>
        <w:spacing w:after="0" w:line="147"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For the three months ended March 31, 2019 and 2018, the Company recognized zero and $38, respectively, related to consulting services provided by an entity affiliated with an officer of the Company and a member of the Board.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2018 included in our Annual Report on Form 10-K for the year ended December 31, 2018.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31,2018, as supplemented by our subsequent filings with the SEC.</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We are a Phase 2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to treat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which today are primarily managed with enzyme replacement therapies, or ERTs.</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seek to develop promising gene therapy programs by applying our expertise in gene and cellular therapies and clinical and regulatory strategy and execution to efficiently bring these potentially curative therapies to patients. In our initial programs, we leverage years of extensive preclinical and early clinical research by leading international researchers, as well as our internal research efforts, to advance potential therapies. We plan to identify and develop future product candidates through our own internal research efforts as well as through collaborations with leading academics.</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continue our move towards implementing our commercial-scale plato</w:t>
      </w:r>
      <w:r>
        <w:rPr>
          <w:rFonts w:ascii="Arial" w:cs="Arial" w:eastAsia="Arial" w:hAnsi="Arial"/>
          <w:sz w:val="15"/>
          <w:szCs w:val="15"/>
          <w:color w:val="auto"/>
        </w:rPr>
        <w:t>TM</w:t>
      </w:r>
      <w:r>
        <w:rPr>
          <w:rFonts w:ascii="Arial" w:cs="Arial" w:eastAsia="Arial" w:hAnsi="Arial"/>
          <w:sz w:val="18"/>
          <w:szCs w:val="18"/>
          <w:color w:val="auto"/>
        </w:rPr>
        <w:t xml:space="preserve"> platform, including heightened vector efficiency, our closed, automated manufacturing system and utilization of a therapeutic drug monitoring, or TDM, conditioning regimen. These platform improvements have been designed with the intent of improving safety and enhancing the potency and long-term durability of our therapies. We are developing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and our initial public offering, or IPO. Through March 31, 2019, we had received gross proceeds of $87.5 million from the sales of our preferred stock and $114.7 million from the sales of common stock through our IPO. 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$17.1 million and $8.2 million for the three months ended March 31, 2019 and 2018, respectively. As of March 31, 2019 we had an accumulated deficit of $88.8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incur additional costs associated with operating as a public company, including significant legal, accounting, investor relations and other expenses that we did not incur as a private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2" w:name="page23"/>
    <w:bookmarkEnd w:id="2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IPO.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March 31, 2019, we had cash and cash equivalents of $108.5 million. We believe that our existing cash and cash equivalents as of March 31, 2019 will enable us to fund our operating expenses and capital expenditure requirements into the second half of 2020.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right="880"/>
        <w:spacing w:after="0" w:line="312" w:lineRule="auto"/>
        <w:rPr>
          <w:sz w:val="20"/>
          <w:szCs w:val="20"/>
          <w:color w:val="auto"/>
        </w:rPr>
      </w:pPr>
      <w:r>
        <w:rPr>
          <w:rFonts w:ascii="Arial" w:cs="Arial" w:eastAsia="Arial" w:hAnsi="Arial"/>
          <w:sz w:val="16"/>
          <w:szCs w:val="16"/>
          <w:color w:val="auto"/>
        </w:rPr>
        <w:t>In 2018, we held a pre-Investigational New Drug, or pre-IND, meeting with the U.S. Food and Drug Administration, or FDA, to discuss the requirements to commence clinical trials in the United States. In April 2019, we received clearance from the FDA for the IND application of AVR-RD-01, and we expect to open a U.S. site for our ongoing Phase 2 clinical trial of AVR-RD-01 in the second half of 2019.</w:t>
      </w:r>
    </w:p>
    <w:p>
      <w:pPr>
        <w:spacing w:after="0" w:line="14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In April 2019, additional preclinical data from a mouse model of Gaucher disease Type 1, evaluating both early and late stages of disease, was presented at the annual meeting of the American Society of Gene &amp; Cell Therapy (ASGCT). Following administration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therapy with our LV2 lentiviral vector in the mouse model, the data demonstrated a significant reduction in the levels of glucocerebroside in bone marrow, spleen, and liver; significant reversal of hepatosplenomegaly; improved red blood cell indices (hematocrit and hemoglobin); and a reduction of severity of Gaucher cell infiltration in tissues including bone marrow, spleen, and liver. Trends for improvements in bone mass, density, and thickness were also observed.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87" w:lineRule="exact"/>
        <w:rPr>
          <w:sz w:val="20"/>
          <w:szCs w:val="20"/>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30" w:lineRule="exact"/>
        <w:rPr>
          <w:rFonts w:ascii="Arial" w:cs="Arial" w:eastAsia="Arial" w:hAnsi="Arial"/>
          <w:sz w:val="18"/>
          <w:szCs w:val="18"/>
          <w:color w:val="auto"/>
        </w:rPr>
      </w:pPr>
    </w:p>
    <w:p>
      <w:pPr>
        <w:ind w:left="860" w:right="40" w:hanging="316"/>
        <w:spacing w:after="0" w:line="342"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860" w:right="620" w:hanging="31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75" w:lineRule="exact"/>
        <w:rPr>
          <w:rFonts w:ascii="Arial" w:cs="Arial" w:eastAsia="Arial" w:hAnsi="Arial"/>
          <w:sz w:val="18"/>
          <w:szCs w:val="18"/>
          <w:color w:val="auto"/>
        </w:rPr>
      </w:pPr>
    </w:p>
    <w:p>
      <w:pPr>
        <w:ind w:left="860" w:right="400" w:hanging="31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3" w:name="page24"/>
    <w:bookmarkEnd w:id="23"/>
    <w:p>
      <w:pPr>
        <w:ind w:left="860" w:hanging="31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costs related to compliance with regulatory requirements;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research and development expenses incurred by program (in thousands):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w:t>
            </w: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Ended March 31,</w:t>
            </w: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Fabry</w:t>
            </w:r>
          </w:p>
        </w:tc>
        <w:tc>
          <w:tcPr>
            <w:tcW w:w="1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Gaucher</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Pompe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Cystinosis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AML</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research and development expenses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12,446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5,647</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7" w:lineRule="exact"/>
        <w:rPr>
          <w:sz w:val="20"/>
          <w:szCs w:val="20"/>
          <w:color w:val="auto"/>
        </w:rPr>
      </w:pPr>
    </w:p>
    <w:p>
      <w:pPr>
        <w:ind w:left="860" w:right="680" w:hanging="316"/>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development and timely delivery of commercial-grade drug formulations that can be used in our clinical trials and for commercial launch;</w:t>
      </w:r>
    </w:p>
    <w:p>
      <w:pPr>
        <w:spacing w:after="0" w:line="153" w:lineRule="exact"/>
        <w:rPr>
          <w:rFonts w:ascii="Arial" w:cs="Arial" w:eastAsia="Arial" w:hAnsi="Arial"/>
          <w:sz w:val="16"/>
          <w:szCs w:val="16"/>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24" w:name="page25"/>
    <w:bookmarkEnd w:id="2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money market funds and other bank deposits.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expense consists of foreign exchange gain or 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connection with entering into our loan agreement, we agreed to issue a warrant to purchase shares of our preferred stock to the lender. Prior to the completion of our IPO, we classified the warrant as a liability on our consolidated balance sheet and we were required to remeasure to fair value at each reporting date. We recognized changes in the fair value of the warrant liability as a component of other income (expense), net in our consolidated statements of operations and comprehensive loss. Upon the closing of our IPO, the warrant to purchase preferred stock was converted to a warrant to purchase common stock. The carrying amount of the warrant to purchase preferred stock as of the date of our IPO was transferred to additional paid in capital. No further revaluation is needed for the warrant to purchase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stock purchase agreement with University Health Network, or UHN, provided for a payment to UHN upon completion of an initial public offering, which included our IPO, if UHN’s fully-diluted percentage ownership of our company was reduced within a range of specified percentages. We classified the IPO dilution payment obligation as a liability on our consolidated balance sheet and we were required to remeasure to fair value at each reporting date. We recognized changes in the fair value of the derivative liability as a component of other income (expense), net in our consolidated statements of operations and comprehensive loss. On June 21, 2018, in connection with our IPO, we remeasured the fair value of the derivative liability to $2.0 million as we were required to pay the dilution payment as mentioned above, which was paid in July 2018.</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consolidated results of operations for the three months ended March 31, 2019 and 2018 (in thousands):</w:t>
      </w:r>
    </w:p>
    <w:p>
      <w:pPr>
        <w:spacing w:after="0" w:line="24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Ended March 31,</w:t>
            </w:r>
          </w:p>
        </w:tc>
        <w:tc>
          <w:tcPr>
            <w:tcW w:w="180" w:type="dxa"/>
            <w:vAlign w:val="bottom"/>
          </w:tcPr>
          <w:p>
            <w:pPr>
              <w:spacing w:after="0"/>
              <w:rPr>
                <w:sz w:val="14"/>
                <w:szCs w:val="14"/>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$ 12,446</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$ 5,647</w:t>
            </w:r>
          </w:p>
        </w:tc>
        <w:tc>
          <w:tcPr>
            <w:tcW w:w="2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$ 6,799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(17,700)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(60)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(17,103</w:t>
            </w:r>
          </w:p>
        </w:tc>
        <w:tc>
          <w:tcPr>
            <w:tcW w:w="460" w:type="dxa"/>
            <w:vAlign w:val="bottom"/>
            <w:gridSpan w:val="2"/>
          </w:tcPr>
          <w:p>
            <w:pPr>
              <w:jc w:val="right"/>
              <w:ind w:right="400"/>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(8,242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(8,861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during the three months ended March 31, 2019 and 2018 (in thousands):</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Ended March 31,</w:t>
            </w:r>
          </w:p>
        </w:tc>
        <w:tc>
          <w:tcPr>
            <w:tcW w:w="20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Direct research and development expenses by program:</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Fabry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2,221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$1,889</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Gaucher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1,211</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Pompe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1,351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Cystinosis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AML</w:t>
            </w:r>
          </w:p>
        </w:tc>
        <w:tc>
          <w:tcPr>
            <w:tcW w:w="100" w:type="dxa"/>
            <w:vAlign w:val="bottom"/>
          </w:tcPr>
          <w:p>
            <w:pPr>
              <w:spacing w:after="0"/>
              <w:rPr>
                <w:sz w:val="18"/>
                <w:szCs w:val="18"/>
                <w:color w:val="auto"/>
              </w:rPr>
            </w:pPr>
          </w:p>
        </w:tc>
        <w:tc>
          <w:tcPr>
            <w:tcW w:w="9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Personnel related (including stock-based compensation)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3,417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1,796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1,828</w:t>
            </w:r>
          </w:p>
        </w:tc>
        <w:tc>
          <w:tcPr>
            <w:tcW w:w="0" w:type="dxa"/>
            <w:vAlign w:val="bottom"/>
          </w:tcPr>
          <w:p>
            <w:pPr>
              <w:spacing w:after="0"/>
              <w:rPr>
                <w:sz w:val="1"/>
                <w:szCs w:val="1"/>
                <w:color w:val="auto"/>
              </w:rPr>
            </w:pPr>
          </w:p>
        </w:tc>
      </w:tr>
      <w:tr>
        <w:trPr>
          <w:trHeight w:val="223"/>
        </w:trPr>
        <w:tc>
          <w:tcPr>
            <w:tcW w:w="680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12,446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6,799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were $12.4 million for the three months ended March 31, 2019, compared to $5.6 million for the three months ended March 31, 2018. The increase of $6.8 million was primarily due to increases of $0.3 million in direct costs for our Fabry program, $1.2 million in direct costs for our Gaucher program, $0.3 million in direct costs related to our Cystinosis program, $1.4 million in direct costs related to our Pompe program and $3.6 million in unallocated research and development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direct costs for our Fabry program was primarily due to a $0.3 million increase in manufacturing costs.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increase in direct costs for our Gaucher program was primarily due to an increase in manufacturing costs of $0.6 million, an increase in preclinical costs of $0.3 million and an increase in clinical costs of $0.3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direct costs for our Cystinosis program was primarily due to an increase in preclinical costs of $0.3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direct costs for our Pompe program was primarily due to an increase in preclinical costs of $1.3 million.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0" w:right="499" w:bottom="1440" w:gutter="0" w:footer="0" w:header="0"/>
        </w:sectPr>
      </w:pPr>
    </w:p>
    <w:bookmarkStart w:id="26" w:name="page27"/>
    <w:bookmarkEnd w:id="26"/>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increase in unallocated research and development expenses was primarily due to an increase of $1.8 million in personnel-related costs, including stock-based compensation, as a result of hiring additional personnel in our research and development department, an increase of $1.0 million in preclinical costs and consulting expenses and an increase of $0.8 million in facility costs and rent expense. Personnel-related costs for the three months ended March 31, 2019 and 2018 included stock-based compensation expense of $0.9 million and less than $0.1 million,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General and administrative expenses were $5.3 million for the three months ended March 31, 2019, compared to $2.1 million for the three months ended March 31, 2018. The increase of $3.1 million was primarily due to increases of $1.1 million in personnel-related costs, including stock-based compensation, $0.5 million in legal fees, $0.3 million in consulting and professional fees, $0.2 million in depreciation expense and $0.2 million in facility expense. The increase in personnel-related costs was due to the hiring of additional personnel in our general and administrative functions. The increase in legal fees was driven by additional costs associated with being a publicly traded company. The increase in facility expense was primarily due to the addition of increased office space as a result of an increase in employee headcount.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Other income (expense), net was income of $0.6 million for the three months ended March 31, 2019, compared to an expense of $0.5 million for the three months ended March 31, 2018. The increase in other income of $1.1 million was primarily due to a $0.6 million expense related to the change in fair value of derivative liability which was recognized during the three months ended March 31, 2018, while no expense related to the change in fair value of derivative liability was recognized during the three months ended March 31, 2019, as well as an increase in interest income of $0.5 million during the three months ended March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Through March 31, 2019, we had received gross cash proceeds of $87.5 million and $114.7 million from sales of our preferred stock and IPO,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44"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Three Months Ended</w:t>
      </w:r>
    </w:p>
    <w:p>
      <w:pPr>
        <w:jc w:val="center"/>
        <w:ind w:left="6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$(17,738)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(5,980)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(340)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58,208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(17,826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51,965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2019, operating activities used $17.7 million of cash, cash equivalents and restricted cash, resulting from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loss of $17.1 million and net cash used by changes in our operating assets and liabilities of $2.2 million, partially offset by non-cash charges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 million. The net changes in our operating assets and liabilities were primarily due to increases in prepaid expenses and other current assets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$1.5 million due to ongoing preclinical, manufacturing, and clinical trial efforts and decreases in accrued expenses and other current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million, partially offset by an increase in accounts payable of $0.7 million due to the timing of vendor payments. The non-cash charges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$1.5 million of stock-based compensation expense and $0.2 million of depreciation expense.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7" w:name="page28"/>
    <w:bookmarkEnd w:id="27"/>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three months ended March 31, 2018, operating activities used $6.0 million of cash, cash equivalents and restricted cash, resulting from our net loss of $8.2 million, partially offset by non-cash charges of $0.9 million and net cash provided by changes in our operating assets and liabilities of $1.3 million. The net changes in our operating assets and liabilities was primarily due to increases in liabilities of $1.8 million due to ongoing research, development, and clinical trial efforts, which were partially offset by increases in assets of $0.5 million, including an increase due to a $0.2 million security deposit for a new lease that was executed in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three months ended March 31, 2019 and 2018, we used $0.3 million of cash, cash equivalents and restricted cash, respectively, in investing activities consisting of purchases of property and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 months ended March 31, 2019, net cash provided by financing activities was $0.3 million, consisting of cash proceeds from exercise of stock options.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three months ended March 31, 2018, net cash provided by financing activities was $58.2 million, primarily consisting of net cash proceeds from our issuance of Series B preferred stock in January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we expect to continue to incur additional costs associated with operating as a public company that we had not incurred as a private company. Our expenses will also increase as we:</w:t>
      </w:r>
    </w:p>
    <w:p>
      <w:pPr>
        <w:spacing w:after="0" w:line="87" w:lineRule="exact"/>
        <w:rPr>
          <w:sz w:val="20"/>
          <w:szCs w:val="20"/>
          <w:color w:val="auto"/>
        </w:rPr>
      </w:pPr>
    </w:p>
    <w:p>
      <w:pPr>
        <w:ind w:left="860" w:hanging="316"/>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continuing enrollment in our ongoing Phase 2 clinical trial for AVR-RD-01;</w:t>
      </w:r>
    </w:p>
    <w:p>
      <w:pPr>
        <w:spacing w:after="0" w:line="153" w:lineRule="exact"/>
        <w:rPr>
          <w:rFonts w:ascii="Arial" w:cs="Arial" w:eastAsia="Arial" w:hAnsi="Arial"/>
          <w:sz w:val="16"/>
          <w:szCs w:val="16"/>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860" w:right="380" w:hanging="316"/>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860" w:right="20" w:hanging="316"/>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transition our organization to operating as a public company.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our existing cash and cash equivalents as of March 31, 2019 will enable us to fund our operating expenses and capital expenditure requirements into the second half of 2020. We have based these estimates on assumptions that may prove to be wrong, and we could utilize our available capital resources sooner than we expect. If we receive regulatory approval for AVR-RD-01 or our other product candidates, we expect to incur significant commercialization expenses related to product manufacturing, sales, marketing and distribution, depending on where we choose to commercialize.</w:t>
      </w:r>
    </w:p>
    <w:p>
      <w:pPr>
        <w:spacing w:after="0" w:line="188"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Contractual Obligations and Commitments</w:t>
      </w:r>
    </w:p>
    <w:p>
      <w:pPr>
        <w:spacing w:after="0" w:line="1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2018, filed with the SEC on March 25, 2019. Except as set forth below, there have been no significant changes to the table contained therein as of March 31, 2019.</w:t>
      </w:r>
    </w:p>
    <w:p>
      <w:pPr>
        <w:spacing w:after="0" w:line="18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Pursuant to our license agreements with UHN, BioMarin, GenStem and the Lund University rights holders, we are required to make certain milestone and royalty payments to our licensors. The next anticipated payment under our license agreement with GenStem is $2 million, and would become due following the treatment of the first patient in the planned Phase 1/2 clinical trial of AVR-RD-04 in cystinosis.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three months ended March 31, 2019,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2018, which was filed with the SEC on March 25, 2019, and the notes to the consolidated financial statements included in Item 1, “Condensed Consolidated Unaudited Financial Statements,” of this Quarterly Report on Form 10-Q.</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at the beginning of this Quarterly Report on Form 10-Q.</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As of March 31, 2019, we had cash and cash equivalents of $108.5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Currency Exchange Risk</w:t>
      </w:r>
    </w:p>
    <w:p>
      <w:pPr>
        <w:spacing w:after="0" w:line="117"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three months ended March 31, 2019 and 2018, we recognized foreign currency transaction losses of</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$60 thousand and $13 thousand,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6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(our principal executive officer and principal financial officer, respectively), evaluated the effectiveness of our disclosure controls and procedures as of March 31, 2019.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2019, our Chief Executive Officer and Chief Financial Officer concluded that, as a result of the material weaknesses in our internal control over financial reporting as described below and in Part II, Item 1A. of our Annual Report on Form 10-K for the fiscal year ended December 31, 2018, our disclosure controls and procedures were not effective as of March 31, 2019. Notwithstanding the material weaknesses, our management has concluded that the financial statements included elsewhere in this report present fairly, in all material respects, our financial position, results of operations, changes in stockholders’ equity (deficit) and cash flows in conformity with GAAP.</w:t>
      </w:r>
    </w:p>
    <w:p>
      <w:pPr>
        <w:spacing w:after="0" w:line="16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2018, we began implementing measures designed to improve our internal control over financial reporting to remediate these material weaknesses,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including formalizing our processes and internal control documentation and strengthening supervisory reviews by our financial management; hiring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qualified accounting and finance personnel and engaging financial consultants to enable the implementation of internal control over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and segregating duties amongst accounting and finance personnel; and planning to implement certain accounting systems to automate manual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processes, such as tracking and accounting for stock-based awards. Although progress has been made to strengthen our controls, management and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independent registered public accounting firm have concluded that the material weaknesses remain unremediated as of December 31, 2018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2019. In addition, in February 2019, one of our vendors was subject to a cyberattack by a third party, which resulted in the payment by us of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fraudulent invoice.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0" w:name="page31"/>
    <w:bookmarkEnd w:id="3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Additionally, in connection with the audit of our consolidated financial statements for the year ended December 31, 2018, we and our independent registered public accounting firm identified a further material weakness in our internal control over financial reporting related to deficiencies in our controls over the financial statement close process. Specifically, there was a lack of controls over the accounting for accrued research and development expenses.</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measures we are implementing are subject to continued management review supported by confirmation and testing, as well as audit committee oversight. Management remains committed to the implementation of remediation efforts to address these material weaknesses. We will continue to implement measures to remedy our internal control deficiencies, though there can be no assurance that our efforts will be successful or avoid potential future material weaknesses. In addition, until remediation steps have been completed and are operated for a sufficient period of time, and subsequent evaluation of their effectiveness is completed, the material weaknesses previously disclosed, and as described above, will continue to exist.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than the changes intended to remediate the material weaknesses noted above, no change in our internal control over financial reporting (as defined in Rules 13a-15(f) and 15d-15(f) under the Exchange Act) occurred during the three months ended March 31, 2019 that has materially affected, or is reasonably likely to materially affect, our internal control over financial reporting.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March 31, 2019,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uncertainties, together with all other information in this report, including our consolidated financial statements and related notes and “Management’s Discussion and Analysis of Financial Condition and Results of Operations,” as well as our other filings with the Securities and Exchange Commission,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net losses since inception. We expect to incur net losses for the foreseeable future and may never achieve or maintain profitability.</w:t>
      </w:r>
    </w:p>
    <w:p>
      <w:pPr>
        <w:spacing w:after="0" w:line="1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Since inception, we have incurred net losses. We incurred net losses of $46.4 million and $18.6 million for the years ended December 31, 2018 and 2017, respectively, and $17.1 million for the three months ended March 31, 2019. We historically have financed our operations primarily through private placements of our preferred stock and our initial public offering of our Common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84" w:lineRule="exact"/>
        <w:rPr>
          <w:sz w:val="20"/>
          <w:szCs w:val="20"/>
          <w:color w:val="auto"/>
        </w:rPr>
      </w:pPr>
    </w:p>
    <w:p>
      <w:pPr>
        <w:ind w:left="860" w:hanging="316"/>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continuing enrollment in our ongoing Phase 2 clinical trial for AVR-RD-01;</w:t>
      </w:r>
    </w:p>
    <w:p>
      <w:pPr>
        <w:spacing w:after="0" w:line="153" w:lineRule="exact"/>
        <w:rPr>
          <w:rFonts w:ascii="Arial" w:cs="Arial" w:eastAsia="Arial" w:hAnsi="Arial"/>
          <w:sz w:val="16"/>
          <w:szCs w:val="16"/>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860" w:right="380" w:hanging="316"/>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860" w:right="400" w:hanging="316"/>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860" w:right="20" w:hanging="316"/>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transition our organization to operating as a public company.</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0"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never generated revenue from product sales and do not expect to do so for the next several years, if ever.</w:t>
      </w:r>
    </w:p>
    <w:p>
      <w:pPr>
        <w:spacing w:after="0" w:line="11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92" w:lineRule="exact"/>
        <w:rPr>
          <w:sz w:val="20"/>
          <w:szCs w:val="20"/>
          <w:color w:val="auto"/>
        </w:rPr>
      </w:pPr>
    </w:p>
    <w:p>
      <w:pPr>
        <w:ind w:left="860" w:right="220" w:hanging="316"/>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30" w:lineRule="exact"/>
        <w:rPr>
          <w:rFonts w:ascii="Arial" w:cs="Arial" w:eastAsia="Arial" w:hAnsi="Arial"/>
          <w:sz w:val="18"/>
          <w:szCs w:val="18"/>
          <w:color w:val="auto"/>
        </w:rPr>
      </w:pPr>
    </w:p>
    <w:p>
      <w:pPr>
        <w:ind w:left="860" w:right="320" w:hanging="316"/>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30" w:lineRule="exact"/>
        <w:rPr>
          <w:rFonts w:ascii="Arial" w:cs="Arial" w:eastAsia="Arial" w:hAnsi="Arial"/>
          <w:sz w:val="18"/>
          <w:szCs w:val="18"/>
          <w:color w:val="auto"/>
        </w:rPr>
      </w:pPr>
    </w:p>
    <w:p>
      <w:pPr>
        <w:ind w:left="860" w:right="160" w:hanging="316"/>
        <w:spacing w:after="0" w:line="34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29" w:lineRule="exact"/>
        <w:rPr>
          <w:rFonts w:ascii="Arial" w:cs="Arial" w:eastAsia="Arial" w:hAnsi="Arial"/>
          <w:sz w:val="16"/>
          <w:szCs w:val="16"/>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860" w:right="180" w:hanging="316"/>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860" w:right="180" w:hanging="316"/>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860" w:right="400" w:hanging="316"/>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860" w:right="200" w:hanging="316"/>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3" w:name="page34"/>
    <w:bookmarkEnd w:id="33"/>
    <w:p>
      <w:pPr>
        <w:ind w:left="860" w:hanging="316"/>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of our current and any future license agreements and collaborations;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a development-stage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our product candidates and establishing research and development and manufacturing capabilities. Although we initiated our ongoing Phase 2 clinical trial for AVR-RD-01 in June 2018,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the implementation of our plato platform with our planned upgrades, including our transition to TDM conditioning using busulfan for our single-agent conditioning regimen,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we have not yet dosed any patients using our plato platform, which we plan to utilize for the majority of patients in our ongoing Phase 2 clinical trial for AVR-RD-01. The transition to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achieve the same favorable preliminary results observed to date in the Phase 1 clinical trial of AVR-RD-01.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4" w:name="page35"/>
    <w:bookmarkEnd w:id="3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either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potentially subject to review by the NIH Office of Science Policy’s Recombinant DNA Advisory Committee, or the RAC, in limited circumstances. Although the FDA decides whether individual gene therapy protocols may proceed, the RAC public review process, if undertaken, can delay the initiation of a clinical trial, even if the FDA has reviewed the trial design and details and authorized its initiation. Conversely, the FDA can put an investigational new drug application, or IND, on clinical hold even if the RAC has provided a favorable review or an exemption from in-depth, public review. If we were to engage an NIH-funded institution to conduct a clinical trial, that institution’s institutional biosafety committee, or IBC, as well as its institutional review board, or IRB, would need to review the proposed clinical trial to assess the safety of the trial and may determine that RAC review is needed.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8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5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FDA continues to develop its approach to assessing gene and cell therapy products. For example, the agency has released a series of draft guidance documents relating to, among other topics, various aspects of gene therapy product development, review, and approval, including aspects relating to clinical and manufacturing issues related to gene therapy products. We cannot be certain whether such guidance will be relevant to or have an impact on our gene therapy candidates or the duration or expense of any applicable regulatory development and review processes.</w:t>
      </w:r>
    </w:p>
    <w:p>
      <w:pPr>
        <w:spacing w:after="0" w:line="2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the conduct of clinical trials, patients may experience changes in their health, including illnesses, injuries, discomforts or a fatal outcome. It is possible that as we test AVR-RD-01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5" w:name="page36"/>
    <w:bookmarkEnd w:id="35"/>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commercial scale after approval. If additional clinical experience indicates that AVR-RD-01 or any other product candidate has side effects or causes serious or life-threatening side effects, the development of the product candidate may fail or be delayed, or, if the product candidate has received regulatory approval, such approval may be revoked or limited.</w:t>
      </w:r>
    </w:p>
    <w:p>
      <w:pPr>
        <w:spacing w:after="0" w:line="18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multiple reported cases of leukemia, myelodysplastic syndrome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against the vector after administration, there can be no assurance that patients would not create antibodies that may impair treatment. If any of our gene therapy product candidates demonstrates adverse side effects at unacceptable rates or degrees of severity, we may decide or be required to halt or delay clinical development of such product candidates.</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transiently compromises the patient’s immune system, known as neutropenia, and ability to form blood clots, known as thrombocytopenia.</w:t>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planning to implement a transition, beginning in 2019 in connection with our company-sponsored clinical trials, towards a new conditioning regimen for our product candidates utilizing busulfan as the myeloablative conditioning agent instead of the melphalan that is currently used. The use of this conditioning regimen is designed to utilize therapeutic drug monitoring, or TDM, to achieve a balance between the removal of a sufficient amount of bone marrow cells from a patient against potential risks such as toxicity or graft failure. While we anticipate that the conditioning regimen may be performed during a limited hospital stay or potentially through an outpatient procedure, on a case-by-case basis as directed by a patient’s physician, we cannot guarantee that the conditioning will not require a lengthier hospitalization. Our conditioning regimens may not be successful or may nevertheless result in adverse side effects. For example, in the ongoing investigator-sponsored Phase 1 clinical trial and our ongoing company-sponsored Phase 2 clinical trial of AVR-RD-01, several adverse events, including suppression of neutrophils and platelet counts following the conditioning process, were observed. While such adverse events in connection with conditioning is expected,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We are aware that there have been cases of therapy-related myelodysplastic syndrome, or t-MDS, a type of blood disorder that is a potential precursor to acute myeloid leukemia, in patients with pre-existing cancer where busulfan treatment was posited to be a contributing factor to this secondary malignancy. However, we have reviewed over 700 published cases of busulfan exposure preceding bone marrow transplant, hematopoietic cell transplant, or ex-vivo gene therapy for non-malignant indications, of which 648 were from peer-reviewed literature. Of the 648 busulfan exposures reported in peer-reviewed literature, none of the cases reported t-MDS. Of the 67 exposures reported in non-peer-reviewed published abstracts, 66 reported no cases of t-MDS resulting from busulfan exposure, and in one case it was reported that a patient developed t-MDS and that busulfan treatment was posited to be a contributing factor. That case has not yet been peer-reviewed, and we believe that due to the presence of other confounding factors in that patient, it has not been conclusively determined that busulfan exposure was the cause of that patient’s t-MDS. However, there can be no guarantees that our plan to utilize busulfan in our conditioning regimen will not result in similar adverse events. In addition, although we intend as a precautionary measure to implement new procedures to screen for certain pre-cancerous genetic mutations prior to commencement of the conditioning regimen as an additional risk reduction measure, there can be no guarantees that these procedures will be successful. Even if we are able to demonstrate that adverse events are not product-related, such occurrences could adversely affect patient recruitment or the ability of enrolled patients to complete the clinical trial.</w:t>
      </w:r>
    </w:p>
    <w:p>
      <w:pPr>
        <w:spacing w:after="0" w:line="1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or our other product candidates, several potentially significant negative consequences could result, including:</w:t>
      </w:r>
    </w:p>
    <w:p>
      <w:pPr>
        <w:spacing w:after="0" w:line="94" w:lineRule="exact"/>
        <w:rPr>
          <w:sz w:val="20"/>
          <w:szCs w:val="20"/>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6" w:name="page37"/>
    <w:bookmarkEnd w:id="36"/>
    <w:p>
      <w:pPr>
        <w:ind w:left="860" w:hanging="316"/>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be required to change the way a product candidate is distributed, dispensed, or administered or conduct additional clinical trials;</w:t>
      </w:r>
    </w:p>
    <w:p>
      <w:pPr>
        <w:spacing w:after="0" w:line="153" w:lineRule="exact"/>
        <w:rPr>
          <w:rFonts w:ascii="Arial" w:cs="Arial" w:eastAsia="Arial" w:hAnsi="Arial"/>
          <w:sz w:val="16"/>
          <w:szCs w:val="16"/>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7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AVR-RD-01 is being investigated in an ongoing investigator-sponsored Phase 1 clinical trial and an ongoing company-sponsored Phase 2 clinical trial, and we have not commenced clinical trials for any of our other product candidates. We have never completed a pivotal clinical trial, and may be unable to do so for any product candidates we may develop, including AVR-RD-01.</w:t>
      </w:r>
    </w:p>
    <w:p>
      <w:pPr>
        <w:spacing w:after="0" w:line="5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are at an early stage of development for all of our product candidates including AVR-RD-01. As of March 15, 2019, our product candidate AVR-RD-01 has been administered to only five patients in an ongoing investigator-sponsored Phase 1 clinical trial and to two patients in our ongoing Phase 2 clinical trial. The ongoing Phase 1 and Phase 2 clinical trials for AVR-RD-01 must be completed, as well as potentially additional pivotal clinical trials in order to obtain FDA approval to market AVR-RD-01. Carrying out later-stage clinical trials is a complicated process. We dosed the second patient in our company-sponsored Phase 2 clinical trial in the fourth quarter of 2018. We have limited experience in preparing, submitting and prosecuting regulatory filings, and have not previously submitted a biologics license application, or BLA, for any product candidate.</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we have not yet conducted clinical trials of any our product candidates in the United States, and our interactions with the FDA have been limited. We cannot be certain how many additional clinical trials of AVR-RD-01 or any of our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In 2018, we held a pre-IND meeting with the FDA to discuss the requirements to commence clinical trials in the United States. In April 2019, we received clearance from the FDA for the IND application of AVR-RD-01, and we expect to open a U.S. site for our ongoing Phase 2 clinical trial of AVR-RD-01 in the second half of 2019. However, there can be no assurance that we will commence clinical trials in the United States on our expected timeframe or at all. In addition, while we have received clearance from the FDA to commence clinical testing in the United States for AVR-RD-01,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w:t>
      </w:r>
    </w:p>
    <w:p>
      <w:pPr>
        <w:spacing w:after="0" w:line="17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planned Phase 1/2 clinical trial of AVR-RD-04 will be conducted by our collaborators at the University of California, San Diego, for which the FDA recently accepted an IND in December 2018.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Results from preclinical studies or early clinical trials are not necessarily predictive of future clinical trial results and are not necessarily indicative of final results. For example,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37" w:name="page38"/>
    <w:bookmarkEnd w:id="37"/>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final results of a trial after all data have been collected and analyzed. Based on results observed from ongoing trials of AVR-RD-01, there can be no assurance that increased levels of AGA in patients treated with AVR-RD-01 will be maintained over time. In addition, while the first and third patients from the ongoing investigator-sponsored Phase 1 clinical trial of AVR-RD-01 discontinued ERT, there can be no assurance that these patients, or others who in the future may discontinue ERT, will remain off ERT.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AVR-RD-02, AVR-RD-03 and AVR-RD-04 product candidates have not yet been tested in humans. Any of our other product candidates may fail to show the desired safety and efficacy in clinical development despite positive results in preclinical studies. Any such failure would cause us to abandon the product candidate.</w:t>
      </w:r>
    </w:p>
    <w:p>
      <w:pPr>
        <w:spacing w:after="0" w:line="30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Patient enrollment and trial completion is affected by factors including the:</w:t>
      </w:r>
    </w:p>
    <w:p>
      <w:pPr>
        <w:spacing w:after="0" w:line="92" w:lineRule="exact"/>
        <w:rPr>
          <w:sz w:val="20"/>
          <w:szCs w:val="20"/>
          <w:color w:val="auto"/>
        </w:rPr>
      </w:pPr>
    </w:p>
    <w:p>
      <w:pPr>
        <w:ind w:left="860" w:hanging="31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860" w:right="300" w:hanging="316"/>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38" w:name="page39"/>
    <w:bookmarkEnd w:id="38"/>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current product candidates are being developed to treat rare conditions. We plan to seek initial marketing approvals in the United States, Europe and certain other major markets, including Japan. We may not be able to initiate or continue clinical trials, including our ongoing Phase 2 clinical trial for AVR-RD-01 for which enrollment is ongoing,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94" w:lineRule="exact"/>
        <w:rPr>
          <w:sz w:val="20"/>
          <w:szCs w:val="20"/>
          <w:color w:val="auto"/>
        </w:rPr>
      </w:pPr>
    </w:p>
    <w:p>
      <w:pPr>
        <w:ind w:left="860" w:hanging="316"/>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30" w:lineRule="exact"/>
        <w:rPr>
          <w:rFonts w:ascii="Arial" w:cs="Arial" w:eastAsia="Arial" w:hAnsi="Arial"/>
          <w:sz w:val="18"/>
          <w:szCs w:val="18"/>
          <w:color w:val="auto"/>
        </w:rPr>
      </w:pPr>
    </w:p>
    <w:p>
      <w:pPr>
        <w:ind w:left="860" w:right="60" w:hanging="316"/>
        <w:spacing w:after="0" w:line="277"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77" w:lineRule="exact"/>
        <w:rPr>
          <w:sz w:val="20"/>
          <w:szCs w:val="20"/>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while we are currently utilizing the LV1 version of the lentiviral vector in the ongoing Phase 1 and Phase 2 clinical trials of AVR-RD-01, we plan to transition our AVR-RD-01 lentiviral vectors to an LV2 version in connection with our plato platform implementation. While LV2 is intended to confer improvements in transduction efficiency in viral production, there is no guarantee that we can realize these intended benefits.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39" w:name="page40"/>
    <w:bookmarkEnd w:id="3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LV2. Our IND application for our planned Phase 2 clinical study of AVR-RD-01 for Fabry disease in the United States, which was cleared by the FDA in April 2019, included data to demonstrate comparability between LV1 and LV2 and a transition to an automated manufacturing platform. In addition, our CTA (including amendments) for our planned Phase 1/2 clinical study of AVR-RD-02 for Gaucher disease in Canada, for which Health Canada has issued no objection letters, included data utilizing LV2 and our automated manufacturing platform. While these applications included data relating to our LV2 lentiviral vector and our automated manufacturing process, which are elements of our plato platform, and allow us to commence clinical trials incorporating such elements, there can be no assurance that FDA, Health Canada or other regulatory authorities will not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planned Phase 1/2 investigator-sponsored clinical study of AVR-RD-04 for cystinosis in the United States, which has been cleared by the FDA, did not include our LV2 lentiviral vector or our automated manufacturing platform, and we anticipate that we will be required to submit comparability data in future regulatory filings relating to our transition to LV2 and the automated manufacturing platform.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 may:</w:t>
      </w:r>
    </w:p>
    <w:p>
      <w:pPr>
        <w:spacing w:after="0" w:line="154" w:lineRule="exact"/>
        <w:rPr>
          <w:sz w:val="20"/>
          <w:szCs w:val="20"/>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have regulatory authorities withdraw their approval of the product or impose restrictions on its distribution in the form of a REMS;</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40" w:name="page41"/>
    <w:bookmarkEnd w:id="40"/>
    <w:p>
      <w:pPr>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of our clinical trials, including the ongoing investigator-sponsored clinical trial of AVR-RD-01, a portion of our Company-sponsored clinical trial of AVR-RD-01, and the planned investigator-sponsored clinical trial of AVR-RD-04, do not utilize our commercial-scale plato platform. While we have submitted and intend to continue to submit comparability studies to the FDA and other regulatory agencies, as needed, with respect to our transition towards implementing our commercial-scale plato platform, there can be no assurance that the FDA or other regulatory agencies will not in the future require us to conduct additional preclinical studies or clinical trials with respect to these programs or our other product candidates that could result in delays in our development or commercialization programs of our product candidates, if approved, and additional expenses and otherwise could adversely affect our business.</w:t>
      </w:r>
    </w:p>
    <w:p>
      <w:pPr>
        <w:spacing w:after="0" w:line="5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intend to transition towards implementing our commercial-scale plato platform, including heightened vector efficiency, our closed, automated manufacturing system and utilization of a TDM conditioning regimen, in connection with each of our investigational product candidates. We are developing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including for AVR-RD-01, where the ongoing investigator-sponsored clinical trial does not use the plato platform, a portion of our Company-sponsored clinical trial for AVR-RD-01, and for AVR-RD-04 where the planned investigator-sponsored clinical trial will not utilize the plato platform. For example, while we are currently utilizing the LV1 version of the lentiviral vector in the ongoing Phase 1 and Phase 2 clinical trials of AVR-RD-01, we plan to transition our AVR-RD-01 lentiviral vectors to an LV2 version. While LV2 is intended to confer improvements in transduction efficiency in viral production, there is no guarantee that we can realize these intended benefits.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planned Phase 2 clinical study of AVR-RD-01 for Fabry disease in the United States, which was cleared by the FDA in April 2019, included data to demonstrate comparability between LV1 and LV2 and a transition to an automated manufacturing platform, which are elements of our plato platform. In addition, our CTA (including amendments) for our planned Phase 1/2 clinical study of AVR-RD-02 for Gaucher disease in Canada, for which Health Canada has issued no objection letters, included data utilizing LV2 and our automated manufacturing platform. Nevertheless, there can be no assurance that the FDA, Health Canada or other regulatory agencies will not in the future require us to conduct additional preclinical studies or clinical trials with respect to these programs or our other product candidates, which may result in delay, suspension or termination of ongoing or future clinical trials.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39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1" w:name="page42"/>
    <w:bookmarkEnd w:id="41"/>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3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ongoing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If we request orphan drug designation (or the foreign equivalent) for AVR-RD-01 or any of our other product candidates, there can be no assurances that the FDA or foreign regulatory authorities will grant any of our product candidates such designation. In December 2018, the FDA granted our request for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2" w:name="page43"/>
    <w:bookmarkEnd w:id="4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orphan drug designation for AVR-RD-01 for the treatment of Fabry disease. To date, we have not requested orphan drug designation (or the foreign equivalent) for any other product candidates.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4" w:lineRule="exact"/>
        <w:rPr>
          <w:sz w:val="20"/>
          <w:szCs w:val="20"/>
          <w:color w:val="auto"/>
        </w:rPr>
      </w:pPr>
    </w:p>
    <w:p>
      <w:pPr>
        <w:ind w:left="860" w:right="400" w:hanging="316"/>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auto"/>
        </w:rPr>
      </w:pPr>
    </w:p>
    <w:p>
      <w:pPr>
        <w:ind w:left="860" w:right="760" w:hanging="316"/>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75" w:lineRule="exact"/>
        <w:rPr>
          <w:rFonts w:ascii="Arial" w:cs="Arial" w:eastAsia="Arial" w:hAnsi="Arial"/>
          <w:sz w:val="18"/>
          <w:szCs w:val="18"/>
          <w:color w:val="auto"/>
        </w:rPr>
      </w:pPr>
    </w:p>
    <w:p>
      <w:pPr>
        <w:ind w:left="860" w:right="160" w:hanging="316"/>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31" w:lineRule="exact"/>
        <w:rPr>
          <w:sz w:val="20"/>
          <w:szCs w:val="20"/>
          <w:color w:val="auto"/>
        </w:rPr>
      </w:pPr>
    </w:p>
    <w:p>
      <w:pPr>
        <w:ind w:left="860" w:hanging="31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5420" w:right="3700" w:hanging="4876"/>
        <w:spacing w:after="0" w:line="449" w:lineRule="auto"/>
        <w:tabs>
          <w:tab w:leader="none" w:pos="8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 38</w:t>
      </w:r>
    </w:p>
    <w:p>
      <w:pPr>
        <w:sectPr>
          <w:pgSz w:w="11900" w:h="16838" w:orient="portrait"/>
          <w:cols w:equalWidth="0" w:num="1">
            <w:col w:w="11020"/>
          </w:cols>
          <w:pgMar w:left="440" w:top="274" w:right="439" w:bottom="1440" w:gutter="0" w:footer="0" w:header="0"/>
        </w:sectPr>
      </w:pPr>
    </w:p>
    <w:bookmarkStart w:id="43" w:name="page44"/>
    <w:bookmarkEnd w:id="43"/>
    <w:p>
      <w:pPr>
        <w:ind w:left="860" w:hanging="31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suspend or withdraw regulatory approval;</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860" w:right="40" w:hanging="316"/>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 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6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anticipate competing with the largest pharmaceutical companies in the world. For example, Sanofi Genzyme and Shire, acquired by Takeda Pharmaceutical Company Ltd., market the enzyme replacement therapies, or ERTs, that represent the standard of care for Fabry patients. Recently, Amicus has secured regulatory approval in the United States and Europe for its oral therapy for Fabry disease. For Gaucher disease, we expect to compete with existing enzyme replacement therapies marketed by Sanofi Genzyme, Shire, Protalix and Pfizer, as well as oral therapies marketed by Actelion and Sanofi. Sanofi also markets an enzyme replacement therapy for Pompe disease. Cystinosis is currently treated by therapies marketed by Horizon Orphan, Mylan and Sigma Tau Pharmaceuticals. In addition, we may compete with other gene therapy companies in our industry such as bluebird bio and Spark Therapeutics (which on February 25, 2019 announced that it had entered into an agreement to be acquired by Roche in a transaction expected to close in the second quarter of 2019). In particular, a number of gene therapy companies have announced preclinical or clinical adeno-associated virus, or AAV, based gene therapy programs that, if such programs are successful in obtaining regulatory approval, could compete with our gene therapies. These include companies such as Abeona, Amicus, Freeline, Sangamo and uniQure which have announced gene therapy programs for Fabry disease; Freeline and Prevail which have announced gene therapy programs for Gaucher disease; and Abeona, Actus, Amicus, Audentes, Sarepta and Spark Therapeutics which have announced gene therapy programs for Pompe disease.</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44" w:name="page45"/>
    <w:bookmarkEnd w:id="44"/>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part of our growth strategy, we intend to identify, develop and market additional product candidates beyond our existing product candidates for Fabry disease, Gaucher disease, cystinosis and Pompe disease.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AVR-RD-01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For example, although we have evaluated AVR-RD-02, AVR-RD-03 and AVR-RD-04 in preclinical studies and have evaluated AVR-RD-01 in ongoing Phase 1 and Phase 2 clinical trials, we have not yet advanced AVR-RD-02, AVR-RD-03 and AVR-RD-04 into clinical trials, nor have we obtained regulatory approval to sell any product based on our therapeutic approaches. Accordingly, our focus on treating these diseases may not result in the development of commercially viable products.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are moving our cell processing to an automated, closed system with a single third-party supplier.</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Reliance on third-party manufacturers entails risks to which we would not be subject if we manufactured the product candidates ourselves, including:</w:t>
      </w:r>
    </w:p>
    <w:p>
      <w:pPr>
        <w:spacing w:after="0" w:line="154" w:lineRule="exact"/>
        <w:rPr>
          <w:sz w:val="20"/>
          <w:szCs w:val="20"/>
          <w:color w:val="auto"/>
        </w:rPr>
      </w:pPr>
    </w:p>
    <w:p>
      <w:pPr>
        <w:ind w:left="860" w:hanging="316"/>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42" w:lineRule="exact"/>
        <w:rPr>
          <w:rFonts w:ascii="Arial" w:cs="Arial" w:eastAsia="Arial" w:hAnsi="Arial"/>
          <w:sz w:val="17"/>
          <w:szCs w:val="17"/>
          <w:color w:val="auto"/>
        </w:rPr>
      </w:pPr>
    </w:p>
    <w:p>
      <w:pPr>
        <w:ind w:left="860" w:right="420" w:hanging="316"/>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dependent on a limited number of suppliers for some of our components and materials used in our product candidates.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 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76" w:lineRule="exact"/>
        <w:rPr>
          <w:sz w:val="20"/>
          <w:szCs w:val="20"/>
          <w:color w:val="auto"/>
        </w:rPr>
      </w:pPr>
    </w:p>
    <w:p>
      <w:pPr>
        <w:ind w:left="860" w:hanging="31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production delays related to the evaluation and testing of products from alternative suppliers, and corresponding regulatory qualifications;</w:t>
      </w:r>
    </w:p>
    <w:p>
      <w:pPr>
        <w:spacing w:after="0" w:line="153" w:lineRule="exact"/>
        <w:rPr>
          <w:rFonts w:ascii="Arial" w:cs="Arial" w:eastAsia="Arial" w:hAnsi="Arial"/>
          <w:sz w:val="16"/>
          <w:szCs w:val="16"/>
          <w:color w:val="auto"/>
        </w:rPr>
      </w:pPr>
    </w:p>
    <w:p>
      <w:pPr>
        <w:ind w:left="860" w:hanging="31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30" w:lineRule="exact"/>
        <w:rPr>
          <w:rFonts w:ascii="Arial" w:cs="Arial" w:eastAsia="Arial" w:hAnsi="Arial"/>
          <w:sz w:val="18"/>
          <w:szCs w:val="18"/>
          <w:color w:val="auto"/>
        </w:rPr>
      </w:pPr>
    </w:p>
    <w:p>
      <w:pPr>
        <w:ind w:left="860" w:right="160" w:hanging="316"/>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 based upon defects in components produced by our suppliers; and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47" w:name="page48"/>
    <w:bookmarkEnd w:id="4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AVR-RD-01 and our other product candidates, we will be unable to generate any product revenue.</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focus our research and product development on treatments for serious lysosomal storage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3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94" w:lineRule="exact"/>
        <w:rPr>
          <w:sz w:val="20"/>
          <w:szCs w:val="20"/>
          <w:color w:val="auto"/>
        </w:rPr>
      </w:pPr>
    </w:p>
    <w:p>
      <w:pPr>
        <w:ind w:left="860" w:hanging="316"/>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30" w:lineRule="exact"/>
        <w:rPr>
          <w:rFonts w:ascii="Arial" w:cs="Arial" w:eastAsia="Arial" w:hAnsi="Arial"/>
          <w:sz w:val="18"/>
          <w:szCs w:val="18"/>
          <w:color w:val="auto"/>
        </w:rPr>
      </w:pPr>
    </w:p>
    <w:p>
      <w:pPr>
        <w:ind w:left="860" w:right="260" w:hanging="316"/>
        <w:spacing w:after="0" w:line="277"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adverse events or side effects, including any limitations or warnings contained in a product’s approved labeling;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48" w:name="page49"/>
    <w:bookmarkEnd w:id="48"/>
    <w:p>
      <w:pPr>
        <w:ind w:left="860" w:hanging="316"/>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prevalence and severity of any side effects resulting from the conditioning regimen for the administration of our product candidates;</w:t>
      </w:r>
    </w:p>
    <w:p>
      <w:pPr>
        <w:spacing w:after="0" w:line="153" w:lineRule="exact"/>
        <w:rPr>
          <w:rFonts w:ascii="Arial" w:cs="Arial" w:eastAsia="Arial" w:hAnsi="Arial"/>
          <w:sz w:val="16"/>
          <w:szCs w:val="16"/>
          <w:color w:val="auto"/>
        </w:rPr>
      </w:pPr>
    </w:p>
    <w:p>
      <w:pPr>
        <w:ind w:left="860" w:hanging="316"/>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5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17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currently plan to conduct clinical trials for our product candidates outside of the United States, including in Canada, Australia,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92" w:lineRule="exact"/>
        <w:rPr>
          <w:sz w:val="20"/>
          <w:szCs w:val="20"/>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860" w:right="240" w:hanging="316"/>
        <w:spacing w:after="0" w:line="27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860" w:right="20" w:hanging="316"/>
        <w:spacing w:after="0" w:line="27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49" w:name="page50"/>
    <w:bookmarkEnd w:id="49"/>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6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83" w:lineRule="exact"/>
        <w:rPr>
          <w:sz w:val="20"/>
          <w:szCs w:val="20"/>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0" w:name="page51"/>
    <w:bookmarkEnd w:id="50"/>
    <w:p>
      <w:pPr>
        <w:ind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17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1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2010, the Patient Protection and Affordable Care Act or ACA or PPACA, as amended by the Health Care and Education Reconciliation Act of 2010, or the ACA, was enacted, which, substantially changes the way healthcare is financed by both governmental and private insurers, and significantly impacts the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51" w:name="page52"/>
    <w:bookmarkEnd w:id="51"/>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pharmaceutical industry. The 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increases the minimum Medicaid rebates owed by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creates a new Medicare Part D coverage gap discount program, in which manufacturers must agree to offer 70% (as of 2019) point-of-sale discounts off negotiated prices of applicable brand drugs to eligible beneficiaries during their coverage gap period, as a condition for the manufacturer’s outpatient drugs to be covered under Medicare Part D, and provides incentives to programs that increase the federal government’s comparative effectiveness research.</w:t>
      </w:r>
    </w:p>
    <w:p>
      <w:pPr>
        <w:spacing w:after="0" w:line="182"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Since January 2017, the Trump administration has signed two Executive Orders designed to delay the implementation of certain provisions of the ACA or otherwise circumvent some of the requirements for health insurance mandated by the ACA.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more than</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$12 billion in ACA risk corridor payments asserted to be owed to third-party payors. The effects of this gap in reimbursement on third-party payors, providers, the viability of the ACA marketplace and potentially our business, are not yet known.</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Since its enactment, some of the provisions of the ACA have yet to be fully implemented, while certain provisions have been subject to judicial, congressional, or executive challenges. As a result, there have been delays in the implementation of, and action taken to repeal or replace, certain aspects of the ACA. The U.S. Supreme Court has upheld certain key aspects of the legislation, including a tax-based shared responsibility payment imposed on certain individuals who fail to maintain qualifying health coverage for all or part of a year or pay a penalty, which is commonly known as the “individual mandate.” However, as a result of tax reform legislation passed in December 2017, the Tax Cuts and Jobs Act of 2017, or TCJA, the individual mandate has been eliminated effective January 1, 2019. On December 14, 2018, a U.S. District Court Judge in the Northern District of Texas, or the Texas District Court Judge, ruled that the individual mandate is a critical and inseverable feature of the Affordable Care Act, and therefore, because it was repealed as part of the Tax Cuts and Jobs Act of 2017, the remaining provisions of the Affordable Care Act are invalid as well. While the Trump Administration and CMS have both stated that the ruling will have no immediate effect, and on December 30, 2018 the Texas District Court Judge issued an order staying the judgment pending appeal, it is unclear how this decision, subsequent appeals and other efforts to repeal and replace the Affordable Care Act will impact the Affordable Care Act and our business.</w:t>
      </w:r>
    </w:p>
    <w:p>
      <w:pPr>
        <w:spacing w:after="0" w:line="18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5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Congress also could consider subsequent legislation to replace elements of the ACA that are repealed. Thus, the full impact of the ACA, any law replacing elements of it, and the political uncertainty surrounding any repeal or replacement legislation on our business remains unclear.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7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52" w:name="page53"/>
    <w:bookmarkEnd w:id="5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The current presidential administration’s Blueprint contains certain measures that the U.S. Department of Health and Human Services, or HHS, is already working to implement.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Finally, on October 25, 2018, CMS issued an Advanced Notice of Proposed Rulemaking, or ANPRM, indicating it is considering issuing a proposed rule in the spring of 2019 on a model called the International Pricing Index, or IPI. This model would utilize a basket of other countries’ prices as a reference for the Medicare program to use in reimbursing for drugs covered under Part B. The ANPRM also included an updated version of the Competitive Acquisition Program, or CAP, as an alternative to current “buy and bill” payment methods for Part B drugs.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4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2" w:lineRule="exact"/>
        <w:rPr>
          <w:sz w:val="20"/>
          <w:szCs w:val="20"/>
          <w:color w:val="auto"/>
        </w:rPr>
      </w:pPr>
    </w:p>
    <w:p>
      <w:pPr>
        <w:ind w:left="860" w:hanging="316"/>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5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53" w:name="page54"/>
    <w:bookmarkEnd w:id="53"/>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181"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0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8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26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13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26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highly dependent on principal members of our executive team and key employees, including our Chief Executive Officer, Chief Financial Officer, President of Research and Development, Head of Operations, Chief Science Officer, Chief Business Officer, and General Counsel,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will need to expand our operations and we may experience difficulties in managing this growth, which could disrupt our operations.</w:t>
      </w:r>
    </w:p>
    <w:p>
      <w:pPr>
        <w:spacing w:after="0" w:line="2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March 31, 2019, we had 58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certain U.S. and foreign anti-corruption, anti-money laundering, export control, sanctions, and other trade laws and regulations.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 face serious consequences for violations.</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United States Foreign Corrupt Practices Act’s accounting provisions.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55" w:name="page56"/>
    <w:bookmarkEnd w:id="55"/>
    <w:p>
      <w:pPr>
        <w:jc w:val="both"/>
        <w:ind w:right="400"/>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99" w:lineRule="exact"/>
        <w:rPr>
          <w:sz w:val="20"/>
          <w:szCs w:val="20"/>
          <w:color w:val="auto"/>
        </w:rPr>
      </w:pPr>
    </w:p>
    <w:p>
      <w:pPr>
        <w:ind w:left="860" w:right="20" w:hanging="316"/>
        <w:spacing w:after="0" w:line="270"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87" w:lineRule="exact"/>
        <w:rPr>
          <w:rFonts w:ascii="Arial" w:cs="Arial" w:eastAsia="Arial" w:hAnsi="Arial"/>
          <w:sz w:val="17"/>
          <w:szCs w:val="17"/>
          <w:color w:val="auto"/>
        </w:rPr>
      </w:pPr>
    </w:p>
    <w:p>
      <w:pPr>
        <w:ind w:left="860" w:right="80" w:hanging="316"/>
        <w:spacing w:after="0" w:line="271"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84" w:lineRule="exact"/>
        <w:rPr>
          <w:rFonts w:ascii="Arial" w:cs="Arial" w:eastAsia="Arial" w:hAnsi="Arial"/>
          <w:sz w:val="17"/>
          <w:szCs w:val="17"/>
          <w:color w:val="auto"/>
        </w:rPr>
      </w:pPr>
    </w:p>
    <w:p>
      <w:pPr>
        <w:ind w:left="860" w:right="160" w:hanging="316"/>
        <w:spacing w:after="0" w:line="259"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92" w:lineRule="exact"/>
        <w:rPr>
          <w:rFonts w:ascii="Arial" w:cs="Arial" w:eastAsia="Arial" w:hAnsi="Arial"/>
          <w:sz w:val="18"/>
          <w:szCs w:val="18"/>
          <w:color w:val="auto"/>
        </w:rPr>
      </w:pPr>
    </w:p>
    <w:p>
      <w:pPr>
        <w:ind w:left="860" w:hanging="316"/>
        <w:spacing w:after="0" w:line="291"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860" w:right="140" w:hanging="316"/>
        <w:spacing w:after="0" w:line="302"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860" w:right="160" w:hanging="316"/>
        <w:spacing w:after="0" w:line="255"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860" w:right="100" w:hanging="316"/>
        <w:spacing w:after="0" w:line="27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56" w:name="page57"/>
    <w:bookmarkEnd w:id="56"/>
    <w:p>
      <w:pPr>
        <w:ind w:left="860" w:right="160" w:hanging="316"/>
        <w:spacing w:after="0" w:line="277"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consumer protection and unfair competition laws, which broadly regulate marketplace activities and activities that potentially harm consumers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19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57" w:name="page58"/>
    <w:bookmarkEnd w:id="57"/>
    <w:p>
      <w:pPr>
        <w:ind w:right="6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4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2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event we decide to conduct clinical trials in the European Union, or EU, we may be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178" w:lineRule="exact"/>
        <w:rPr>
          <w:sz w:val="20"/>
          <w:szCs w:val="20"/>
          <w:color w:val="auto"/>
        </w:rPr>
      </w:pPr>
    </w:p>
    <w:p>
      <w:pPr>
        <w:jc w:val="both"/>
        <w:ind w:right="320"/>
        <w:spacing w:after="0" w:line="340"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13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94" w:lineRule="exact"/>
        <w:rPr>
          <w:sz w:val="20"/>
          <w:szCs w:val="20"/>
          <w:color w:val="auto"/>
        </w:rPr>
      </w:pPr>
    </w:p>
    <w:p>
      <w:pPr>
        <w:ind w:left="860" w:hanging="316"/>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carry master product liability insurance of $5.0 million per occurrence and USD $5.0 million in the aggregate in the United States. For Canada, we carry product liability insurance of CAD $5.0 million per occurrence and $10.0 million in the aggregate. For Australia, we carry product liability insurance of AUD $20.0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58" w:name="page59"/>
    <w:bookmarkEnd w:id="5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59" w:name="page60"/>
    <w:bookmarkEnd w:id="59"/>
    <w:p>
      <w:pPr>
        <w:ind w:right="18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internal computer systems, or those of our collaborators or other contractors or consultants, may fail or suffer security breaches, which could result in a material disruption of our product development programs.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are implementing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December 22, 2017, President Trump signed into law the TCJA that significantly reforms the Internal Revenue Code of 1986, as amended, or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might not be able to utilize a significant portion of our net operating loss carryforwards and research and development tax credit carryforwards.</w:t>
      </w:r>
    </w:p>
    <w:p>
      <w:pPr>
        <w:spacing w:after="0" w:line="260"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As of December 31, 2018, we had federal and state net operating loss carryforwards of $57.3 million and $54.2 million, respectively, and federal and state research and development tax credit carryforwards of approximately $0.3 million and $0.1 million, respectively. If not utilized, the net operating loss carryforwards and research and development credits will generally expire at various dates through 2037.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Under the TCJA, net operating losses generated after December 31, 2017 will not be subject to expiration.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60" w:name="page61"/>
    <w:bookmarkEnd w:id="60"/>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rights to develop and commercialize our product candidates are subject, in part, to the terms and conditions of licenses granted to us by others.</w:t>
      </w:r>
    </w:p>
    <w:p>
      <w:pPr>
        <w:spacing w:after="0" w:line="26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1" w:name="page62"/>
    <w:bookmarkEnd w:id="6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178"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62" w:name="page63"/>
    <w:bookmarkEnd w:id="6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6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4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63" w:name="page64"/>
    <w:bookmarkEnd w:id="63"/>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 that we own or license.</w:t>
      </w:r>
    </w:p>
    <w:p>
      <w:pPr>
        <w:spacing w:after="0" w:line="24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248"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4" w:right="439" w:bottom="1440" w:gutter="0" w:footer="0" w:header="0"/>
        </w:sectPr>
      </w:pPr>
    </w:p>
    <w:bookmarkStart w:id="64" w:name="page65"/>
    <w:bookmarkEnd w:id="64"/>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7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47"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5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23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74" w:right="439" w:bottom="1440" w:gutter="0" w:footer="0" w:header="0"/>
        </w:sectPr>
      </w:pPr>
    </w:p>
    <w:bookmarkStart w:id="65" w:name="page66"/>
    <w:bookmarkEnd w:id="65"/>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a pending trademark application with the USPTO for the mark “plato” but do not have trademarks or trademark applications with the USPTO for the marks “AVROBIO”,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860" w:right="320" w:hanging="316"/>
        <w:spacing w:after="0" w:line="277"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75" w:lineRule="exact"/>
        <w:rPr>
          <w:rFonts w:ascii="Arial" w:cs="Arial" w:eastAsia="Arial" w:hAnsi="Arial"/>
          <w:sz w:val="18"/>
          <w:szCs w:val="18"/>
          <w:color w:val="auto"/>
        </w:rPr>
      </w:pPr>
    </w:p>
    <w:p>
      <w:pPr>
        <w:ind w:left="860" w:right="20" w:hanging="316"/>
        <w:spacing w:after="0" w:line="277"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75" w:lineRule="exact"/>
        <w:rPr>
          <w:rFonts w:ascii="Arial" w:cs="Arial" w:eastAsia="Arial" w:hAnsi="Arial"/>
          <w:sz w:val="18"/>
          <w:szCs w:val="18"/>
          <w:color w:val="auto"/>
        </w:rPr>
      </w:pPr>
    </w:p>
    <w:p>
      <w:pPr>
        <w:ind w:left="860" w:right="120" w:hanging="316"/>
        <w:spacing w:after="0" w:line="277"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860" w:right="160" w:hanging="316"/>
        <w:spacing w:after="0" w:line="277"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53" w:lineRule="exact"/>
        <w:rPr>
          <w:rFonts w:ascii="Arial" w:cs="Arial" w:eastAsia="Arial" w:hAnsi="Arial"/>
          <w:sz w:val="16"/>
          <w:szCs w:val="16"/>
          <w:color w:val="auto"/>
        </w:rPr>
      </w:pPr>
    </w:p>
    <w:p>
      <w:pPr>
        <w:ind w:left="860" w:right="220" w:hanging="316"/>
        <w:spacing w:after="0" w:line="277"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w:t>
      </w:r>
    </w:p>
    <w:p>
      <w:pPr>
        <w:spacing w:after="0" w:line="23" w:lineRule="exact"/>
        <w:rPr>
          <w:rFonts w:ascii="Arial" w:cs="Arial" w:eastAsia="Arial" w:hAnsi="Arial"/>
          <w:sz w:val="18"/>
          <w:szCs w:val="18"/>
          <w:color w:val="auto"/>
        </w:rPr>
      </w:pPr>
    </w:p>
    <w:p>
      <w:pPr>
        <w:ind w:left="880" w:right="320"/>
        <w:spacing w:after="0" w:line="261" w:lineRule="auto"/>
        <w:rPr>
          <w:rFonts w:ascii="Arial" w:cs="Arial" w:eastAsia="Arial" w:hAnsi="Arial"/>
          <w:sz w:val="18"/>
          <w:szCs w:val="18"/>
          <w:color w:val="auto"/>
        </w:rPr>
      </w:pPr>
      <w:r>
        <w:rPr>
          <w:rFonts w:ascii="Arial" w:cs="Arial" w:eastAsia="Arial" w:hAnsi="Arial"/>
          <w:sz w:val="18"/>
          <w:szCs w:val="18"/>
          <w:color w:val="auto"/>
        </w:rPr>
        <w:t>patent rights and then use the information learned from such activities to develop competitive products for sale in our major commercial markets;</w:t>
      </w:r>
    </w:p>
    <w:p>
      <w:pPr>
        <w:spacing w:after="0" w:line="89" w:lineRule="exact"/>
        <w:rPr>
          <w:rFonts w:ascii="Arial" w:cs="Arial" w:eastAsia="Arial" w:hAnsi="Arial"/>
          <w:sz w:val="18"/>
          <w:szCs w:val="18"/>
          <w:color w:val="auto"/>
        </w:rPr>
      </w:pPr>
    </w:p>
    <w:p>
      <w:pPr>
        <w:ind w:left="860" w:hanging="316"/>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860" w:right="580" w:hanging="316"/>
        <w:spacing w:after="0" w:line="277"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related to ownership of our common stock</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stock price is likely to be volatile. Since our IPO in June 2018, the trading price of our common stock has ranged from $12.46 to $52.70.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77" w:lineRule="exact"/>
        <w:rPr>
          <w:sz w:val="20"/>
          <w:szCs w:val="20"/>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860" w:right="140" w:hanging="316"/>
        <w:spacing w:after="0" w:line="277"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860" w:right="60" w:hanging="316"/>
        <w:spacing w:after="0" w:line="277"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319"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20"/>
          </w:cols>
          <w:pgMar w:left="440" w:top="270" w:right="5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active trading market for our common stock may not be sustained.</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Prior to our initial public offering in June 2018, or our IPO,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Based on shares outstanding as of March 31, 2019, our executive officers, directors, five percent stockholders and their affiliates beneficially owned approximately 56% of our voting stock.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w:t>
      </w:r>
    </w:p>
    <w:p>
      <w:pPr>
        <w:ind w:firstLine="4"/>
        <w:spacing w:after="0" w:line="254" w:lineRule="auto"/>
        <w:tabs>
          <w:tab w:leader="none" w:pos="3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95" w:lineRule="exact"/>
        <w:rPr>
          <w:rFonts w:ascii="Arial" w:cs="Arial" w:eastAsia="Arial" w:hAnsi="Arial"/>
          <w:sz w:val="18"/>
          <w:szCs w:val="18"/>
          <w:color w:val="auto"/>
        </w:rPr>
      </w:pPr>
    </w:p>
    <w:p>
      <w:pPr>
        <w:ind w:left="860" w:hanging="316"/>
        <w:spacing w:after="0"/>
        <w:tabs>
          <w:tab w:leader="none" w:pos="8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860" w:right="380" w:hanging="316"/>
        <w:spacing w:after="0" w:line="264"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860" w:right="40" w:hanging="316"/>
        <w:spacing w:after="0" w:line="342" w:lineRule="auto"/>
        <w:tabs>
          <w:tab w:leader="none" w:pos="8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860" w:hanging="316"/>
        <w:spacing w:after="0"/>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68" w:name="page69"/>
    <w:bookmarkEnd w:id="6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choose to take advantage of some, but not all, of the available exemptions. We have taken advantage of reduced reporting burdens in this report. In particular, we have not included in our Form 10-K for the year ended December 31, 2018 or in our 2019 annual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and maintain director and officer liability insurance.</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 We are required to disclose changes made in our internal controls and procedures on a quarterly basis and our management will be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69" w:name="page70"/>
    <w:bookmarkEnd w:id="6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We and our independent registered public accounting firm have identified material weaknesses in our internal control over financial reporting. While we have taken numerous steps to address these material weaknesses and believe we have made progress toward remediating them,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7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2018, we began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 Although progress has been made to strengthen our controls, as of December 31, 2018, management and our independent registered public accounting firm have concluded that the material weaknesses remain unremediated. In addition, in February 2019, one of our vendors was subject to a cyberattack by a third party, which resulted in the payment by us of a fraudulent invoice.</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in connection with the audit of our consolidated financial statements for the year ended December 31, 2018, we and our independent registered public accounting firm identified a further material weakness in our internal control over financial reporting related to deficiencies in our controls over the financial statement close process. Specifically, there was a lack of controls over the accounting for accrued research and development expenses.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expect to incur additional costs to remediate these control deficiencies, though there can be no assurance that our efforts will be successful or avoid potential future material weaknesses. Management remains committed to the implementation of remediation efforts to address these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0" w:name="page71"/>
    <w:bookmarkEnd w:id="70"/>
    <w:p>
      <w:pPr>
        <w:ind w:right="14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significant portion of our total outstanding shares are restricted from immediate resale but may be sold into the market in the near future, which could cause the market price of our common stock to drop significantly.</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May 1, 2019, holders of an aggregate of approximately 4.8 million shares of our common stock will have rights, subject to certain conditions, to require us to file registration statements covering their shares or to include their shares in registration statements that we may file for ourselves or other stockholders. In addition, 2,986,048 shares reserved for issuance upon the exercise of existing stock options outstanding as of March 31, 2019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87" w:lineRule="exact"/>
        <w:rPr>
          <w:sz w:val="20"/>
          <w:szCs w:val="20"/>
          <w:color w:val="auto"/>
        </w:rPr>
      </w:pPr>
    </w:p>
    <w:p>
      <w:pPr>
        <w:ind w:left="860" w:right="380" w:hanging="316"/>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30" w:lineRule="exact"/>
        <w:rPr>
          <w:rFonts w:ascii="Arial" w:cs="Arial" w:eastAsia="Arial" w:hAnsi="Arial"/>
          <w:sz w:val="18"/>
          <w:szCs w:val="18"/>
          <w:color w:val="auto"/>
        </w:rPr>
      </w:pPr>
    </w:p>
    <w:p>
      <w:pPr>
        <w:ind w:left="860" w:right="120" w:hanging="316"/>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30" w:lineRule="exact"/>
        <w:rPr>
          <w:rFonts w:ascii="Arial" w:cs="Arial" w:eastAsia="Arial" w:hAnsi="Arial"/>
          <w:sz w:val="18"/>
          <w:szCs w:val="18"/>
          <w:color w:val="auto"/>
        </w:rPr>
      </w:pPr>
    </w:p>
    <w:p>
      <w:pPr>
        <w:ind w:left="860" w:right="460" w:hanging="316"/>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53" w:lineRule="exact"/>
        <w:rPr>
          <w:rFonts w:ascii="Arial" w:cs="Arial" w:eastAsia="Arial" w:hAnsi="Arial"/>
          <w:sz w:val="16"/>
          <w:szCs w:val="16"/>
          <w:color w:val="auto"/>
        </w:rPr>
      </w:pPr>
    </w:p>
    <w:p>
      <w:pPr>
        <w:ind w:left="860" w:hanging="316"/>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30" w:lineRule="exact"/>
        <w:rPr>
          <w:rFonts w:ascii="Arial" w:cs="Arial" w:eastAsia="Arial" w:hAnsi="Arial"/>
          <w:sz w:val="18"/>
          <w:szCs w:val="18"/>
          <w:color w:val="auto"/>
        </w:rPr>
      </w:pPr>
    </w:p>
    <w:p>
      <w:pPr>
        <w:jc w:val="both"/>
        <w:ind w:left="860" w:right="220" w:hanging="316"/>
        <w:spacing w:after="0" w:line="264"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71" w:name="page72"/>
    <w:bookmarkEnd w:id="71"/>
    <w:p>
      <w:pPr>
        <w:ind w:right="340"/>
        <w:spacing w:after="0" w:line="308"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amended and restated bylaws limit the exclusive forum for certain litigation that may be initiated by our stockholders, which could limit our stockholders’ ability to obtain a favorable judicial forum for disputes with us or our directors, officers or employees.</w:t>
      </w:r>
    </w:p>
    <w:p>
      <w:pPr>
        <w:spacing w:after="0" w:line="14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amended and restated bylaws provide that the Court of Chancery of the State of Delaware is the exclusive forum for (i) any derivative action or proceeding brought on our behalf, (ii) any action asserting a claim of breach of or based on a fiduciary duty owed by any of our current or former directors, officers or other employee to us or our stockholders, (iii) any action asserting a claim against us or any of our current or former directors, officers, employees or stockholders arising pursuant to any provision of the Delaware General Corporation Law, our certificate of incorporation or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an adverse effect on our business, financial condition or results of operations. In addition, our amended and restated bylaws contain a provision by virtue of which unless we consent in writing to the selection of an alternative forum, the United States District Court for the District of Massachusetts will be the exclusive forum for any complaint asserting a cause of action arising under the Securities Act. We have chosen the United States Court for the District of Massachusetts as the exclusive forum for such causes of action because our principal executive offices are located in Cambridge, Massachusetts.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We recognize that the federal district court forum selection clause may impose additional litigation costs on stockholders who assert the provision is not enforceable and may impose more general additional litigation costs in pursuing any such claims, particularly if the stockholders do not reside in or near the Commonwealth of Massachusetts. In addition, some companies that have adopted similar federal district court forum selection provisions are currently subject to a suit in the Court of Chancery of the State of Delaware brought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On January 17, 2019, the decision was appealed to the Delaware Supreme Court. While the Delaware Supreme Court recently dismissed the appeal on jurisdictional grounds, we expect that the appeal will be re-filed after the Court of Chancery issues a final judgment. Unless and until the Court of Chancery’s decision is reversed by the Delaware 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amended and restated bylaws to remove our federal forum selection bylaw provision. As a result of the Court of Chancery’s decision or a decision by the Supreme Court of Delaware affirming the Court of Chancery’s decision, we may incur additional costs associated with our federal forum selection bylaw provision, which could have an adverse effect on our business, financial condition and results of operations.</w:t>
      </w:r>
    </w:p>
    <w:p>
      <w:pPr>
        <w:spacing w:after="0" w:line="200" w:lineRule="exact"/>
        <w:rPr>
          <w:sz w:val="20"/>
          <w:szCs w:val="20"/>
          <w:color w:val="auto"/>
        </w:rPr>
      </w:pP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June 25, 2018, we completed our initial public offering of 6,035,151 shares of our common stock at a price of $19.00 per share for an aggregate offering price of approximately $114.7 million, including the full exercise of the underwriters’ option to purchase additional shares. Morgan Stanley &amp; Co. LLC, Cowen and Company, LLC, Wells Fargo Securities, LLC and Wedbush Securities Inc. served as the underwriters of the IPO. The offer and sale of all of the shares in the offering were registered under the Securities Act pursuant to a registration statement on Form S-1 (File Nos. 333-225213 and 333-225764), which became effective on June 20, 2018.</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received aggregate net proceeds from the offering of approximately $104.0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March 31, 2019, we had used approximately $46.5 million of the net proceeds from the IPO, primarily to fund our current programs in Fabry disease, Gaucher disease, cystinosis, and Pompe disease; our external and internal manufacturing and process development activities related to our programs and to fund research and development activities that relate to all of our clinical and preclinical activities, including the cost of research and development personnel; and general and administrative expenses, working capital and other general corporate purposes. There has been no material change in our planned use of the net proceeds from the offering as described in the final prospectus filed with the SEC pursuant to Rule 424(b) under the Securities Act.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72" w:name="page73"/>
    <w:bookmarkEnd w:id="7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0180" w:type="dxa"/>
            <w:vAlign w:val="bottom"/>
            <w:gridSpan w:val="16"/>
          </w:tcPr>
          <w:p>
            <w:pPr>
              <w:ind w:left="14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80" w:type="dxa"/>
            <w:vAlign w:val="bottom"/>
            <w:gridSpan w:val="16"/>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8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40" w:type="dxa"/>
            <w:vAlign w:val="bottom"/>
            <w:gridSpan w:val="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46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00" w:type="dxa"/>
            <w:vAlign w:val="bottom"/>
            <w:gridSpan w:val="2"/>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20" w:type="dxa"/>
            <w:vAlign w:val="bottom"/>
            <w:gridSpan w:val="15"/>
          </w:tcPr>
          <w:p>
            <w:pPr>
              <w:spacing w:after="0"/>
              <w:rPr>
                <w:rFonts w:ascii="Arial" w:cs="Arial" w:eastAsia="Arial" w:hAnsi="Arial"/>
                <w:sz w:val="18"/>
                <w:szCs w:val="18"/>
                <w:color w:val="0000EE"/>
                <w:w w:val="93"/>
              </w:rPr>
            </w:pPr>
            <w:hyperlink r:id="rId88">
              <w:r>
                <w:rPr>
                  <w:rFonts w:ascii="Arial" w:cs="Arial" w:eastAsia="Arial" w:hAnsi="Arial"/>
                  <w:sz w:val="18"/>
                  <w:szCs w:val="18"/>
                  <w:color w:val="0000EE"/>
                  <w:w w:val="93"/>
                </w:rPr>
                <w:t>Fourth Amended and Restated Certificate of Incorporation of the Registrant (filed as Exhibit 3.1 to our Current Report on Form 8-K filed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on June 25, 2018 and incorporated herein by reference).</w:t>
              </w:r>
            </w:hyperlink>
          </w:p>
        </w:tc>
        <w:tc>
          <w:tcPr>
            <w:tcW w:w="5860" w:type="dxa"/>
            <w:vAlign w:val="bottom"/>
            <w:tcBorders>
              <w:top w:val="single" w:sz="8" w:color="0000EE"/>
            </w:tcBorders>
            <w:gridSpan w:val="8"/>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20" w:type="dxa"/>
            <w:vAlign w:val="bottom"/>
            <w:gridSpan w:val="15"/>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Amended and Restated By-laws (filed as Exhibit 3.2 to our Current Report on Form 8-K filed on June 25, 2018 and incorporated herein by</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89">
              <w:r>
                <w:rPr>
                  <w:rFonts w:ascii="Arial" w:cs="Arial" w:eastAsia="Arial" w:hAnsi="Arial"/>
                  <w:sz w:val="18"/>
                  <w:szCs w:val="18"/>
                  <w:color w:val="0000EE"/>
                  <w:w w:val="87"/>
                </w:rPr>
                <w:t>reference).</w:t>
              </w:r>
            </w:hyperlink>
          </w:p>
        </w:tc>
        <w:tc>
          <w:tcPr>
            <w:tcW w:w="922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20" w:type="dxa"/>
            <w:vAlign w:val="bottom"/>
            <w:gridSpan w:val="15"/>
          </w:tcPr>
          <w:p>
            <w:pPr>
              <w:spacing w:after="0"/>
              <w:rPr>
                <w:rFonts w:ascii="Arial" w:cs="Arial" w:eastAsia="Arial" w:hAnsi="Arial"/>
                <w:sz w:val="18"/>
                <w:szCs w:val="18"/>
                <w:color w:val="0000EE"/>
                <w:w w:val="93"/>
              </w:rPr>
            </w:pPr>
            <w:hyperlink r:id="rId90">
              <w:r>
                <w:rPr>
                  <w:rFonts w:ascii="Arial" w:cs="Arial" w:eastAsia="Arial" w:hAnsi="Arial"/>
                  <w:sz w:val="18"/>
                  <w:szCs w:val="18"/>
                  <w:color w:val="0000EE"/>
                  <w:w w:val="93"/>
                </w:rPr>
                <w:t>Separation Agreement and Release, by and between the Registrant and Katina Dorton, dated January 8, 2019 (filed as Exhibit 10.1 to</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5"/>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Amendment No. 1 the Current Report on Form 8-K filed on January 11, 2019 (File No. 001-38537) and incorporated herein by reference)</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20" w:type="dxa"/>
            <w:vAlign w:val="bottom"/>
            <w:tcBorders>
              <w:bottom w:val="single" w:sz="8" w:color="0000EE"/>
            </w:tcBorders>
            <w:gridSpan w:val="15"/>
          </w:tcPr>
          <w:p>
            <w:pP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Separation Agreement and Release, by and between the Registrant and Nerissa Kreher, M.D., dated January 10, 2019 (filed as Exhibit 10.2</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to Amendment No. 1 to the Current Report on Form 8-K filed on January 11, 2019 (File No. 001-38537) and incorporated herein by</w:t>
              </w:r>
            </w:hyperlink>
          </w:p>
        </w:tc>
        <w:tc>
          <w:tcPr>
            <w:tcW w:w="5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91">
              <w:r>
                <w:rPr>
                  <w:rFonts w:ascii="Arial" w:cs="Arial" w:eastAsia="Arial" w:hAnsi="Arial"/>
                  <w:sz w:val="18"/>
                  <w:szCs w:val="18"/>
                  <w:color w:val="0000EE"/>
                  <w:w w:val="87"/>
                </w:rPr>
                <w:t>reference)</w:t>
              </w:r>
            </w:hyperlink>
          </w:p>
        </w:tc>
        <w:tc>
          <w:tcPr>
            <w:tcW w:w="92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20" w:type="dxa"/>
            <w:vAlign w:val="bottom"/>
            <w:gridSpan w:val="15"/>
          </w:tcPr>
          <w:p>
            <w:pPr>
              <w:spacing w:after="0"/>
              <w:rPr>
                <w:rFonts w:ascii="Arial" w:cs="Arial" w:eastAsia="Arial" w:hAnsi="Arial"/>
                <w:sz w:val="18"/>
                <w:szCs w:val="18"/>
                <w:color w:val="0000EE"/>
                <w:w w:val="94"/>
              </w:rPr>
            </w:pPr>
            <w:hyperlink w:anchor="page75">
              <w:r>
                <w:rPr>
                  <w:rFonts w:ascii="Arial" w:cs="Arial" w:eastAsia="Arial" w:hAnsi="Arial"/>
                  <w:sz w:val="18"/>
                  <w:szCs w:val="18"/>
                  <w:color w:val="0000EE"/>
                  <w:w w:val="94"/>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Adopted Pursuant to Section 302 of the Sarbanes-Oxley Act of 2002.</w:t>
              </w:r>
            </w:hyperlink>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15"/>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345"/>
        </w:trPr>
        <w:tc>
          <w:tcPr>
            <w:tcW w:w="8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34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65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10020" w:type="dxa"/>
            <w:vAlign w:val="bottom"/>
            <w:gridSpan w:val="15"/>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10020" w:type="dxa"/>
            <w:vAlign w:val="bottom"/>
            <w:gridSpan w:val="15"/>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10020" w:type="dxa"/>
            <w:vAlign w:val="bottom"/>
            <w:gridSpan w:val="15"/>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10020" w:type="dxa"/>
            <w:vAlign w:val="bottom"/>
            <w:gridSpan w:val="15"/>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10020" w:type="dxa"/>
            <w:vAlign w:val="bottom"/>
            <w:gridSpan w:val="15"/>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Indicates the exhibit is being furnished, not filed, with this report.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0" w:right="439" w:bottom="1440" w:gutter="0" w:footer="0" w:header="0"/>
        </w:sectPr>
      </w:pPr>
    </w:p>
    <w:bookmarkStart w:id="73" w:name="page74"/>
    <w:bookmarkEnd w:id="73"/>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AVROBIO, INC.</w:t>
      </w:r>
    </w:p>
    <w:p>
      <w:pPr>
        <w:sectPr>
          <w:pgSz w:w="11900" w:h="16838" w:orient="portrait"/>
          <w:cols w:equalWidth="0" w:num="1">
            <w:col w:w="10540"/>
          </w:cols>
          <w:pgMar w:left="440" w:top="270" w:right="91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Date: May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Date: May 13, 2019</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14605</wp:posOffset>
            </wp:positionV>
            <wp:extent cx="31470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120"/>
        <w:spacing w:after="0" w:line="261" w:lineRule="auto"/>
        <w:rPr>
          <w:sz w:val="20"/>
          <w:szCs w:val="20"/>
          <w:color w:val="auto"/>
        </w:rPr>
      </w:pPr>
      <w:r>
        <w:rPr>
          <w:rFonts w:ascii="Arial" w:cs="Arial" w:eastAsia="Arial" w:hAnsi="Arial"/>
          <w:sz w:val="18"/>
          <w:szCs w:val="18"/>
          <w:b w:val="1"/>
          <w:bCs w:val="1"/>
          <w:color w:val="auto"/>
        </w:rPr>
        <w:t>President, Chief Executive Officer, and Principal Executive Officer</w:t>
      </w:r>
    </w:p>
    <w:p>
      <w:pPr>
        <w:spacing w:after="0" w:line="18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14605</wp:posOffset>
            </wp:positionV>
            <wp:extent cx="31470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Chief Financial Officer and Principal Financial and Accounting Officer</w:t>
      </w:r>
    </w:p>
    <w:p>
      <w:pPr>
        <w:sectPr>
          <w:pgSz w:w="11900" w:h="16838" w:orient="portrait"/>
          <w:cols w:equalWidth="0" w:num="3">
            <w:col w:w="4700" w:space="720"/>
            <w:col w:w="520" w:space="620"/>
            <w:col w:w="3980"/>
          </w:cols>
          <w:pgMar w:left="440" w:top="270" w:right="91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31" w:lineRule="exact"/>
        <w:rPr>
          <w:sz w:val="20"/>
          <w:szCs w:val="20"/>
          <w:color w:val="auto"/>
        </w:rPr>
      </w:pPr>
    </w:p>
    <w:p>
      <w:pPr>
        <w:ind w:left="440" w:hanging="436"/>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7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jc w:val="both"/>
        <w:ind w:left="860" w:right="100" w:hanging="424"/>
        <w:spacing w:after="0" w:line="264"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60" w:val="left"/>
          <w:tab w:leader="none" w:pos="7880" w:val="left"/>
        </w:tabs>
        <w:rPr>
          <w:sz w:val="20"/>
          <w:szCs w:val="20"/>
          <w:color w:val="auto"/>
        </w:rPr>
      </w:pPr>
      <w:r>
        <w:rPr>
          <w:rFonts w:ascii="Arial" w:cs="Arial" w:eastAsia="Arial" w:hAnsi="Arial"/>
          <w:sz w:val="18"/>
          <w:szCs w:val="18"/>
          <w:color w:val="auto"/>
        </w:rPr>
        <w:t>Date: May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Geoff MacKay</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020"/>
          </w:cols>
          <w:pgMar w:left="440" w:top="121" w:right="4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31" w:lineRule="exact"/>
        <w:rPr>
          <w:sz w:val="20"/>
          <w:szCs w:val="20"/>
          <w:color w:val="auto"/>
        </w:rPr>
      </w:pPr>
    </w:p>
    <w:p>
      <w:pPr>
        <w:ind w:left="440" w:hanging="436"/>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77"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jc w:val="both"/>
        <w:ind w:left="860" w:right="100" w:hanging="424"/>
        <w:spacing w:after="0" w:line="264"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60" w:val="left"/>
          <w:tab w:leader="none" w:pos="7880" w:val="left"/>
        </w:tabs>
        <w:rPr>
          <w:sz w:val="20"/>
          <w:szCs w:val="20"/>
          <w:color w:val="auto"/>
        </w:rPr>
      </w:pPr>
      <w:r>
        <w:rPr>
          <w:rFonts w:ascii="Arial" w:cs="Arial" w:eastAsia="Arial" w:hAnsi="Arial"/>
          <w:sz w:val="18"/>
          <w:szCs w:val="18"/>
          <w:color w:val="auto"/>
        </w:rPr>
        <w:t>Date: May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Erik Ostrowski</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020"/>
          </w:cols>
          <w:pgMar w:left="440" w:top="121" w:right="439" w:bottom="1440" w:gutter="0" w:footer="0" w:header="0"/>
        </w:sectPr>
      </w:pPr>
    </w:p>
    <w:bookmarkStart w:id="76" w:name="page77"/>
    <w:bookmarkEnd w:id="76"/>
    <w:p>
      <w:pPr>
        <w:ind w:left="1010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the Quarterly Report of AVROBIO, Inc. (the “Company”) on Form 10-Q for the period ending March 31, 2019 as filed with the Securities and Exchange Commission on the date hereof (the “Report”), each of the undersigned officers of the Company certifies, pursuant to 18 U.S.C.</w:t>
      </w:r>
    </w:p>
    <w:p>
      <w:pPr>
        <w:ind w:left="140" w:hanging="136"/>
        <w:spacing w:after="0"/>
        <w:tabs>
          <w:tab w:leader="none" w:pos="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to the best of his or her knowledge that:</w:t>
      </w:r>
    </w:p>
    <w:p>
      <w:pPr>
        <w:spacing w:after="0" w:line="116" w:lineRule="exact"/>
        <w:rPr>
          <w:rFonts w:ascii="Arial" w:cs="Arial" w:eastAsia="Arial" w:hAnsi="Arial"/>
          <w:sz w:val="18"/>
          <w:szCs w:val="18"/>
          <w:color w:val="auto"/>
        </w:rPr>
      </w:pPr>
    </w:p>
    <w:p>
      <w:pPr>
        <w:ind w:left="860" w:hanging="424"/>
        <w:spacing w:after="0"/>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580" w:hanging="424"/>
        <w:spacing w:after="0" w:line="277"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13, 2019</w:t>
            </w:r>
          </w:p>
        </w:tc>
        <w:tc>
          <w:tcPr>
            <w:tcW w:w="2520" w:type="dxa"/>
            <w:vAlign w:val="bottom"/>
          </w:tcPr>
          <w:p>
            <w:pPr>
              <w:ind w:left="21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Geoff MacKay</w:t>
            </w:r>
          </w:p>
        </w:tc>
      </w:tr>
      <w:tr>
        <w:trPr>
          <w:trHeight w:val="205"/>
        </w:trPr>
        <w:tc>
          <w:tcPr>
            <w:tcW w:w="3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9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Geoff MacKay</w:t>
            </w:r>
          </w:p>
        </w:tc>
      </w:tr>
      <w:tr>
        <w:trPr>
          <w:trHeight w:val="234"/>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473"/>
        </w:trPr>
        <w:tc>
          <w:tcPr>
            <w:tcW w:w="3560" w:type="dxa"/>
            <w:vAlign w:val="bottom"/>
          </w:tcPr>
          <w:p>
            <w:pPr>
              <w:spacing w:after="0"/>
              <w:rPr>
                <w:sz w:val="20"/>
                <w:szCs w:val="20"/>
                <w:color w:val="auto"/>
              </w:rPr>
            </w:pPr>
            <w:r>
              <w:rPr>
                <w:rFonts w:ascii="Arial" w:cs="Arial" w:eastAsia="Arial" w:hAnsi="Arial"/>
                <w:sz w:val="18"/>
                <w:szCs w:val="18"/>
                <w:color w:val="auto"/>
              </w:rPr>
              <w:t>Date: May 13, 2019</w:t>
            </w:r>
          </w:p>
        </w:tc>
        <w:tc>
          <w:tcPr>
            <w:tcW w:w="2520" w:type="dxa"/>
            <w:vAlign w:val="bottom"/>
          </w:tcPr>
          <w:p>
            <w:pPr>
              <w:ind w:left="21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Erik Ostrowski</w:t>
            </w:r>
          </w:p>
        </w:tc>
      </w:tr>
      <w:tr>
        <w:trPr>
          <w:trHeight w:val="205"/>
        </w:trPr>
        <w:tc>
          <w:tcPr>
            <w:tcW w:w="3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9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3"/>
              </w:rPr>
              <w:t>Erik Ostrowski</w:t>
            </w:r>
          </w:p>
        </w:tc>
      </w:tr>
      <w:tr>
        <w:trPr>
          <w:trHeight w:val="234"/>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spacing w:after="0" w:line="1" w:lineRule="exact"/>
        <w:rPr>
          <w:sz w:val="20"/>
          <w:szCs w:val="20"/>
          <w:color w:val="auto"/>
        </w:rPr>
      </w:pP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lowerRoman"/>
      <w:start w:val="4"/>
    </w:lvl>
    <w:lvl w:ilvl="1">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88" Type="http://schemas.openxmlformats.org/officeDocument/2006/relationships/hyperlink" Target="http://www.sec.gov/Archives/edgar/data/1681087/000119312518202460/d153924dex31.htm" TargetMode="External"/><Relationship Id="rId89" Type="http://schemas.openxmlformats.org/officeDocument/2006/relationships/hyperlink" Target="http://www.sec.gov/Archives/edgar/data/1681087/000119312518202460/d153924dex32.htm" TargetMode="External"/><Relationship Id="rId90" Type="http://schemas.openxmlformats.org/officeDocument/2006/relationships/hyperlink" Target="http://www.sec.gov/Archives/edgar/data/1681087/000119312519007398/d666627dex101.htm" TargetMode="External"/><Relationship Id="rId91" Type="http://schemas.openxmlformats.org/officeDocument/2006/relationships/hyperlink" Target="http://www.sec.gov/Archives/edgar/data/1681087/000119312519007398/d66662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2019-12-28T12:05:59Z</dcterms:created>
  <dcterms:modified xsi:type="dcterms:W3CDTF">2019-12-28T12:05:59Z</dcterms:modified>
</cp:coreProperties>
</file>