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1442720</wp:posOffset>
            </wp:positionH>
            <wp:positionV relativeFrom="page">
              <wp:posOffset>140335</wp:posOffset>
            </wp:positionV>
            <wp:extent cx="4663440"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663440" cy="5715"/>
                    </a:xfrm>
                    <a:prstGeom prst="rect">
                      <a:avLst/>
                    </a:prstGeom>
                    <a:noFill/>
                  </pic:spPr>
                </pic:pic>
              </a:graphicData>
            </a:graphic>
          </wp:anchor>
        </w:drawing>
        <w:drawing>
          <wp:anchor simplePos="0" relativeHeight="251657728" behindDoc="1" locked="0" layoutInCell="0" allowOverlap="1">
            <wp:simplePos x="0" y="0"/>
            <wp:positionH relativeFrom="page">
              <wp:posOffset>1442720</wp:posOffset>
            </wp:positionH>
            <wp:positionV relativeFrom="page">
              <wp:posOffset>168910</wp:posOffset>
            </wp:positionV>
            <wp:extent cx="466344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663440" cy="5715"/>
                    </a:xfrm>
                    <a:prstGeom prst="rect">
                      <a:avLst/>
                    </a:prstGeom>
                    <a:noFill/>
                  </pic:spPr>
                </pic:pic>
              </a:graphicData>
            </a:graphic>
          </wp:anchor>
        </w:drawing>
        <w:t>UNITED STATES</w:t>
      </w:r>
    </w:p>
    <w:p>
      <w:pPr>
        <w:spacing w:after="0" w:line="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2368550</wp:posOffset>
            </wp:positionH>
            <wp:positionV relativeFrom="paragraph">
              <wp:posOffset>144780</wp:posOffset>
            </wp:positionV>
            <wp:extent cx="98298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982980" cy="5715"/>
                    </a:xfrm>
                    <a:prstGeom prst="rect">
                      <a:avLst/>
                    </a:prstGeom>
                    <a:noFill/>
                  </pic:spPr>
                </pic:pic>
              </a:graphicData>
            </a:graphic>
          </wp:anchor>
        </w:drawing>
      </w:r>
    </w:p>
    <w:p>
      <w:pPr>
        <w:spacing w:after="0" w:line="3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2368550</wp:posOffset>
            </wp:positionH>
            <wp:positionV relativeFrom="paragraph">
              <wp:posOffset>150495</wp:posOffset>
            </wp:positionV>
            <wp:extent cx="98298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982980" cy="5715"/>
                    </a:xfrm>
                    <a:prstGeom prst="rect">
                      <a:avLst/>
                    </a:prstGeom>
                    <a:noFill/>
                  </pic:spPr>
                </pic:pic>
              </a:graphicData>
            </a:graphic>
          </wp:anchor>
        </w:drawing>
      </w:r>
    </w:p>
    <w:p>
      <w:pPr>
        <w:spacing w:after="0" w:line="3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CURRENT REPORT</w:t>
      </w:r>
    </w:p>
    <w:p>
      <w:pPr>
        <w:spacing w:after="0" w:line="1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Pursuant to Section 13 or 15(d)</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of the Securities Exchange Act of 1934</w:t>
      </w:r>
    </w:p>
    <w:p>
      <w:pPr>
        <w:spacing w:after="0" w:line="10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Date of Report (Date of earliest event reported): October 6,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2368550</wp:posOffset>
            </wp:positionH>
            <wp:positionV relativeFrom="paragraph">
              <wp:posOffset>150495</wp:posOffset>
            </wp:positionV>
            <wp:extent cx="98298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982980" cy="5715"/>
                    </a:xfrm>
                    <a:prstGeom prst="rect">
                      <a:avLst/>
                    </a:prstGeom>
                    <a:noFill/>
                  </pic:spPr>
                </pic:pic>
              </a:graphicData>
            </a:graphic>
          </wp:anchor>
        </w:drawing>
      </w:r>
    </w:p>
    <w:p>
      <w:pPr>
        <w:spacing w:after="0" w:line="31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AVROBIO, INC.</w:t>
      </w:r>
    </w:p>
    <w:p>
      <w:pPr>
        <w:spacing w:after="0" w:line="3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2368550</wp:posOffset>
            </wp:positionH>
            <wp:positionV relativeFrom="paragraph">
              <wp:posOffset>140335</wp:posOffset>
            </wp:positionV>
            <wp:extent cx="98298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982980" cy="5715"/>
                    </a:xfrm>
                    <a:prstGeom prst="rect">
                      <a:avLst/>
                    </a:prstGeom>
                    <a:noFill/>
                  </pic:spPr>
                </pic:pic>
              </a:graphicData>
            </a:graphic>
          </wp:anchor>
        </w:drawing>
      </w:r>
    </w:p>
    <w:p>
      <w:pPr>
        <w:sectPr>
          <w:pgSz w:w="11900" w:h="16838" w:orient="portrait"/>
          <w:cols w:equalWidth="0" w:num="1">
            <w:col w:w="9019"/>
          </w:cols>
          <w:pgMar w:left="1440" w:top="288" w:right="1440" w:bottom="1440" w:gutter="0" w:footer="0" w:header="0"/>
        </w:sectPr>
      </w:pPr>
    </w:p>
    <w:p>
      <w:pPr>
        <w:spacing w:after="0" w:line="386" w:lineRule="exact"/>
        <w:rPr>
          <w:sz w:val="24"/>
          <w:szCs w:val="24"/>
          <w:color w:val="auto"/>
        </w:rPr>
      </w:pPr>
    </w:p>
    <w:p>
      <w:pPr>
        <w:jc w:val="center"/>
        <w:ind w:left="560"/>
        <w:spacing w:after="0"/>
        <w:rPr>
          <w:sz w:val="20"/>
          <w:szCs w:val="20"/>
          <w:color w:val="auto"/>
        </w:rPr>
      </w:pPr>
      <w:r>
        <w:rPr>
          <w:rFonts w:ascii="Times New Roman" w:cs="Times New Roman" w:eastAsia="Times New Roman" w:hAnsi="Times New Roman"/>
          <w:sz w:val="11"/>
          <w:szCs w:val="11"/>
          <w:b w:val="1"/>
          <w:bCs w:val="1"/>
          <w:color w:val="auto"/>
        </w:rPr>
        <w:t>Delaware</w:t>
      </w:r>
    </w:p>
    <w:p>
      <w:pPr>
        <w:spacing w:after="0" w:line="20" w:lineRule="exact"/>
        <w:rPr>
          <w:sz w:val="24"/>
          <w:szCs w:val="24"/>
          <w:color w:val="auto"/>
        </w:rPr>
      </w:pPr>
      <w:r>
        <w:rPr>
          <w:sz w:val="24"/>
          <w:szCs w:val="24"/>
          <w:color w:val="auto"/>
        </w:rPr>
        <w:br w:type="column"/>
      </w:r>
    </w:p>
    <w:p>
      <w:pPr>
        <w:spacing w:after="0" w:line="366" w:lineRule="exact"/>
        <w:rPr>
          <w:sz w:val="24"/>
          <w:szCs w:val="24"/>
          <w:color w:val="auto"/>
        </w:rPr>
      </w:pPr>
    </w:p>
    <w:p>
      <w:pPr>
        <w:jc w:val="center"/>
        <w:ind w:right="1160"/>
        <w:spacing w:after="0"/>
        <w:rPr>
          <w:sz w:val="20"/>
          <w:szCs w:val="20"/>
          <w:color w:val="auto"/>
        </w:rPr>
      </w:pPr>
      <w:r>
        <w:rPr>
          <w:rFonts w:ascii="Times New Roman" w:cs="Times New Roman" w:eastAsia="Times New Roman" w:hAnsi="Times New Roman"/>
          <w:sz w:val="11"/>
          <w:szCs w:val="11"/>
          <w:b w:val="1"/>
          <w:bCs w:val="1"/>
          <w:color w:val="auto"/>
        </w:rPr>
        <w:t>001-38537</w:t>
      </w:r>
    </w:p>
    <w:p>
      <w:pPr>
        <w:spacing w:after="0" w:line="20" w:lineRule="exact"/>
        <w:rPr>
          <w:sz w:val="24"/>
          <w:szCs w:val="24"/>
          <w:color w:val="auto"/>
        </w:rPr>
      </w:pPr>
      <w:r>
        <w:rPr>
          <w:sz w:val="24"/>
          <w:szCs w:val="24"/>
          <w:color w:val="auto"/>
        </w:rPr>
        <w:br w:type="column"/>
      </w:r>
    </w:p>
    <w:p>
      <w:pPr>
        <w:spacing w:after="0" w:line="366" w:lineRule="exact"/>
        <w:rPr>
          <w:sz w:val="24"/>
          <w:szCs w:val="24"/>
          <w:color w:val="auto"/>
        </w:rPr>
      </w:pPr>
    </w:p>
    <w:p>
      <w:pPr>
        <w:jc w:val="center"/>
        <w:ind w:right="1719"/>
        <w:spacing w:after="0"/>
        <w:rPr>
          <w:sz w:val="20"/>
          <w:szCs w:val="20"/>
          <w:color w:val="auto"/>
        </w:rPr>
      </w:pPr>
      <w:r>
        <w:rPr>
          <w:rFonts w:ascii="Times New Roman" w:cs="Times New Roman" w:eastAsia="Times New Roman" w:hAnsi="Times New Roman"/>
          <w:sz w:val="11"/>
          <w:szCs w:val="11"/>
          <w:b w:val="1"/>
          <w:bCs w:val="1"/>
          <w:color w:val="auto"/>
        </w:rPr>
        <w:t>81-0710585</w:t>
      </w:r>
    </w:p>
    <w:p>
      <w:pPr>
        <w:spacing w:after="0" w:line="32" w:lineRule="exact"/>
        <w:rPr>
          <w:sz w:val="24"/>
          <w:szCs w:val="24"/>
          <w:color w:val="auto"/>
        </w:rPr>
      </w:pPr>
    </w:p>
    <w:p>
      <w:pPr>
        <w:sectPr>
          <w:pgSz w:w="11900" w:h="16838" w:orient="portrait"/>
          <w:cols w:equalWidth="0" w:num="3">
            <w:col w:w="3600" w:space="720"/>
            <w:col w:w="1680" w:space="720"/>
            <w:col w:w="2299"/>
          </w:cols>
          <w:pgMar w:left="1440" w:top="288" w:right="1440" w:bottom="1440" w:gutter="0" w:footer="0" w:header="0"/>
          <w:type w:val="continuous"/>
        </w:sectPr>
      </w:pPr>
    </w:p>
    <w:p>
      <w:pPr>
        <w:jc w:val="center"/>
        <w:ind w:left="580"/>
        <w:spacing w:after="0"/>
        <w:rPr>
          <w:sz w:val="20"/>
          <w:szCs w:val="20"/>
          <w:color w:val="auto"/>
        </w:rPr>
      </w:pPr>
      <w:r>
        <w:rPr>
          <w:rFonts w:ascii="Times New Roman" w:cs="Times New Roman" w:eastAsia="Times New Roman" w:hAnsi="Times New Roman"/>
          <w:sz w:val="8"/>
          <w:szCs w:val="8"/>
          <w:b w:val="1"/>
          <w:bCs w:val="1"/>
          <w:color w:val="auto"/>
        </w:rPr>
        <w:t>(State or other jurisdiction</w:t>
      </w:r>
    </w:p>
    <w:p>
      <w:pPr>
        <w:spacing w:after="0" w:line="1" w:lineRule="exact"/>
        <w:rPr>
          <w:sz w:val="24"/>
          <w:szCs w:val="24"/>
          <w:color w:val="auto"/>
        </w:rPr>
      </w:pPr>
    </w:p>
    <w:p>
      <w:pPr>
        <w:jc w:val="center"/>
        <w:ind w:left="580"/>
        <w:spacing w:after="0"/>
        <w:rPr>
          <w:sz w:val="20"/>
          <w:szCs w:val="20"/>
          <w:color w:val="auto"/>
        </w:rPr>
      </w:pPr>
      <w:r>
        <w:rPr>
          <w:rFonts w:ascii="Times New Roman" w:cs="Times New Roman" w:eastAsia="Times New Roman" w:hAnsi="Times New Roman"/>
          <w:sz w:val="10"/>
          <w:szCs w:val="10"/>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8"/>
          <w:szCs w:val="8"/>
          <w:b w:val="1"/>
          <w:bCs w:val="1"/>
          <w:color w:val="auto"/>
        </w:rPr>
        <w:t>(Commission</w:t>
      </w:r>
    </w:p>
    <w:p>
      <w:pPr>
        <w:spacing w:after="0" w:line="3" w:lineRule="exact"/>
        <w:rPr>
          <w:sz w:val="24"/>
          <w:szCs w:val="24"/>
          <w:color w:val="auto"/>
        </w:rPr>
      </w:pPr>
    </w:p>
    <w:p>
      <w:pPr>
        <w:spacing w:after="0"/>
        <w:rPr>
          <w:sz w:val="20"/>
          <w:szCs w:val="20"/>
          <w:color w:val="auto"/>
        </w:rPr>
      </w:pPr>
      <w:r>
        <w:rPr>
          <w:rFonts w:ascii="Times New Roman" w:cs="Times New Roman" w:eastAsia="Times New Roman" w:hAnsi="Times New Roman"/>
          <w:sz w:val="8"/>
          <w:szCs w:val="8"/>
          <w:b w:val="1"/>
          <w:bCs w:val="1"/>
          <w:color w:val="auto"/>
        </w:rPr>
        <w:t>File 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Times New Roman" w:cs="Times New Roman" w:eastAsia="Times New Roman" w:hAnsi="Times New Roman"/>
          <w:sz w:val="8"/>
          <w:szCs w:val="8"/>
          <w:b w:val="1"/>
          <w:bCs w:val="1"/>
          <w:color w:val="auto"/>
        </w:rPr>
        <w:t>(I.R.S. Employer</w:t>
      </w:r>
    </w:p>
    <w:p>
      <w:pPr>
        <w:spacing w:after="0" w:line="3" w:lineRule="exact"/>
        <w:rPr>
          <w:sz w:val="24"/>
          <w:szCs w:val="24"/>
          <w:color w:val="auto"/>
        </w:rPr>
      </w:pPr>
    </w:p>
    <w:p>
      <w:pPr>
        <w:spacing w:after="0"/>
        <w:rPr>
          <w:sz w:val="20"/>
          <w:szCs w:val="20"/>
          <w:color w:val="auto"/>
        </w:rPr>
      </w:pPr>
      <w:r>
        <w:rPr>
          <w:rFonts w:ascii="Times New Roman" w:cs="Times New Roman" w:eastAsia="Times New Roman" w:hAnsi="Times New Roman"/>
          <w:sz w:val="8"/>
          <w:szCs w:val="8"/>
          <w:b w:val="1"/>
          <w:bCs w:val="1"/>
          <w:color w:val="auto"/>
        </w:rPr>
        <w:t>Identification No.)</w:t>
      </w:r>
    </w:p>
    <w:p>
      <w:pPr>
        <w:spacing w:after="0" w:line="122" w:lineRule="exact"/>
        <w:rPr>
          <w:sz w:val="24"/>
          <w:szCs w:val="24"/>
          <w:color w:val="auto"/>
        </w:rPr>
      </w:pPr>
    </w:p>
    <w:p>
      <w:pPr>
        <w:sectPr>
          <w:pgSz w:w="11900" w:h="16838" w:orient="portrait"/>
          <w:cols w:equalWidth="0" w:num="3">
            <w:col w:w="3580" w:space="720"/>
            <w:col w:w="1600" w:space="720"/>
            <w:col w:w="2399"/>
          </w:cols>
          <w:pgMar w:left="1440" w:top="288" w:right="1440"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One Kendall Square</w:t>
      </w:r>
    </w:p>
    <w:p>
      <w:pPr>
        <w:spacing w:after="0" w:line="2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Building 300, Suite 201</w:t>
      </w:r>
    </w:p>
    <w:p>
      <w:pPr>
        <w:spacing w:after="0" w:line="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Cambridge, MA 02139</w:t>
      </w:r>
    </w:p>
    <w:p>
      <w:pPr>
        <w:jc w:val="center"/>
        <w:ind w:right="19"/>
        <w:spacing w:after="0"/>
        <w:rPr>
          <w:sz w:val="20"/>
          <w:szCs w:val="20"/>
          <w:color w:val="auto"/>
        </w:rPr>
      </w:pPr>
      <w:r>
        <w:rPr>
          <w:rFonts w:ascii="Times New Roman" w:cs="Times New Roman" w:eastAsia="Times New Roman" w:hAnsi="Times New Roman"/>
          <w:sz w:val="10"/>
          <w:szCs w:val="10"/>
          <w:b w:val="1"/>
          <w:bCs w:val="1"/>
          <w:color w:val="auto"/>
        </w:rPr>
        <w:t>(Address of principal executive offices, including zip code)</w:t>
      </w:r>
    </w:p>
    <w:p>
      <w:pPr>
        <w:spacing w:after="0" w:line="9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(617) 914-8420</w:t>
      </w:r>
    </w:p>
    <w:p>
      <w:pPr>
        <w:spacing w:after="0" w:line="1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0"/>
          <w:szCs w:val="10"/>
          <w:b w:val="1"/>
          <w:bCs w:val="1"/>
          <w:color w:val="auto"/>
        </w:rPr>
        <w:t>(Registrant’s telephone number, including area code)</w:t>
      </w:r>
    </w:p>
    <w:p>
      <w:pPr>
        <w:spacing w:after="0" w:line="10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Not Applicable</w:t>
      </w:r>
    </w:p>
    <w:p>
      <w:pPr>
        <w:spacing w:after="0" w:line="1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8"/>
          <w:szCs w:val="8"/>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2368550</wp:posOffset>
            </wp:positionH>
            <wp:positionV relativeFrom="paragraph">
              <wp:posOffset>144145</wp:posOffset>
            </wp:positionV>
            <wp:extent cx="982980"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982980" cy="5715"/>
                    </a:xfrm>
                    <a:prstGeom prst="rect">
                      <a:avLst/>
                    </a:prstGeom>
                    <a:noFill/>
                  </pic:spPr>
                </pic:pic>
              </a:graphicData>
            </a:graphic>
          </wp:anchor>
        </w:drawing>
      </w:r>
    </w:p>
    <w:p>
      <w:pPr>
        <w:sectPr>
          <w:pgSz w:w="11900" w:h="16838" w:orient="portrait"/>
          <w:cols w:equalWidth="0" w:num="1">
            <w:col w:w="9019"/>
          </w:cols>
          <w:pgMar w:left="1440" w:top="288" w:right="1440" w:bottom="1440" w:gutter="0" w:footer="0" w:header="0"/>
          <w:type w:val="continuous"/>
        </w:sectPr>
      </w:pPr>
    </w:p>
    <w:p>
      <w:pPr>
        <w:spacing w:after="0" w:line="343" w:lineRule="exact"/>
        <w:rPr>
          <w:sz w:val="24"/>
          <w:szCs w:val="24"/>
          <w:color w:val="auto"/>
        </w:rPr>
      </w:pPr>
    </w:p>
    <w:p>
      <w:pPr>
        <w:ind w:left="840" w:right="1159"/>
        <w:spacing w:after="0" w:line="279" w:lineRule="auto"/>
        <w:rPr>
          <w:sz w:val="20"/>
          <w:szCs w:val="20"/>
          <w:color w:val="auto"/>
        </w:rPr>
      </w:pPr>
      <w:r>
        <w:rPr>
          <w:rFonts w:ascii="Times New Roman" w:cs="Times New Roman" w:eastAsia="Times New Roman" w:hAnsi="Times New Roman"/>
          <w:sz w:val="12"/>
          <w:szCs w:val="12"/>
          <w:color w:val="auto"/>
        </w:rPr>
        <w:t>Check the appropriate box below if the Form 8-K filing is intended to simultaneously satisfy the filing obligation of the registrant under any of the following provisions:</w:t>
      </w:r>
    </w:p>
    <w:p>
      <w:pPr>
        <w:spacing w:after="0" w:line="48" w:lineRule="exact"/>
        <w:rPr>
          <w:sz w:val="24"/>
          <w:szCs w:val="24"/>
          <w:color w:val="auto"/>
        </w:rPr>
      </w:pPr>
    </w:p>
    <w:p>
      <w:pPr>
        <w:ind w:left="1120" w:hanging="288"/>
        <w:spacing w:after="0"/>
        <w:tabs>
          <w:tab w:leader="none" w:pos="112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Written communications pursuant to Rule 425 under the Securities Act (17 CFR 230.425)</w:t>
      </w:r>
    </w:p>
    <w:p>
      <w:pPr>
        <w:spacing w:after="0" w:line="87" w:lineRule="exact"/>
        <w:rPr>
          <w:rFonts w:ascii="MS PGothic" w:cs="MS PGothic" w:eastAsia="MS PGothic" w:hAnsi="MS PGothic"/>
          <w:sz w:val="12"/>
          <w:szCs w:val="12"/>
          <w:color w:val="auto"/>
        </w:rPr>
      </w:pPr>
    </w:p>
    <w:p>
      <w:pPr>
        <w:ind w:left="1120" w:hanging="288"/>
        <w:spacing w:after="0"/>
        <w:tabs>
          <w:tab w:leader="none" w:pos="112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Soliciting material pursuant to Rule 14a-12 under the Exchange Act (17 CFR 240.14a-12)</w:t>
      </w:r>
    </w:p>
    <w:p>
      <w:pPr>
        <w:spacing w:after="0" w:line="87" w:lineRule="exact"/>
        <w:rPr>
          <w:rFonts w:ascii="MS PGothic" w:cs="MS PGothic" w:eastAsia="MS PGothic" w:hAnsi="MS PGothic"/>
          <w:sz w:val="12"/>
          <w:szCs w:val="12"/>
          <w:color w:val="auto"/>
        </w:rPr>
      </w:pPr>
    </w:p>
    <w:p>
      <w:pPr>
        <w:ind w:left="1120" w:hanging="288"/>
        <w:spacing w:after="0"/>
        <w:tabs>
          <w:tab w:leader="none" w:pos="112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14d-2(b) under the Exchange Act (17 CFR 240.14d-2(b))</w:t>
      </w:r>
    </w:p>
    <w:p>
      <w:pPr>
        <w:spacing w:after="0" w:line="87" w:lineRule="exact"/>
        <w:rPr>
          <w:rFonts w:ascii="MS PGothic" w:cs="MS PGothic" w:eastAsia="MS PGothic" w:hAnsi="MS PGothic"/>
          <w:sz w:val="12"/>
          <w:szCs w:val="12"/>
          <w:color w:val="auto"/>
        </w:rPr>
      </w:pPr>
    </w:p>
    <w:p>
      <w:pPr>
        <w:ind w:left="1120" w:hanging="288"/>
        <w:spacing w:after="0"/>
        <w:tabs>
          <w:tab w:leader="none" w:pos="112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13e-4(c) under the Exchange Act (17 CFR 240.13e-4(c))</w:t>
      </w:r>
    </w:p>
    <w:p>
      <w:pPr>
        <w:spacing w:after="0" w:line="132" w:lineRule="exact"/>
        <w:rPr>
          <w:sz w:val="24"/>
          <w:szCs w:val="24"/>
          <w:color w:val="auto"/>
        </w:rPr>
      </w:pPr>
    </w:p>
    <w:p>
      <w:pPr>
        <w:ind w:left="840"/>
        <w:spacing w:after="0"/>
        <w:rPr>
          <w:sz w:val="20"/>
          <w:szCs w:val="20"/>
          <w:color w:val="auto"/>
        </w:rPr>
      </w:pPr>
      <w:r>
        <w:rPr>
          <w:rFonts w:ascii="Times New Roman" w:cs="Times New Roman" w:eastAsia="Times New Roman" w:hAnsi="Times New Roman"/>
          <w:sz w:val="12"/>
          <w:szCs w:val="12"/>
          <w:color w:val="auto"/>
        </w:rPr>
        <w:t>Securities registered pursuant to Section 12(b) of the Act:</w:t>
      </w:r>
    </w:p>
    <w:p>
      <w:pPr>
        <w:spacing w:after="0" w:line="128" w:lineRule="exact"/>
        <w:rPr>
          <w:sz w:val="24"/>
          <w:szCs w:val="24"/>
          <w:color w:val="auto"/>
        </w:rPr>
      </w:pPr>
    </w:p>
    <w:tbl>
      <w:tblPr>
        <w:tblLayout w:type="fixed"/>
        <w:tblInd w:w="840" w:type="dxa"/>
        <w:tblCellMar>
          <w:top w:w="0" w:type="dxa"/>
          <w:left w:w="0" w:type="dxa"/>
          <w:bottom w:w="0" w:type="dxa"/>
          <w:right w:w="0" w:type="dxa"/>
        </w:tblCellMar>
      </w:tblPr>
      <w:tr>
        <w:trPr>
          <w:trHeight w:val="115"/>
        </w:trPr>
        <w:tc>
          <w:tcPr>
            <w:tcW w:w="25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w w:val="95"/>
              </w:rPr>
              <w:t>Title of each class</w:t>
            </w:r>
          </w:p>
        </w:tc>
        <w:tc>
          <w:tcPr>
            <w:tcW w:w="2420" w:type="dxa"/>
            <w:vAlign w:val="bottom"/>
            <w:gridSpan w:val="2"/>
          </w:tcPr>
          <w:p>
            <w:pPr>
              <w:jc w:val="center"/>
              <w:ind w:right="60"/>
              <w:spacing w:after="0"/>
              <w:rPr>
                <w:sz w:val="20"/>
                <w:szCs w:val="20"/>
                <w:color w:val="auto"/>
              </w:rPr>
            </w:pPr>
            <w:r>
              <w:rPr>
                <w:rFonts w:ascii="Times New Roman" w:cs="Times New Roman" w:eastAsia="Times New Roman" w:hAnsi="Times New Roman"/>
                <w:sz w:val="10"/>
                <w:szCs w:val="10"/>
                <w:b w:val="1"/>
                <w:bCs w:val="1"/>
                <w:color w:val="auto"/>
                <w:w w:val="91"/>
              </w:rPr>
              <w:t>Trading</w:t>
            </w:r>
          </w:p>
        </w:tc>
        <w:tc>
          <w:tcPr>
            <w:tcW w:w="236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6"/>
              </w:rPr>
              <w:t>Name of each exchange</w:t>
            </w:r>
          </w:p>
        </w:tc>
        <w:tc>
          <w:tcPr>
            <w:tcW w:w="0" w:type="dxa"/>
            <w:vAlign w:val="bottom"/>
          </w:tcPr>
          <w:p>
            <w:pPr>
              <w:spacing w:after="0"/>
              <w:rPr>
                <w:sz w:val="1"/>
                <w:szCs w:val="1"/>
                <w:color w:val="auto"/>
              </w:rPr>
            </w:pPr>
          </w:p>
        </w:tc>
      </w:tr>
      <w:tr>
        <w:trPr>
          <w:trHeight w:val="124"/>
        </w:trPr>
        <w:tc>
          <w:tcPr>
            <w:tcW w:w="2560" w:type="dxa"/>
            <w:vAlign w:val="bottom"/>
            <w:gridSpan w:val="2"/>
            <w:vMerge w:val="continue"/>
          </w:tcPr>
          <w:p>
            <w:pPr>
              <w:spacing w:after="0"/>
              <w:rPr>
                <w:sz w:val="10"/>
                <w:szCs w:val="10"/>
                <w:color w:val="auto"/>
              </w:rPr>
            </w:pPr>
          </w:p>
        </w:tc>
        <w:tc>
          <w:tcPr>
            <w:tcW w:w="2420" w:type="dxa"/>
            <w:vAlign w:val="bottom"/>
            <w:gridSpan w:val="2"/>
          </w:tcPr>
          <w:p>
            <w:pPr>
              <w:jc w:val="center"/>
              <w:ind w:right="60"/>
              <w:spacing w:after="0"/>
              <w:rPr>
                <w:sz w:val="20"/>
                <w:szCs w:val="20"/>
                <w:color w:val="auto"/>
              </w:rPr>
            </w:pPr>
            <w:r>
              <w:rPr>
                <w:rFonts w:ascii="Times New Roman" w:cs="Times New Roman" w:eastAsia="Times New Roman" w:hAnsi="Times New Roman"/>
                <w:sz w:val="10"/>
                <w:szCs w:val="10"/>
                <w:b w:val="1"/>
                <w:bCs w:val="1"/>
                <w:color w:val="auto"/>
                <w:w w:val="97"/>
              </w:rPr>
              <w:t>symbol(s)</w:t>
            </w:r>
          </w:p>
        </w:tc>
        <w:tc>
          <w:tcPr>
            <w:tcW w:w="236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5"/>
              </w:rPr>
              <w:t>on which registered</w:t>
            </w:r>
          </w:p>
        </w:tc>
        <w:tc>
          <w:tcPr>
            <w:tcW w:w="0" w:type="dxa"/>
            <w:vAlign w:val="bottom"/>
          </w:tcPr>
          <w:p>
            <w:pPr>
              <w:spacing w:after="0"/>
              <w:rPr>
                <w:sz w:val="1"/>
                <w:szCs w:val="1"/>
                <w:color w:val="auto"/>
              </w:rPr>
            </w:pPr>
          </w:p>
        </w:tc>
      </w:tr>
      <w:tr>
        <w:trPr>
          <w:trHeight w:val="148"/>
        </w:trPr>
        <w:tc>
          <w:tcPr>
            <w:tcW w:w="2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Common Stock, $0.0001 par value per share</w:t>
            </w:r>
          </w:p>
        </w:tc>
        <w:tc>
          <w:tcPr>
            <w:tcW w:w="80" w:type="dxa"/>
            <w:vAlign w:val="bottom"/>
          </w:tcPr>
          <w:p>
            <w:pPr>
              <w:spacing w:after="0"/>
              <w:rPr>
                <w:sz w:val="12"/>
                <w:szCs w:val="12"/>
                <w:color w:val="auto"/>
              </w:rPr>
            </w:pPr>
          </w:p>
        </w:tc>
        <w:tc>
          <w:tcPr>
            <w:tcW w:w="23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0"/>
              </w:rPr>
              <w:t>AVRO</w:t>
            </w:r>
          </w:p>
        </w:tc>
        <w:tc>
          <w:tcPr>
            <w:tcW w:w="60" w:type="dxa"/>
            <w:vAlign w:val="bottom"/>
          </w:tcPr>
          <w:p>
            <w:pPr>
              <w:spacing w:after="0"/>
              <w:rPr>
                <w:sz w:val="12"/>
                <w:szCs w:val="12"/>
                <w:color w:val="auto"/>
              </w:rPr>
            </w:pPr>
          </w:p>
        </w:tc>
        <w:tc>
          <w:tcPr>
            <w:tcW w:w="23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Nasdaq Global Select Market</w:t>
            </w:r>
          </w:p>
        </w:tc>
        <w:tc>
          <w:tcPr>
            <w:tcW w:w="0" w:type="dxa"/>
            <w:vAlign w:val="bottom"/>
          </w:tcPr>
          <w:p>
            <w:pPr>
              <w:spacing w:after="0"/>
              <w:rPr>
                <w:sz w:val="1"/>
                <w:szCs w:val="1"/>
                <w:color w:val="auto"/>
              </w:rPr>
            </w:pPr>
          </w:p>
        </w:tc>
      </w:tr>
    </w:tbl>
    <w:p>
      <w:pPr>
        <w:spacing w:after="0" w:line="91" w:lineRule="exact"/>
        <w:rPr>
          <w:sz w:val="24"/>
          <w:szCs w:val="24"/>
          <w:color w:val="auto"/>
        </w:rPr>
      </w:pPr>
    </w:p>
    <w:p>
      <w:pPr>
        <w:ind w:left="840" w:right="1019"/>
        <w:spacing w:after="0" w:line="279" w:lineRule="auto"/>
        <w:rPr>
          <w:sz w:val="20"/>
          <w:szCs w:val="20"/>
          <w:color w:val="auto"/>
        </w:rPr>
      </w:pPr>
      <w:r>
        <w:rPr>
          <w:rFonts w:ascii="Times New Roman" w:cs="Times New Roman" w:eastAsia="Times New Roman" w:hAnsi="Times New Roman"/>
          <w:sz w:val="12"/>
          <w:szCs w:val="12"/>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4" w:lineRule="exact"/>
        <w:rPr>
          <w:sz w:val="24"/>
          <w:szCs w:val="24"/>
          <w:color w:val="auto"/>
        </w:rPr>
      </w:pPr>
    </w:p>
    <w:p>
      <w:pPr>
        <w:ind w:left="840"/>
        <w:spacing w:after="0" w:line="138" w:lineRule="exact"/>
        <w:rPr>
          <w:sz w:val="20"/>
          <w:szCs w:val="20"/>
          <w:color w:val="auto"/>
        </w:rPr>
      </w:pPr>
      <w:r>
        <w:rPr>
          <w:rFonts w:ascii="Times New Roman" w:cs="Times New Roman" w:eastAsia="Times New Roman" w:hAnsi="Times New Roman"/>
          <w:sz w:val="12"/>
          <w:szCs w:val="12"/>
          <w:color w:val="auto"/>
        </w:rPr>
        <w:t xml:space="preserve">Emerging growth company </w:t>
      </w:r>
      <w:r>
        <w:rPr>
          <w:rFonts w:ascii="MS PGothic" w:cs="MS PGothic" w:eastAsia="MS PGothic" w:hAnsi="MS PGothic"/>
          <w:sz w:val="12"/>
          <w:szCs w:val="12"/>
          <w:color w:val="auto"/>
        </w:rPr>
        <w:t>☒</w:t>
      </w:r>
    </w:p>
    <w:p>
      <w:pPr>
        <w:spacing w:after="0" w:line="152" w:lineRule="exact"/>
        <w:rPr>
          <w:sz w:val="24"/>
          <w:szCs w:val="24"/>
          <w:color w:val="auto"/>
        </w:rPr>
      </w:pPr>
    </w:p>
    <w:p>
      <w:pPr>
        <w:ind w:left="840" w:right="1039"/>
        <w:spacing w:after="0" w:line="156" w:lineRule="exact"/>
        <w:rPr>
          <w:sz w:val="20"/>
          <w:szCs w:val="20"/>
          <w:color w:val="auto"/>
        </w:rPr>
      </w:pPr>
      <w:r>
        <w:rPr>
          <w:rFonts w:ascii="Times New Roman" w:cs="Times New Roman" w:eastAsia="Times New Roman" w:hAnsi="Times New Roman"/>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528320</wp:posOffset>
            </wp:positionH>
            <wp:positionV relativeFrom="paragraph">
              <wp:posOffset>89535</wp:posOffset>
            </wp:positionV>
            <wp:extent cx="4663440"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663440" cy="5715"/>
                    </a:xfrm>
                    <a:prstGeom prst="rect">
                      <a:avLst/>
                    </a:prstGeom>
                    <a:noFill/>
                  </pic:spPr>
                </pic:pic>
              </a:graphicData>
            </a:graphic>
          </wp:anchor>
        </w:drawing>
        <w:drawing>
          <wp:anchor simplePos="0" relativeHeight="251657728" behindDoc="1" locked="0" layoutInCell="0" allowOverlap="1">
            <wp:simplePos x="0" y="0"/>
            <wp:positionH relativeFrom="column">
              <wp:posOffset>528320</wp:posOffset>
            </wp:positionH>
            <wp:positionV relativeFrom="paragraph">
              <wp:posOffset>118110</wp:posOffset>
            </wp:positionV>
            <wp:extent cx="4663440"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663440" cy="5715"/>
                    </a:xfrm>
                    <a:prstGeom prst="rect">
                      <a:avLst/>
                    </a:prstGeom>
                    <a:noFill/>
                  </pic:spPr>
                </pic:pic>
              </a:graphicData>
            </a:graphic>
          </wp:anchor>
        </w:drawing>
      </w:r>
    </w:p>
    <w:p>
      <w:pPr>
        <w:sectPr>
          <w:pgSz w:w="11900" w:h="16838" w:orient="portrait"/>
          <w:cols w:equalWidth="0" w:num="1">
            <w:col w:w="9019"/>
          </w:cols>
          <w:pgMar w:left="1440" w:top="288" w:right="1440" w:bottom="1440" w:gutter="0" w:footer="0" w:header="0"/>
          <w:type w:val="continuous"/>
        </w:sectPr>
      </w:pPr>
    </w:p>
    <w:bookmarkStart w:id="1" w:name="page2"/>
    <w:bookmarkEnd w:id="1"/>
    <w:p>
      <w:pPr>
        <w:ind w:left="840"/>
        <w:spacing w:after="0"/>
        <w:tabs>
          <w:tab w:leader="none" w:pos="1620" w:val="left"/>
        </w:tabs>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189470" cy="285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89470" cy="28575"/>
                    </a:xfrm>
                    <a:prstGeom prst="rect">
                      <a:avLst/>
                    </a:prstGeom>
                    <a:noFill/>
                  </pic:spPr>
                </pic:pic>
              </a:graphicData>
            </a:graphic>
          </wp:anchor>
        </w:drawing>
        <w:t>Item 7.01</w:t>
      </w:r>
      <w:r>
        <w:rPr>
          <w:sz w:val="20"/>
          <w:szCs w:val="20"/>
          <w:color w:val="auto"/>
        </w:rPr>
        <w:tab/>
      </w:r>
      <w:r>
        <w:rPr>
          <w:rFonts w:ascii="Times New Roman" w:cs="Times New Roman" w:eastAsia="Times New Roman" w:hAnsi="Times New Roman"/>
          <w:sz w:val="11"/>
          <w:szCs w:val="11"/>
          <w:b w:val="1"/>
          <w:bCs w:val="1"/>
          <w:color w:val="auto"/>
        </w:rPr>
        <w:t>Regulation FD Disclosure.</w:t>
      </w:r>
    </w:p>
    <w:p>
      <w:pPr>
        <w:spacing w:after="0" w:line="82" w:lineRule="exact"/>
        <w:rPr>
          <w:sz w:val="20"/>
          <w:szCs w:val="20"/>
          <w:color w:val="auto"/>
        </w:rPr>
      </w:pPr>
    </w:p>
    <w:p>
      <w:pPr>
        <w:ind w:left="840" w:right="1399"/>
        <w:spacing w:after="0" w:line="279" w:lineRule="auto"/>
        <w:rPr>
          <w:sz w:val="20"/>
          <w:szCs w:val="20"/>
          <w:color w:val="auto"/>
        </w:rPr>
      </w:pPr>
      <w:r>
        <w:rPr>
          <w:rFonts w:ascii="Times New Roman" w:cs="Times New Roman" w:eastAsia="Times New Roman" w:hAnsi="Times New Roman"/>
          <w:sz w:val="12"/>
          <w:szCs w:val="12"/>
          <w:color w:val="auto"/>
        </w:rPr>
        <w:t>On October 6, 2020, AVROBIO, Inc. updated its corporate presentation for use in meetings with investors, analysts and others. A copy of the presentation is furnished as Exhibit 99.1 to this Current Report on Form 8-K.</w:t>
      </w:r>
    </w:p>
    <w:p>
      <w:pPr>
        <w:spacing w:after="0" w:line="111" w:lineRule="exact"/>
        <w:rPr>
          <w:sz w:val="20"/>
          <w:szCs w:val="20"/>
          <w:color w:val="auto"/>
        </w:rPr>
      </w:pPr>
    </w:p>
    <w:p>
      <w:pPr>
        <w:jc w:val="both"/>
        <w:ind w:left="840" w:right="959"/>
        <w:spacing w:after="0" w:line="265" w:lineRule="auto"/>
        <w:rPr>
          <w:sz w:val="20"/>
          <w:szCs w:val="20"/>
          <w:color w:val="auto"/>
        </w:rPr>
      </w:pPr>
      <w:r>
        <w:rPr>
          <w:rFonts w:ascii="Times New Roman" w:cs="Times New Roman" w:eastAsia="Times New Roman" w:hAnsi="Times New Roman"/>
          <w:sz w:val="12"/>
          <w:szCs w:val="12"/>
          <w:color w:val="auto"/>
        </w:rPr>
        <w:t>The information in this Form 8-K shall not be deemed “filed” for purposes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a filing.</w:t>
      </w:r>
    </w:p>
    <w:p>
      <w:pPr>
        <w:spacing w:after="0" w:line="214" w:lineRule="exact"/>
        <w:rPr>
          <w:sz w:val="20"/>
          <w:szCs w:val="20"/>
          <w:color w:val="auto"/>
        </w:rPr>
      </w:pPr>
    </w:p>
    <w:p>
      <w:pPr>
        <w:ind w:left="840"/>
        <w:spacing w:after="0"/>
        <w:tabs>
          <w:tab w:leader="none" w:pos="1620" w:val="left"/>
        </w:tabs>
        <w:rPr>
          <w:sz w:val="20"/>
          <w:szCs w:val="20"/>
          <w:color w:val="auto"/>
        </w:rPr>
      </w:pPr>
      <w:r>
        <w:rPr>
          <w:rFonts w:ascii="Times New Roman" w:cs="Times New Roman" w:eastAsia="Times New Roman" w:hAnsi="Times New Roman"/>
          <w:sz w:val="12"/>
          <w:szCs w:val="12"/>
          <w:b w:val="1"/>
          <w:bCs w:val="1"/>
          <w:color w:val="auto"/>
        </w:rPr>
        <w:t>Item 9.01.</w:t>
      </w:r>
      <w:r>
        <w:rPr>
          <w:sz w:val="20"/>
          <w:szCs w:val="20"/>
          <w:color w:val="auto"/>
        </w:rPr>
        <w:tab/>
      </w:r>
      <w:r>
        <w:rPr>
          <w:rFonts w:ascii="Times New Roman" w:cs="Times New Roman" w:eastAsia="Times New Roman" w:hAnsi="Times New Roman"/>
          <w:sz w:val="11"/>
          <w:szCs w:val="11"/>
          <w:b w:val="1"/>
          <w:bCs w:val="1"/>
          <w:color w:val="auto"/>
        </w:rPr>
        <w:t>Financial Statements and Exhibits.</w:t>
      </w:r>
    </w:p>
    <w:p>
      <w:pPr>
        <w:spacing w:after="0" w:line="82"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(d) Exhibits</w:t>
      </w:r>
    </w:p>
    <w:p>
      <w:pPr>
        <w:spacing w:after="0" w:line="168" w:lineRule="exact"/>
        <w:rPr>
          <w:sz w:val="20"/>
          <w:szCs w:val="20"/>
          <w:color w:val="auto"/>
        </w:rPr>
      </w:pPr>
    </w:p>
    <w:p>
      <w:pPr>
        <w:ind w:left="840"/>
        <w:spacing w:after="0"/>
        <w:tabs>
          <w:tab w:leader="none" w:pos="1260" w:val="left"/>
        </w:tabs>
        <w:rPr>
          <w:rFonts w:ascii="Times New Roman" w:cs="Times New Roman" w:eastAsia="Times New Roman" w:hAnsi="Times New Roman"/>
          <w:sz w:val="11"/>
          <w:szCs w:val="11"/>
          <w:u w:val="single" w:color="auto"/>
          <w:color w:val="0000EE"/>
        </w:rPr>
      </w:pPr>
      <w:r>
        <w:rPr>
          <w:rFonts w:ascii="Times New Roman" w:cs="Times New Roman" w:eastAsia="Times New Roman" w:hAnsi="Times New Roman"/>
          <w:sz w:val="12"/>
          <w:szCs w:val="12"/>
          <w:color w:val="auto"/>
        </w:rPr>
        <w:t>99.1</w:t>
      </w:r>
      <w:r>
        <w:rPr>
          <w:sz w:val="20"/>
          <w:szCs w:val="20"/>
          <w:color w:val="auto"/>
        </w:rPr>
        <w:tab/>
      </w:r>
      <w:hyperlink w:anchor="page4">
        <w:r>
          <w:rPr>
            <w:rFonts w:ascii="Times New Roman" w:cs="Times New Roman" w:eastAsia="Times New Roman" w:hAnsi="Times New Roman"/>
            <w:sz w:val="11"/>
            <w:szCs w:val="11"/>
            <w:u w:val="single" w:color="auto"/>
            <w:color w:val="0000EE"/>
          </w:rPr>
          <w:t>AVROBIO, Inc. slide presentation, dated October 2020.</w:t>
        </w:r>
      </w:hyperlink>
    </w:p>
    <w:p>
      <w:pPr>
        <w:spacing w:after="0" w:line="78" w:lineRule="exact"/>
        <w:rPr>
          <w:sz w:val="20"/>
          <w:szCs w:val="20"/>
          <w:color w:val="auto"/>
        </w:rPr>
      </w:pPr>
    </w:p>
    <w:p>
      <w:pPr>
        <w:ind w:left="840"/>
        <w:spacing w:after="0"/>
        <w:tabs>
          <w:tab w:leader="none" w:pos="1260" w:val="left"/>
        </w:tabs>
        <w:rPr>
          <w:sz w:val="20"/>
          <w:szCs w:val="20"/>
          <w:color w:val="auto"/>
        </w:rPr>
      </w:pPr>
      <w:r>
        <w:rPr>
          <w:rFonts w:ascii="Times New Roman" w:cs="Times New Roman" w:eastAsia="Times New Roman" w:hAnsi="Times New Roman"/>
          <w:sz w:val="12"/>
          <w:szCs w:val="12"/>
          <w:color w:val="auto"/>
        </w:rPr>
        <w:t>104</w:t>
      </w:r>
      <w:r>
        <w:rPr>
          <w:sz w:val="20"/>
          <w:szCs w:val="20"/>
          <w:color w:val="auto"/>
        </w:rPr>
        <w:tab/>
      </w:r>
      <w:r>
        <w:rPr>
          <w:rFonts w:ascii="Times New Roman" w:cs="Times New Roman" w:eastAsia="Times New Roman" w:hAnsi="Times New Roman"/>
          <w:sz w:val="12"/>
          <w:szCs w:val="12"/>
          <w:color w:val="auto"/>
        </w:rPr>
        <w:t>The cover page from this Current Report on Form 8-K, formatted in Inline XBR</w:t>
      </w:r>
    </w:p>
    <w:p>
      <w:pPr>
        <w:sectPr>
          <w:pgSz w:w="11900" w:h="16838" w:orient="portrait"/>
          <w:cols w:equalWidth="0" w:num="1">
            <w:col w:w="9019"/>
          </w:cols>
          <w:pgMar w:left="1440" w:top="242" w:right="1440"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189470" cy="285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89470" cy="28575"/>
                    </a:xfrm>
                    <a:prstGeom prst="rect">
                      <a:avLst/>
                    </a:prstGeom>
                    <a:noFill/>
                  </pic:spPr>
                </pic:pic>
              </a:graphicData>
            </a:graphic>
          </wp:anchor>
        </w:drawing>
        <w:t>SIGNATURES</w:t>
      </w:r>
    </w:p>
    <w:p>
      <w:pPr>
        <w:spacing w:after="0" w:line="154" w:lineRule="exact"/>
        <w:rPr>
          <w:sz w:val="20"/>
          <w:szCs w:val="20"/>
          <w:color w:val="auto"/>
        </w:rPr>
      </w:pPr>
    </w:p>
    <w:p>
      <w:pPr>
        <w:ind w:left="840" w:right="1339"/>
        <w:spacing w:after="0" w:line="279" w:lineRule="auto"/>
        <w:rPr>
          <w:sz w:val="20"/>
          <w:szCs w:val="20"/>
          <w:color w:val="auto"/>
        </w:rPr>
      </w:pPr>
      <w:r>
        <w:rPr>
          <w:rFonts w:ascii="Times New Roman" w:cs="Times New Roman" w:eastAsia="Times New Roman" w:hAnsi="Times New Roman"/>
          <w:sz w:val="12"/>
          <w:szCs w:val="12"/>
          <w:color w:val="auto"/>
        </w:rPr>
        <w:t>Pursuant to the requirements of the Securities Exchange Act of 1934, the registrant has duly caused this report to be signed on its behalf by the undersigned hereunto duly authorized.</w:t>
      </w:r>
    </w:p>
    <w:p>
      <w:pPr>
        <w:spacing w:after="0" w:line="129"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2"/>
          <w:szCs w:val="12"/>
          <w:color w:val="auto"/>
        </w:rPr>
        <w:t>AVROBIO, INC.</w:t>
      </w:r>
    </w:p>
    <w:p>
      <w:pPr>
        <w:spacing w:after="0" w:line="150" w:lineRule="exact"/>
        <w:rPr>
          <w:sz w:val="20"/>
          <w:szCs w:val="20"/>
          <w:color w:val="auto"/>
        </w:rPr>
      </w:pPr>
    </w:p>
    <w:p>
      <w:pPr>
        <w:ind w:left="840"/>
        <w:spacing w:after="0"/>
        <w:tabs>
          <w:tab w:leader="none" w:pos="4560" w:val="left"/>
          <w:tab w:leader="none" w:pos="4920" w:val="left"/>
        </w:tabs>
        <w:rPr>
          <w:sz w:val="20"/>
          <w:szCs w:val="20"/>
          <w:color w:val="auto"/>
        </w:rPr>
      </w:pPr>
      <w:r>
        <w:rPr>
          <w:rFonts w:ascii="Times New Roman" w:cs="Times New Roman" w:eastAsia="Times New Roman" w:hAnsi="Times New Roman"/>
          <w:sz w:val="12"/>
          <w:szCs w:val="12"/>
          <w:color w:val="auto"/>
        </w:rPr>
        <w:t>Date: October 6, 2020</w:t>
      </w:r>
      <w:r>
        <w:rPr>
          <w:sz w:val="20"/>
          <w:szCs w:val="20"/>
          <w:color w:val="auto"/>
        </w:rPr>
        <w:tab/>
      </w:r>
      <w:r>
        <w:rPr>
          <w:rFonts w:ascii="Times New Roman" w:cs="Times New Roman" w:eastAsia="Times New Roman" w:hAnsi="Times New Roman"/>
          <w:sz w:val="12"/>
          <w:szCs w:val="12"/>
          <w:color w:val="auto"/>
        </w:rPr>
        <w:t>By:</w:t>
      </w:r>
      <w:r>
        <w:rPr>
          <w:sz w:val="20"/>
          <w:szCs w:val="20"/>
          <w:color w:val="auto"/>
        </w:rPr>
        <w:tab/>
      </w:r>
      <w:r>
        <w:rPr>
          <w:rFonts w:ascii="Times New Roman" w:cs="Times New Roman" w:eastAsia="Times New Roman" w:hAnsi="Times New Roman"/>
          <w:sz w:val="11"/>
          <w:szCs w:val="11"/>
          <w:color w:val="auto"/>
        </w:rPr>
        <w:t>/s/ Geoff MacKay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3140075</wp:posOffset>
            </wp:positionH>
            <wp:positionV relativeFrom="paragraph">
              <wp:posOffset>10795</wp:posOffset>
            </wp:positionV>
            <wp:extent cx="2051685" cy="57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051685" cy="5715"/>
                    </a:xfrm>
                    <a:prstGeom prst="rect">
                      <a:avLst/>
                    </a:prstGeom>
                    <a:noFill/>
                  </pic:spPr>
                </pic:pic>
              </a:graphicData>
            </a:graphic>
          </wp:anchor>
        </w:drawing>
      </w:r>
    </w:p>
    <w:p>
      <w:pPr>
        <w:spacing w:after="0" w:line="15"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2"/>
          <w:szCs w:val="12"/>
          <w:color w:val="auto"/>
        </w:rPr>
        <w:t>Geoff MacKay</w:t>
      </w:r>
    </w:p>
    <w:p>
      <w:pPr>
        <w:spacing w:after="0" w:line="6"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2"/>
          <w:szCs w:val="12"/>
          <w:color w:val="auto"/>
        </w:rPr>
        <w:t>President and Chief Executive Officer</w:t>
      </w:r>
    </w:p>
    <w:p>
      <w:pPr>
        <w:sectPr>
          <w:pgSz w:w="11900" w:h="16838" w:orient="portrait"/>
          <w:cols w:equalWidth="0" w:num="1">
            <w:col w:w="9019"/>
          </w:cols>
          <w:pgMar w:left="1440" w:top="242" w:right="1440" w:bottom="1440" w:gutter="0" w:footer="0" w:header="0"/>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1148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7218680" cy="411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18947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8947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 w:name="page56"/>
    <w:bookmarkEnd w:id="5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6" w:name="page57"/>
    <w:bookmarkEnd w:id="5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7" w:name="page58"/>
    <w:bookmarkEnd w:id="5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8" w:name="page59"/>
    <w:bookmarkEnd w:id="5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9" w:name="page60"/>
    <w:bookmarkEnd w:id="5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0" w:name="page61"/>
    <w:bookmarkEnd w:id="6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1" w:name="page62"/>
    <w:bookmarkEnd w:id="6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2" w:name="page63"/>
    <w:bookmarkEnd w:id="6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3" w:name="page64"/>
    <w:bookmarkEnd w:id="6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4" w:name="page65"/>
    <w:bookmarkEnd w:id="6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5" w:name="page66"/>
    <w:bookmarkEnd w:id="6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6" w:name="page67"/>
    <w:bookmarkEnd w:id="6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7" w:name="page68"/>
    <w:bookmarkEnd w:id="6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8" w:name="page69"/>
    <w:bookmarkEnd w:id="6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9" w:name="page70"/>
    <w:bookmarkEnd w:id="6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0" w:name="page71"/>
    <w:bookmarkEnd w:id="7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1" w:name="page72"/>
    <w:bookmarkEnd w:id="7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2" w:name="page73"/>
    <w:bookmarkEnd w:id="7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3" w:name="page74"/>
    <w:bookmarkEnd w:id="7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4" w:name="page75"/>
    <w:bookmarkEnd w:id="7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5" w:name="page76"/>
    <w:bookmarkEnd w:id="7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2020-10-06T07:33:10Z</dcterms:created>
  <dcterms:modified xsi:type="dcterms:W3CDTF">2020-10-06T07:33:10Z</dcterms:modified>
</cp:coreProperties>
</file>