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July 1, 2019.</w:t>
      </w:r>
    </w:p>
    <w:p>
      <w:pPr>
        <w:spacing w:after="0" w:line="25"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118110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118110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121920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09"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29" w:lineRule="exact"/>
        <w:rPr>
          <w:sz w:val="24"/>
          <w:szCs w:val="24"/>
          <w:color w:val="auto"/>
        </w:rPr>
      </w:pPr>
    </w:p>
    <w:p>
      <w:pPr>
        <w:sectPr>
          <w:pgSz w:w="11900" w:h="16838" w:orient="portrait"/>
          <w:cols w:equalWidth="0" w:num="2">
            <w:col w:w="7520" w:space="720"/>
            <w:col w:w="3180"/>
          </w:cols>
          <w:pgMar w:left="240" w:top="230" w:right="239" w:bottom="1440" w:gutter="0" w:footer="0" w:header="0"/>
          <w:type w:val="continuous"/>
        </w:sectPr>
      </w:pPr>
    </w:p>
    <w:p>
      <w:pPr>
        <w:ind w:left="1880"/>
        <w:spacing w:after="0"/>
        <w:rPr>
          <w:sz w:val="20"/>
          <w:szCs w:val="20"/>
          <w:color w:val="auto"/>
        </w:rPr>
      </w:pPr>
      <w:r>
        <w:rPr>
          <w:rFonts w:ascii="Arial" w:cs="Arial" w:eastAsia="Arial" w:hAnsi="Arial"/>
          <w:sz w:val="14"/>
          <w:szCs w:val="14"/>
          <w:b w:val="1"/>
          <w:bCs w:val="1"/>
          <w:color w:val="auto"/>
        </w:rPr>
        <w:t>(State or other jurisdiction of</w:t>
      </w:r>
    </w:p>
    <w:p>
      <w:pPr>
        <w:ind w:left="18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(I.R.S. Employer</w:t>
      </w:r>
    </w:p>
    <w:p>
      <w:pPr>
        <w:jc w:val="center"/>
        <w:ind w:right="1980"/>
        <w:spacing w:after="0"/>
        <w:rPr>
          <w:sz w:val="20"/>
          <w:szCs w:val="20"/>
          <w:color w:val="auto"/>
        </w:rPr>
      </w:pPr>
      <w:r>
        <w:rPr>
          <w:rFonts w:ascii="Arial" w:cs="Arial" w:eastAsia="Arial" w:hAnsi="Arial"/>
          <w:sz w:val="14"/>
          <w:szCs w:val="14"/>
          <w:b w:val="1"/>
          <w:bCs w:val="1"/>
          <w:color w:val="auto"/>
        </w:rPr>
        <w:t>Identification Number)</w:t>
      </w:r>
    </w:p>
    <w:p>
      <w:pPr>
        <w:spacing w:after="0" w:line="59" w:lineRule="exact"/>
        <w:rPr>
          <w:sz w:val="24"/>
          <w:szCs w:val="24"/>
          <w:color w:val="auto"/>
        </w:rPr>
      </w:pPr>
    </w:p>
    <w:p>
      <w:pPr>
        <w:sectPr>
          <w:pgSz w:w="11900" w:h="16838" w:orient="portrait"/>
          <w:cols w:equalWidth="0" w:num="2">
            <w:col w:w="7200" w:space="720"/>
            <w:col w:w="35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Kendall Square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Building 300, Suite 201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117475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914-8420</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117475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Geoff MacKay</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One Kendall Square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Building 300, Suite 201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914-8420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117475</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28" w:lineRule="exact"/>
        <w:rPr>
          <w:sz w:val="24"/>
          <w:szCs w:val="24"/>
          <w:color w:val="auto"/>
        </w:rPr>
      </w:pPr>
    </w:p>
    <w:tbl>
      <w:tblPr>
        <w:tblLayout w:type="fixed"/>
        <w:tblInd w:w="172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6"/>
                <w:szCs w:val="16"/>
                <w:b w:val="1"/>
                <w:bCs w:val="1"/>
                <w:i w:val="1"/>
                <w:iCs w:val="1"/>
                <w:color w:val="auto"/>
              </w:rPr>
              <w:t>With copies to:</w:t>
            </w:r>
          </w:p>
        </w:tc>
      </w:tr>
      <w:tr>
        <w:trPr>
          <w:trHeight w:val="245"/>
        </w:trPr>
        <w:tc>
          <w:tcPr>
            <w:tcW w:w="2860" w:type="dxa"/>
            <w:vAlign w:val="bottom"/>
          </w:tcPr>
          <w:p>
            <w:pPr>
              <w:jc w:val="center"/>
              <w:ind w:right="499"/>
              <w:spacing w:after="0"/>
              <w:rPr>
                <w:sz w:val="20"/>
                <w:szCs w:val="20"/>
                <w:color w:val="auto"/>
              </w:rPr>
            </w:pPr>
            <w:r>
              <w:rPr>
                <w:rFonts w:ascii="Arial" w:cs="Arial" w:eastAsia="Arial" w:hAnsi="Arial"/>
                <w:sz w:val="16"/>
                <w:szCs w:val="16"/>
                <w:b w:val="1"/>
                <w:bCs w:val="1"/>
                <w:color w:val="auto"/>
              </w:rPr>
              <w:t>Arthur McGivern, Esq.</w:t>
            </w:r>
          </w:p>
        </w:tc>
        <w:tc>
          <w:tcPr>
            <w:tcW w:w="5400" w:type="dxa"/>
            <w:vAlign w:val="bottom"/>
          </w:tcPr>
          <w:p>
            <w:pPr>
              <w:jc w:val="center"/>
              <w:ind w:left="2719"/>
              <w:spacing w:after="0"/>
              <w:rPr>
                <w:sz w:val="20"/>
                <w:szCs w:val="20"/>
                <w:color w:val="auto"/>
              </w:rPr>
            </w:pPr>
            <w:r>
              <w:rPr>
                <w:rFonts w:ascii="Arial" w:cs="Arial" w:eastAsia="Arial" w:hAnsi="Arial"/>
                <w:sz w:val="16"/>
                <w:szCs w:val="16"/>
                <w:b w:val="1"/>
                <w:bCs w:val="1"/>
                <w:color w:val="auto"/>
                <w:w w:val="99"/>
              </w:rPr>
              <w:t>Erik Ostrowski</w:t>
            </w:r>
          </w:p>
        </w:tc>
      </w:tr>
      <w:tr>
        <w:trPr>
          <w:trHeight w:val="189"/>
        </w:trPr>
        <w:tc>
          <w:tcPr>
            <w:tcW w:w="2860" w:type="dxa"/>
            <w:vAlign w:val="bottom"/>
          </w:tcPr>
          <w:p>
            <w:pPr>
              <w:jc w:val="center"/>
              <w:ind w:right="479"/>
              <w:spacing w:after="0"/>
              <w:rPr>
                <w:sz w:val="20"/>
                <w:szCs w:val="20"/>
                <w:color w:val="auto"/>
              </w:rPr>
            </w:pPr>
            <w:r>
              <w:rPr>
                <w:rFonts w:ascii="Arial" w:cs="Arial" w:eastAsia="Arial" w:hAnsi="Arial"/>
                <w:sz w:val="16"/>
                <w:szCs w:val="16"/>
                <w:b w:val="1"/>
                <w:bCs w:val="1"/>
                <w:color w:val="auto"/>
              </w:rPr>
              <w:t>James Xu, Esq.</w:t>
            </w:r>
          </w:p>
        </w:tc>
        <w:tc>
          <w:tcPr>
            <w:tcW w:w="5400" w:type="dxa"/>
            <w:vAlign w:val="bottom"/>
          </w:tcPr>
          <w:p>
            <w:pPr>
              <w:jc w:val="center"/>
              <w:ind w:left="2719"/>
              <w:spacing w:after="0"/>
              <w:rPr>
                <w:sz w:val="20"/>
                <w:szCs w:val="20"/>
                <w:color w:val="auto"/>
              </w:rPr>
            </w:pPr>
            <w:r>
              <w:rPr>
                <w:rFonts w:ascii="Arial" w:cs="Arial" w:eastAsia="Arial" w:hAnsi="Arial"/>
                <w:sz w:val="16"/>
                <w:szCs w:val="16"/>
                <w:b w:val="1"/>
                <w:bCs w:val="1"/>
                <w:color w:val="auto"/>
              </w:rPr>
              <w:t>AVROBIO, Inc.</w:t>
            </w:r>
          </w:p>
        </w:tc>
      </w:tr>
      <w:tr>
        <w:trPr>
          <w:trHeight w:val="189"/>
        </w:trPr>
        <w:tc>
          <w:tcPr>
            <w:tcW w:w="2860" w:type="dxa"/>
            <w:vAlign w:val="bottom"/>
          </w:tcPr>
          <w:p>
            <w:pPr>
              <w:jc w:val="center"/>
              <w:ind w:right="479"/>
              <w:spacing w:after="0"/>
              <w:rPr>
                <w:sz w:val="20"/>
                <w:szCs w:val="20"/>
                <w:color w:val="auto"/>
              </w:rPr>
            </w:pPr>
            <w:r>
              <w:rPr>
                <w:rFonts w:ascii="Arial" w:cs="Arial" w:eastAsia="Arial" w:hAnsi="Arial"/>
                <w:sz w:val="16"/>
                <w:szCs w:val="16"/>
                <w:b w:val="1"/>
                <w:bCs w:val="1"/>
                <w:color w:val="auto"/>
              </w:rPr>
              <w:t>Goodwin Procter LLP</w:t>
            </w:r>
          </w:p>
        </w:tc>
        <w:tc>
          <w:tcPr>
            <w:tcW w:w="5400" w:type="dxa"/>
            <w:vAlign w:val="bottom"/>
          </w:tcPr>
          <w:p>
            <w:pPr>
              <w:jc w:val="center"/>
              <w:ind w:left="2699"/>
              <w:spacing w:after="0"/>
              <w:rPr>
                <w:sz w:val="20"/>
                <w:szCs w:val="20"/>
                <w:color w:val="auto"/>
              </w:rPr>
            </w:pPr>
            <w:r>
              <w:rPr>
                <w:rFonts w:ascii="Arial" w:cs="Arial" w:eastAsia="Arial" w:hAnsi="Arial"/>
                <w:sz w:val="16"/>
                <w:szCs w:val="16"/>
                <w:b w:val="1"/>
                <w:bCs w:val="1"/>
                <w:color w:val="auto"/>
              </w:rPr>
              <w:t>One Kendall Square</w:t>
            </w:r>
          </w:p>
        </w:tc>
      </w:tr>
      <w:tr>
        <w:trPr>
          <w:trHeight w:val="189"/>
        </w:trPr>
        <w:tc>
          <w:tcPr>
            <w:tcW w:w="2860" w:type="dxa"/>
            <w:vAlign w:val="bottom"/>
          </w:tcPr>
          <w:p>
            <w:pPr>
              <w:jc w:val="center"/>
              <w:ind w:right="479"/>
              <w:spacing w:after="0"/>
              <w:rPr>
                <w:sz w:val="20"/>
                <w:szCs w:val="20"/>
                <w:color w:val="auto"/>
              </w:rPr>
            </w:pPr>
            <w:r>
              <w:rPr>
                <w:rFonts w:ascii="Arial" w:cs="Arial" w:eastAsia="Arial" w:hAnsi="Arial"/>
                <w:sz w:val="16"/>
                <w:szCs w:val="16"/>
                <w:b w:val="1"/>
                <w:bCs w:val="1"/>
                <w:color w:val="auto"/>
              </w:rPr>
              <w:t>100 Northern Avenue</w:t>
            </w:r>
          </w:p>
        </w:tc>
        <w:tc>
          <w:tcPr>
            <w:tcW w:w="5400" w:type="dxa"/>
            <w:vAlign w:val="bottom"/>
          </w:tcPr>
          <w:p>
            <w:pPr>
              <w:jc w:val="center"/>
              <w:ind w:left="2719"/>
              <w:spacing w:after="0"/>
              <w:rPr>
                <w:sz w:val="20"/>
                <w:szCs w:val="20"/>
                <w:color w:val="auto"/>
              </w:rPr>
            </w:pPr>
            <w:r>
              <w:rPr>
                <w:rFonts w:ascii="Arial" w:cs="Arial" w:eastAsia="Arial" w:hAnsi="Arial"/>
                <w:sz w:val="16"/>
                <w:szCs w:val="16"/>
                <w:b w:val="1"/>
                <w:bCs w:val="1"/>
                <w:color w:val="auto"/>
              </w:rPr>
              <w:t>Building 300, Suite 201</w:t>
            </w:r>
          </w:p>
        </w:tc>
      </w:tr>
      <w:tr>
        <w:trPr>
          <w:trHeight w:val="189"/>
        </w:trPr>
        <w:tc>
          <w:tcPr>
            <w:tcW w:w="2860" w:type="dxa"/>
            <w:vAlign w:val="bottom"/>
          </w:tcPr>
          <w:p>
            <w:pPr>
              <w:jc w:val="center"/>
              <w:ind w:right="479"/>
              <w:spacing w:after="0"/>
              <w:rPr>
                <w:sz w:val="20"/>
                <w:szCs w:val="20"/>
                <w:color w:val="auto"/>
              </w:rPr>
            </w:pPr>
            <w:r>
              <w:rPr>
                <w:rFonts w:ascii="Arial" w:cs="Arial" w:eastAsia="Arial" w:hAnsi="Arial"/>
                <w:sz w:val="16"/>
                <w:szCs w:val="16"/>
                <w:b w:val="1"/>
                <w:bCs w:val="1"/>
                <w:color w:val="auto"/>
              </w:rPr>
              <w:t>Boston, Massachusetts 02210</w:t>
            </w:r>
          </w:p>
        </w:tc>
        <w:tc>
          <w:tcPr>
            <w:tcW w:w="5400" w:type="dxa"/>
            <w:vAlign w:val="bottom"/>
          </w:tcPr>
          <w:p>
            <w:pPr>
              <w:jc w:val="center"/>
              <w:ind w:left="2719"/>
              <w:spacing w:after="0"/>
              <w:rPr>
                <w:sz w:val="20"/>
                <w:szCs w:val="20"/>
                <w:color w:val="auto"/>
              </w:rPr>
            </w:pPr>
            <w:r>
              <w:rPr>
                <w:rFonts w:ascii="Arial" w:cs="Arial" w:eastAsia="Arial" w:hAnsi="Arial"/>
                <w:sz w:val="16"/>
                <w:szCs w:val="16"/>
                <w:b w:val="1"/>
                <w:bCs w:val="1"/>
                <w:color w:val="auto"/>
              </w:rPr>
              <w:t>Cambridge, Massachusetts 02139</w:t>
            </w:r>
          </w:p>
        </w:tc>
      </w:tr>
      <w:tr>
        <w:trPr>
          <w:trHeight w:val="215"/>
        </w:trPr>
        <w:tc>
          <w:tcPr>
            <w:tcW w:w="2860" w:type="dxa"/>
            <w:vAlign w:val="bottom"/>
          </w:tcPr>
          <w:p>
            <w:pPr>
              <w:jc w:val="center"/>
              <w:ind w:right="479"/>
              <w:spacing w:after="0"/>
              <w:rPr>
                <w:sz w:val="20"/>
                <w:szCs w:val="20"/>
                <w:color w:val="auto"/>
              </w:rPr>
            </w:pPr>
            <w:r>
              <w:rPr>
                <w:rFonts w:ascii="Arial" w:cs="Arial" w:eastAsia="Arial" w:hAnsi="Arial"/>
                <w:sz w:val="16"/>
                <w:szCs w:val="16"/>
                <w:b w:val="1"/>
                <w:bCs w:val="1"/>
                <w:color w:val="auto"/>
              </w:rPr>
              <w:t>(617) 570-1000</w:t>
            </w:r>
          </w:p>
        </w:tc>
        <w:tc>
          <w:tcPr>
            <w:tcW w:w="5400" w:type="dxa"/>
            <w:vAlign w:val="bottom"/>
          </w:tcPr>
          <w:p>
            <w:pPr>
              <w:jc w:val="center"/>
              <w:ind w:left="2719"/>
              <w:spacing w:after="0"/>
              <w:rPr>
                <w:sz w:val="20"/>
                <w:szCs w:val="20"/>
                <w:color w:val="auto"/>
              </w:rPr>
            </w:pPr>
            <w:r>
              <w:rPr>
                <w:rFonts w:ascii="Arial" w:cs="Arial" w:eastAsia="Arial" w:hAnsi="Arial"/>
                <w:sz w:val="16"/>
                <w:szCs w:val="16"/>
                <w:b w:val="1"/>
                <w:bCs w:val="1"/>
                <w:color w:val="auto"/>
              </w:rPr>
              <w:t>(617) 914-8420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123825</wp:posOffset>
            </wp:positionV>
            <wp:extent cx="1878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8" w:lineRule="exact"/>
        <w:rPr>
          <w:sz w:val="24"/>
          <w:szCs w:val="24"/>
          <w:color w:val="auto"/>
        </w:rPr>
      </w:pPr>
    </w:p>
    <w:p>
      <w:pPr>
        <w:ind w:right="10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57"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1"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57"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5400" w:type="dxa"/>
            <w:vAlign w:val="bottom"/>
          </w:tcPr>
          <w:p>
            <w:pPr>
              <w:ind w:left="30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8" w:lineRule="exact"/>
        <w:rPr>
          <w:sz w:val="20"/>
          <w:szCs w:val="20"/>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155575</wp:posOffset>
            </wp:positionV>
            <wp:extent cx="1878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3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r>
      <w:tr>
        <w:trPr>
          <w:trHeight w:val="129"/>
        </w:trPr>
        <w:tc>
          <w:tcPr>
            <w:tcW w:w="43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8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20" w:type="dxa"/>
            <w:vAlign w:val="bottom"/>
          </w:tcPr>
          <w:p>
            <w:pPr>
              <w:spacing w:after="0"/>
              <w:rPr>
                <w:sz w:val="11"/>
                <w:szCs w:val="11"/>
                <w:color w:val="auto"/>
              </w:rPr>
            </w:pPr>
          </w:p>
        </w:tc>
      </w:tr>
      <w:tr>
        <w:trPr>
          <w:trHeight w:val="162"/>
        </w:trPr>
        <w:tc>
          <w:tcPr>
            <w:tcW w:w="436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rPr>
              <w:t>Amount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20" w:type="dxa"/>
            <w:vAlign w:val="bottom"/>
          </w:tcPr>
          <w:p>
            <w:pPr>
              <w:spacing w:after="0"/>
              <w:rPr>
                <w:sz w:val="14"/>
                <w:szCs w:val="14"/>
                <w:color w:val="auto"/>
              </w:rPr>
            </w:pPr>
          </w:p>
        </w:tc>
      </w:tr>
      <w:tr>
        <w:trPr>
          <w:trHeight w:val="162"/>
        </w:trPr>
        <w:tc>
          <w:tcPr>
            <w:tcW w:w="4360" w:type="dxa"/>
            <w:vAlign w:val="bottom"/>
            <w:tcBorders>
              <w:right w:val="single" w:sz="8" w:color="auto"/>
            </w:tcBorders>
          </w:tcPr>
          <w:p>
            <w:pPr>
              <w:ind w:left="1440"/>
              <w:spacing w:after="0"/>
              <w:rPr>
                <w:sz w:val="20"/>
                <w:szCs w:val="20"/>
                <w:color w:val="auto"/>
              </w:rPr>
            </w:pPr>
            <w:r>
              <w:rPr>
                <w:rFonts w:ascii="Arial" w:cs="Arial" w:eastAsia="Arial" w:hAnsi="Arial"/>
                <w:sz w:val="14"/>
                <w:szCs w:val="14"/>
                <w:b w:val="1"/>
                <w:bCs w:val="1"/>
                <w:color w:val="auto"/>
              </w:rPr>
              <w:t>Title of Each Class of</w:t>
            </w:r>
          </w:p>
        </w:tc>
        <w:tc>
          <w:tcPr>
            <w:tcW w:w="1820" w:type="dxa"/>
            <w:vAlign w:val="bottom"/>
            <w:tcBorders>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rPr>
              <w:t>to be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620" w:type="dxa"/>
            <w:vAlign w:val="bottom"/>
          </w:tcPr>
          <w:p>
            <w:pPr>
              <w:jc w:val="center"/>
              <w:ind w:left="63"/>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436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Securities to be Registered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Registered(1)</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Price(3)</w:t>
            </w:r>
          </w:p>
        </w:tc>
        <w:tc>
          <w:tcPr>
            <w:tcW w:w="1620" w:type="dxa"/>
            <w:vAlign w:val="bottom"/>
            <w:tcBorders>
              <w:bottom w:val="single" w:sz="8" w:color="auto"/>
            </w:tcBorders>
          </w:tcPr>
          <w:p>
            <w:pPr>
              <w:jc w:val="center"/>
              <w:ind w:left="83"/>
              <w:spacing w:after="0"/>
              <w:rPr>
                <w:sz w:val="20"/>
                <w:szCs w:val="20"/>
                <w:color w:val="auto"/>
              </w:rPr>
            </w:pPr>
            <w:r>
              <w:rPr>
                <w:rFonts w:ascii="Arial" w:cs="Arial" w:eastAsia="Arial" w:hAnsi="Arial"/>
                <w:sz w:val="14"/>
                <w:szCs w:val="14"/>
                <w:b w:val="1"/>
                <w:bCs w:val="1"/>
                <w:color w:val="auto"/>
              </w:rPr>
              <w:t>Registration Fee(4)</w:t>
            </w:r>
          </w:p>
        </w:tc>
      </w:tr>
      <w:tr>
        <w:trPr>
          <w:trHeight w:val="183"/>
        </w:trPr>
        <w:tc>
          <w:tcPr>
            <w:tcW w:w="4360" w:type="dxa"/>
            <w:vAlign w:val="bottom"/>
            <w:tcBorders>
              <w:bottom w:val="single" w:sz="8" w:color="auto"/>
              <w:right w:val="single" w:sz="8" w:color="auto"/>
            </w:tcBorders>
          </w:tcPr>
          <w:p>
            <w:pPr>
              <w:ind w:left="340"/>
              <w:spacing w:after="0" w:line="183" w:lineRule="exact"/>
              <w:rPr>
                <w:sz w:val="20"/>
                <w:szCs w:val="20"/>
                <w:color w:val="auto"/>
              </w:rPr>
            </w:pPr>
            <w:r>
              <w:rPr>
                <w:rFonts w:ascii="Arial" w:cs="Arial" w:eastAsia="Arial" w:hAnsi="Arial"/>
                <w:sz w:val="16"/>
                <w:szCs w:val="16"/>
                <w:color w:val="auto"/>
              </w:rPr>
              <w:t>Common Stock(5)</w:t>
            </w:r>
          </w:p>
        </w:tc>
        <w:tc>
          <w:tcPr>
            <w:tcW w:w="182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83"/>
        </w:trPr>
        <w:tc>
          <w:tcPr>
            <w:tcW w:w="4360" w:type="dxa"/>
            <w:vAlign w:val="bottom"/>
            <w:tcBorders>
              <w:bottom w:val="single" w:sz="8" w:color="auto"/>
              <w:right w:val="single" w:sz="8" w:color="auto"/>
            </w:tcBorders>
          </w:tcPr>
          <w:p>
            <w:pPr>
              <w:ind w:left="340"/>
              <w:spacing w:after="0" w:line="183" w:lineRule="exact"/>
              <w:rPr>
                <w:sz w:val="20"/>
                <w:szCs w:val="20"/>
                <w:color w:val="auto"/>
              </w:rPr>
            </w:pPr>
            <w:r>
              <w:rPr>
                <w:rFonts w:ascii="Arial" w:cs="Arial" w:eastAsia="Arial" w:hAnsi="Arial"/>
                <w:sz w:val="16"/>
                <w:szCs w:val="16"/>
                <w:color w:val="auto"/>
              </w:rPr>
              <w:t>Preferred Stock(6)</w:t>
            </w:r>
          </w:p>
        </w:tc>
        <w:tc>
          <w:tcPr>
            <w:tcW w:w="182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83"/>
        </w:trPr>
        <w:tc>
          <w:tcPr>
            <w:tcW w:w="4360" w:type="dxa"/>
            <w:vAlign w:val="bottom"/>
            <w:tcBorders>
              <w:bottom w:val="single" w:sz="8" w:color="auto"/>
              <w:right w:val="single" w:sz="8" w:color="auto"/>
            </w:tcBorders>
          </w:tcPr>
          <w:p>
            <w:pPr>
              <w:ind w:left="340"/>
              <w:spacing w:after="0" w:line="183" w:lineRule="exact"/>
              <w:rPr>
                <w:sz w:val="20"/>
                <w:szCs w:val="20"/>
                <w:color w:val="auto"/>
              </w:rPr>
            </w:pPr>
            <w:r>
              <w:rPr>
                <w:rFonts w:ascii="Arial" w:cs="Arial" w:eastAsia="Arial" w:hAnsi="Arial"/>
                <w:sz w:val="16"/>
                <w:szCs w:val="16"/>
                <w:color w:val="auto"/>
              </w:rPr>
              <w:t>Debt Securities(7)</w:t>
            </w:r>
          </w:p>
        </w:tc>
        <w:tc>
          <w:tcPr>
            <w:tcW w:w="182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83"/>
        </w:trPr>
        <w:tc>
          <w:tcPr>
            <w:tcW w:w="4360" w:type="dxa"/>
            <w:vAlign w:val="bottom"/>
            <w:tcBorders>
              <w:bottom w:val="single" w:sz="8" w:color="auto"/>
              <w:right w:val="single" w:sz="8" w:color="auto"/>
            </w:tcBorders>
          </w:tcPr>
          <w:p>
            <w:pPr>
              <w:ind w:left="340"/>
              <w:spacing w:after="0" w:line="183" w:lineRule="exact"/>
              <w:rPr>
                <w:sz w:val="20"/>
                <w:szCs w:val="20"/>
                <w:color w:val="auto"/>
              </w:rPr>
            </w:pPr>
            <w:r>
              <w:rPr>
                <w:rFonts w:ascii="Arial" w:cs="Arial" w:eastAsia="Arial" w:hAnsi="Arial"/>
                <w:sz w:val="16"/>
                <w:szCs w:val="16"/>
                <w:color w:val="auto"/>
              </w:rPr>
              <w:t>Warrants(8)</w:t>
            </w:r>
          </w:p>
        </w:tc>
        <w:tc>
          <w:tcPr>
            <w:tcW w:w="182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83"/>
        </w:trPr>
        <w:tc>
          <w:tcPr>
            <w:tcW w:w="4360" w:type="dxa"/>
            <w:vAlign w:val="bottom"/>
            <w:tcBorders>
              <w:bottom w:val="single" w:sz="8" w:color="auto"/>
              <w:right w:val="single" w:sz="8" w:color="auto"/>
            </w:tcBorders>
          </w:tcPr>
          <w:p>
            <w:pPr>
              <w:ind w:left="340"/>
              <w:spacing w:after="0" w:line="183" w:lineRule="exact"/>
              <w:rPr>
                <w:sz w:val="20"/>
                <w:szCs w:val="20"/>
                <w:color w:val="auto"/>
              </w:rPr>
            </w:pPr>
            <w:r>
              <w:rPr>
                <w:rFonts w:ascii="Arial" w:cs="Arial" w:eastAsia="Arial" w:hAnsi="Arial"/>
                <w:sz w:val="16"/>
                <w:szCs w:val="16"/>
                <w:color w:val="auto"/>
              </w:rPr>
              <w:t>Units(9)</w:t>
            </w:r>
          </w:p>
        </w:tc>
        <w:tc>
          <w:tcPr>
            <w:tcW w:w="182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83"/>
        </w:trPr>
        <w:tc>
          <w:tcPr>
            <w:tcW w:w="436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Total Offering</w:t>
            </w:r>
          </w:p>
        </w:tc>
        <w:tc>
          <w:tcPr>
            <w:tcW w:w="1820" w:type="dxa"/>
            <w:vAlign w:val="bottom"/>
            <w:tcBorders>
              <w:bottom w:val="single" w:sz="8" w:color="auto"/>
              <w:right w:val="single" w:sz="8" w:color="auto"/>
            </w:tcBorders>
          </w:tcPr>
          <w:p>
            <w:pPr>
              <w:jc w:val="right"/>
              <w:ind w:right="306"/>
              <w:spacing w:after="0" w:line="183" w:lineRule="exact"/>
              <w:rPr>
                <w:sz w:val="20"/>
                <w:szCs w:val="20"/>
                <w:color w:val="auto"/>
              </w:rPr>
            </w:pPr>
            <w:r>
              <w:rPr>
                <w:rFonts w:ascii="Arial" w:cs="Arial" w:eastAsia="Arial" w:hAnsi="Arial"/>
                <w:sz w:val="16"/>
                <w:szCs w:val="16"/>
                <w:b w:val="1"/>
                <w:bCs w:val="1"/>
                <w:color w:val="auto"/>
              </w:rPr>
              <w:t>$200,000,000</w:t>
            </w:r>
          </w:p>
        </w:tc>
        <w:tc>
          <w:tcPr>
            <w:tcW w:w="18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6"/>
              </w:rPr>
              <w:t>N.A.</w:t>
            </w:r>
          </w:p>
        </w:tc>
        <w:tc>
          <w:tcPr>
            <w:tcW w:w="18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$200,000,000</w:t>
            </w:r>
          </w:p>
        </w:tc>
        <w:tc>
          <w:tcPr>
            <w:tcW w:w="1620" w:type="dxa"/>
            <w:vAlign w:val="bottom"/>
            <w:tcBorders>
              <w:bottom w:val="single" w:sz="8" w:color="auto"/>
            </w:tcBorders>
          </w:tcPr>
          <w:p>
            <w:pPr>
              <w:jc w:val="center"/>
              <w:ind w:left="83"/>
              <w:spacing w:after="0" w:line="183" w:lineRule="exact"/>
              <w:rPr>
                <w:sz w:val="20"/>
                <w:szCs w:val="20"/>
                <w:color w:val="auto"/>
              </w:rPr>
            </w:pPr>
            <w:r>
              <w:rPr>
                <w:rFonts w:ascii="Arial" w:cs="Arial" w:eastAsia="Arial" w:hAnsi="Arial"/>
                <w:sz w:val="16"/>
                <w:szCs w:val="16"/>
                <w:b w:val="1"/>
                <w:bCs w:val="1"/>
                <w:color w:val="auto"/>
              </w:rPr>
              <w:t>$24,240</w:t>
            </w:r>
          </w:p>
        </w:tc>
      </w:tr>
      <w:tr>
        <w:trPr>
          <w:trHeight w:val="183"/>
        </w:trPr>
        <w:tc>
          <w:tcPr>
            <w:tcW w:w="4360" w:type="dxa"/>
            <w:vAlign w:val="bottom"/>
            <w:tcBorders>
              <w:bottom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Total Registration Fee</w:t>
            </w:r>
          </w:p>
        </w:tc>
        <w:tc>
          <w:tcPr>
            <w:tcW w:w="182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$200,000,000</w:t>
            </w:r>
          </w:p>
        </w:tc>
        <w:tc>
          <w:tcPr>
            <w:tcW w:w="1620" w:type="dxa"/>
            <w:vAlign w:val="bottom"/>
            <w:tcBorders>
              <w:bottom w:val="single" w:sz="8" w:color="auto"/>
            </w:tcBorders>
          </w:tcPr>
          <w:p>
            <w:pPr>
              <w:jc w:val="center"/>
              <w:ind w:left="83"/>
              <w:spacing w:after="0" w:line="183" w:lineRule="exact"/>
              <w:rPr>
                <w:sz w:val="20"/>
                <w:szCs w:val="20"/>
                <w:color w:val="auto"/>
              </w:rPr>
            </w:pPr>
            <w:r>
              <w:rPr>
                <w:rFonts w:ascii="Arial" w:cs="Arial" w:eastAsia="Arial" w:hAnsi="Arial"/>
                <w:sz w:val="16"/>
                <w:szCs w:val="16"/>
                <w:b w:val="1"/>
                <w:bCs w:val="1"/>
                <w:color w:val="auto"/>
              </w:rPr>
              <w:t>$24,240</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ind w:left="340" w:right="120" w:hanging="332"/>
        <w:spacing w:after="0" w:line="24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consists of up to $200,000,000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spacing w:after="0" w:line="2"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has been calculated in accordance with Rule 457(o) under the Securities Act.</w:t>
      </w:r>
    </w:p>
    <w:p>
      <w:pPr>
        <w:spacing w:after="0" w:line="5"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340" w:right="180" w:hanging="332"/>
        <w:spacing w:after="0" w:line="24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340" w:right="180" w:hanging="332"/>
        <w:spacing w:after="0" w:line="24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principal amount of debt securities as may be issued from time to time at indeterminate prices or upon exercise of warrants registered hereby, as the case may be.</w:t>
      </w:r>
    </w:p>
    <w:p>
      <w:pPr>
        <w:ind w:left="340" w:right="140" w:hanging="332"/>
        <w:spacing w:after="0" w:line="24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number of warrants or other rights, including without limitation share purchase or subscription rights, as may be issued from time to time at indeterminate prices.</w:t>
      </w:r>
    </w:p>
    <w:p>
      <w:pPr>
        <w:ind w:left="340" w:right="420" w:hanging="332"/>
        <w:spacing w:after="0" w:line="260"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Each unit will be issued under a unit agreement and will represent an interest in two or more securities, which may or may not be separable from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148590</wp:posOffset>
            </wp:positionV>
            <wp:extent cx="1878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4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registration statement contains two prospectuses:</w:t>
      </w:r>
    </w:p>
    <w:p>
      <w:pPr>
        <w:spacing w:after="0" w:line="239" w:lineRule="exact"/>
        <w:rPr>
          <w:sz w:val="20"/>
          <w:szCs w:val="20"/>
          <w:color w:val="auto"/>
        </w:rPr>
      </w:pPr>
    </w:p>
    <w:p>
      <w:pPr>
        <w:ind w:left="800" w:right="180" w:hanging="454"/>
        <w:spacing w:after="0" w:line="223" w:lineRule="auto"/>
        <w:tabs>
          <w:tab w:leader="none" w:pos="80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base prospectus which covers the offering, issuance and sale by us of up to $200,000,000 in the aggregate of the securities identified above from time to time, subject to market conditions and prices, liquidity objectives and other investment considerations; and</w:t>
      </w:r>
    </w:p>
    <w:p>
      <w:pPr>
        <w:spacing w:after="0" w:line="2" w:lineRule="exact"/>
        <w:rPr>
          <w:rFonts w:ascii="MS PGothic" w:cs="MS PGothic" w:eastAsia="MS PGothic" w:hAnsi="MS PGothic"/>
          <w:sz w:val="25"/>
          <w:szCs w:val="25"/>
          <w:color w:val="auto"/>
          <w:vertAlign w:val="superscript"/>
        </w:rPr>
      </w:pPr>
    </w:p>
    <w:p>
      <w:pPr>
        <w:ind w:left="800" w:hanging="454"/>
        <w:spacing w:after="0" w:line="217" w:lineRule="auto"/>
        <w:tabs>
          <w:tab w:leader="none" w:pos="80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sales agreement prospectus covering the offering, issuance and sale by us of up to a maximum aggregate offering price of</w:t>
      </w:r>
    </w:p>
    <w:p>
      <w:pPr>
        <w:ind w:left="800" w:right="300"/>
        <w:spacing w:after="0" w:line="24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$50,000,000 of our common stock that may be issued and sold under a Sales Agreement entered into with Cowen and Company, LLC.</w:t>
      </w:r>
    </w:p>
    <w:p>
      <w:pPr>
        <w:spacing w:after="0" w:line="197"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by us pursuant to the base prospectus will be specified in a prospectus supplement to the base prospectus. The specific terms of the securities to be issued and sold under the Sales Agreement are specified in the sales agreement prospectus that immediately follows the base prospectus. The $50,000,000 of common stock that may be offered, issued and sold under the sales agreement prospectus is included in the $200,000,000 of securities that may be offered, issued and sold by us pursuant to this registration statement. Upon termination of the Sales Agreement with Cowen and Company, LLC, any portion of the $50,000,000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$200,000,000 of securities may be sold in other offerings by us pursuant to the base prospectus and a corresponding prospectus supplement.</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D6284A"/>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D6284A"/>
              </w:rPr>
              <w:t>Subject to Completion</w:t>
            </w:r>
          </w:p>
        </w:tc>
        <w:tc>
          <w:tcPr>
            <w:tcW w:w="5540" w:type="dxa"/>
            <w:vAlign w:val="bottom"/>
          </w:tcPr>
          <w:p>
            <w:pPr>
              <w:ind w:left="3980"/>
              <w:spacing w:after="0"/>
              <w:rPr>
                <w:sz w:val="20"/>
                <w:szCs w:val="20"/>
                <w:color w:val="auto"/>
              </w:rPr>
            </w:pPr>
            <w:r>
              <w:rPr>
                <w:rFonts w:ascii="Arial" w:cs="Arial" w:eastAsia="Arial" w:hAnsi="Arial"/>
                <w:sz w:val="18"/>
                <w:szCs w:val="18"/>
                <w:b w:val="1"/>
                <w:bCs w:val="1"/>
                <w:color w:val="D6284A"/>
                <w:w w:val="98"/>
              </w:rPr>
              <w:t>Dated July 1, 2019</w:t>
            </w:r>
          </w:p>
        </w:tc>
      </w:tr>
      <w:tr>
        <w:trPr>
          <w:trHeight w:val="239"/>
        </w:trPr>
        <w:tc>
          <w:tcPr>
            <w:tcW w:w="5880" w:type="dxa"/>
            <w:vAlign w:val="bottom"/>
          </w:tcPr>
          <w:p>
            <w:pPr>
              <w:spacing w:after="0"/>
              <w:rPr>
                <w:sz w:val="20"/>
                <w:szCs w:val="20"/>
                <w:color w:val="auto"/>
              </w:rPr>
            </w:pPr>
            <w:r>
              <w:rPr>
                <w:rFonts w:ascii="Arial" w:cs="Arial" w:eastAsia="Arial" w:hAnsi="Arial"/>
                <w:sz w:val="18"/>
                <w:szCs w:val="18"/>
                <w:b w:val="1"/>
                <w:bCs w:val="1"/>
                <w:color w:val="auto"/>
              </w:rPr>
              <w:t>PROSPECTUS</w:t>
            </w:r>
          </w:p>
        </w:tc>
        <w:tc>
          <w:tcPr>
            <w:tcW w:w="5540" w:type="dxa"/>
            <w:vAlign w:val="bottom"/>
          </w:tcPr>
          <w:p>
            <w:pPr>
              <w:spacing w:after="0"/>
              <w:rPr>
                <w:sz w:val="20"/>
                <w:szCs w:val="20"/>
                <w:color w:val="auto"/>
              </w:rPr>
            </w:pPr>
          </w:p>
        </w:tc>
      </w:tr>
      <w:tr>
        <w:trPr>
          <w:trHeight w:val="156"/>
        </w:trPr>
        <w:tc>
          <w:tcPr>
            <w:tcW w:w="5880" w:type="dxa"/>
            <w:vAlign w:val="bottom"/>
            <w:tcBorders>
              <w:bottom w:val="single" w:sz="8" w:color="334998"/>
            </w:tcBorders>
          </w:tcPr>
          <w:p>
            <w:pPr>
              <w:spacing w:after="0"/>
              <w:rPr>
                <w:sz w:val="13"/>
                <w:szCs w:val="13"/>
                <w:color w:val="auto"/>
              </w:rPr>
            </w:pPr>
          </w:p>
        </w:tc>
        <w:tc>
          <w:tcPr>
            <w:tcW w:w="5540" w:type="dxa"/>
            <w:vAlign w:val="bottom"/>
            <w:tcBorders>
              <w:bottom w:val="single" w:sz="8" w:color="334998"/>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26035</wp:posOffset>
            </wp:positionV>
            <wp:extent cx="2195195"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951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$200,000,000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227965</wp:posOffset>
            </wp:positionV>
            <wp:extent cx="1878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may from time to time issue, in one or more series or classes, up to $200,000,000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0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05"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Our common stock is listed on The Nasdaq Global Select Market under the symbol “AVRO.” On June 27, 2019, the closing price for our common stock, as reported on The Nasdaq Global Select Market, was $15.36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215265</wp:posOffset>
            </wp:positionV>
            <wp:extent cx="1878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4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contained in this prospectus beginning on page 2 and any applicable prospectus supplement, and under similar headings in the other documents that are incorporated by reference into this prospectus.</w:t>
      </w:r>
    </w:p>
    <w:p>
      <w:pPr>
        <w:spacing w:after="0" w:line="19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tbl>
      <w:tblPr>
        <w:tblLayout w:type="fixed"/>
        <w:tblInd w:w="3660" w:type="dxa"/>
        <w:tblCellMar>
          <w:top w:w="0" w:type="dxa"/>
          <w:left w:w="0" w:type="dxa"/>
          <w:bottom w:w="0" w:type="dxa"/>
          <w:right w:w="0" w:type="dxa"/>
        </w:tblCellMar>
      </w:tblPr>
      <w:tr>
        <w:trPr>
          <w:trHeight w:val="239"/>
        </w:trPr>
        <w:tc>
          <w:tcPr>
            <w:tcW w:w="30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0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560" w:type="dxa"/>
            <w:vAlign w:val="bottom"/>
          </w:tcPr>
          <w:p>
            <w:pPr>
              <w:spacing w:after="0"/>
              <w:rPr>
                <w:sz w:val="17"/>
                <w:szCs w:val="17"/>
                <w:color w:val="auto"/>
              </w:rPr>
            </w:pPr>
          </w:p>
        </w:tc>
      </w:tr>
      <w:tr>
        <w:trPr>
          <w:trHeight w:val="534"/>
        </w:trPr>
        <w:tc>
          <w:tcPr>
            <w:tcW w:w="6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20" w:type="dxa"/>
            <w:vAlign w:val="bottom"/>
            <w:gridSpan w:val="2"/>
          </w:tcPr>
          <w:p>
            <w:pPr>
              <w:ind w:left="16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4"/>
                <w:szCs w:val="24"/>
                <w:color w:val="auto"/>
              </w:rPr>
            </w:pPr>
          </w:p>
        </w:tc>
      </w:tr>
      <w:tr>
        <w:trPr>
          <w:trHeight w:val="553"/>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1760" w:type="dxa"/>
            <w:vAlign w:val="bottom"/>
            <w:tcBorders>
              <w:bottom w:val="single" w:sz="8" w:color="0000EE"/>
            </w:tcBorders>
            <w:gridSpan w:val="9"/>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About this Prospectus</w:t>
              </w:r>
            </w:hyperlink>
          </w:p>
        </w:tc>
        <w:tc>
          <w:tcPr>
            <w:tcW w:w="7040" w:type="dxa"/>
            <w:vAlign w:val="bottom"/>
            <w:gridSpan w:val="8"/>
          </w:tcPr>
          <w:p>
            <w:pPr>
              <w:spacing w:after="0"/>
              <w:rPr>
                <w:sz w:val="15"/>
                <w:szCs w:val="15"/>
                <w:color w:val="auto"/>
              </w:rPr>
            </w:pPr>
          </w:p>
        </w:tc>
        <w:tc>
          <w:tcPr>
            <w:tcW w:w="25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880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3"/>
        </w:trPr>
        <w:tc>
          <w:tcPr>
            <w:tcW w:w="50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Cautionary Statement Regarding Forward-Looking Statements</w:t>
              </w:r>
            </w:hyperlink>
          </w:p>
        </w:tc>
        <w:tc>
          <w:tcPr>
            <w:tcW w:w="3800" w:type="dxa"/>
            <w:vAlign w:val="bottom"/>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1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The Company</w:t>
              </w:r>
            </w:hyperlink>
          </w:p>
        </w:tc>
        <w:tc>
          <w:tcPr>
            <w:tcW w:w="7660" w:type="dxa"/>
            <w:vAlign w:val="bottom"/>
            <w:gridSpan w:val="13"/>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13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Use of Proceeds</w:t>
              </w:r>
            </w:hyperlink>
          </w:p>
        </w:tc>
        <w:tc>
          <w:tcPr>
            <w:tcW w:w="7460" w:type="dxa"/>
            <w:vAlign w:val="bottom"/>
            <w:gridSpan w:val="12"/>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96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Securities We May Offer</w:t>
              </w:r>
            </w:hyperlink>
          </w:p>
        </w:tc>
        <w:tc>
          <w:tcPr>
            <w:tcW w:w="6840" w:type="dxa"/>
            <w:vAlign w:val="bottom"/>
            <w:gridSpan w:val="6"/>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Description of Capital Stock</w:t>
              </w:r>
            </w:hyperlink>
          </w:p>
        </w:tc>
        <w:tc>
          <w:tcPr>
            <w:tcW w:w="6580" w:type="dxa"/>
            <w:vAlign w:val="bottom"/>
            <w:gridSpan w:val="4"/>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38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Description of Debt Securities</w:t>
              </w:r>
            </w:hyperlink>
          </w:p>
        </w:tc>
        <w:tc>
          <w:tcPr>
            <w:tcW w:w="6420" w:type="dxa"/>
            <w:vAlign w:val="bottom"/>
            <w:gridSpan w:val="3"/>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8800" w:type="dxa"/>
            <w:vAlign w:val="bottom"/>
            <w:gridSpan w:val="17"/>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Warrants</w:t>
              </w:r>
            </w:hyperlink>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8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6920" w:type="dxa"/>
            <w:vAlign w:val="bottom"/>
            <w:gridSpan w:val="7"/>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15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Plan of Distribution</w:t>
              </w:r>
            </w:hyperlink>
          </w:p>
        </w:tc>
        <w:tc>
          <w:tcPr>
            <w:tcW w:w="40" w:type="dxa"/>
            <w:vAlign w:val="bottom"/>
            <w:tcBorders>
              <w:top w:val="single" w:sz="8" w:color="0000EE"/>
            </w:tcBorders>
          </w:tcPr>
          <w:p>
            <w:pPr>
              <w:spacing w:after="0"/>
              <w:rPr>
                <w:sz w:val="15"/>
                <w:szCs w:val="15"/>
                <w:color w:val="auto"/>
              </w:rPr>
            </w:pPr>
          </w:p>
        </w:tc>
        <w:tc>
          <w:tcPr>
            <w:tcW w:w="7240" w:type="dxa"/>
            <w:vAlign w:val="bottom"/>
            <w:gridSpan w:val="9"/>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1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Legal Matters</w:t>
              </w:r>
            </w:hyperlink>
          </w:p>
        </w:tc>
        <w:tc>
          <w:tcPr>
            <w:tcW w:w="7700" w:type="dxa"/>
            <w:vAlign w:val="bottom"/>
            <w:gridSpan w:val="14"/>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62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Experts</w:t>
              </w:r>
            </w:hyperlink>
          </w:p>
        </w:tc>
        <w:tc>
          <w:tcPr>
            <w:tcW w:w="8180" w:type="dxa"/>
            <w:vAlign w:val="bottom"/>
            <w:gridSpan w:val="16"/>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8800" w:type="dxa"/>
            <w:vAlign w:val="bottom"/>
            <w:gridSpan w:val="17"/>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1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Incorporation by Reference</w:t>
              </w:r>
            </w:hyperlink>
          </w:p>
        </w:tc>
        <w:tc>
          <w:tcPr>
            <w:tcW w:w="900" w:type="dxa"/>
            <w:vAlign w:val="bottom"/>
            <w:tcBorders>
              <w:top w:val="single" w:sz="8" w:color="0000EE"/>
            </w:tcBorders>
            <w:gridSpan w:val="3"/>
          </w:tcPr>
          <w:p>
            <w:pPr>
              <w:spacing w:after="0"/>
              <w:rPr>
                <w:sz w:val="15"/>
                <w:szCs w:val="15"/>
                <w:color w:val="auto"/>
              </w:rPr>
            </w:pPr>
          </w:p>
        </w:tc>
        <w:tc>
          <w:tcPr>
            <w:tcW w:w="5720" w:type="dxa"/>
            <w:vAlign w:val="bottom"/>
            <w:gridSpan w:val="2"/>
          </w:tcPr>
          <w:p>
            <w:pPr>
              <w:spacing w:after="0"/>
              <w:rPr>
                <w:sz w:val="15"/>
                <w:szCs w:val="15"/>
                <w:color w:val="auto"/>
              </w:rPr>
            </w:pPr>
          </w:p>
        </w:tc>
        <w:tc>
          <w:tcPr>
            <w:tcW w:w="2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bl>
    <w:p>
      <w:pPr>
        <w:sectPr>
          <w:pgSz w:w="11900" w:h="16838" w:orient="portrait"/>
          <w:cols w:equalWidth="0" w:num="1">
            <w:col w:w="11360"/>
          </w:cols>
          <w:pgMar w:left="240" w:top="446"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right="120" w:firstLine="342"/>
        <w:spacing w:after="0"/>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$200,000,000.</w:t>
      </w:r>
    </w:p>
    <w:p>
      <w:pPr>
        <w:spacing w:after="0" w:line="203" w:lineRule="exact"/>
        <w:rPr>
          <w:sz w:val="20"/>
          <w:szCs w:val="20"/>
          <w:color w:val="auto"/>
        </w:rPr>
      </w:pPr>
    </w:p>
    <w:p>
      <w:pPr>
        <w:ind w:right="200" w:firstLine="342"/>
        <w:spacing w:after="0" w:line="238"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20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6" w:lineRule="exact"/>
        <w:rPr>
          <w:sz w:val="20"/>
          <w:szCs w:val="20"/>
          <w:color w:val="auto"/>
        </w:rPr>
      </w:pPr>
    </w:p>
    <w:p>
      <w:pPr>
        <w:ind w:right="200" w:firstLine="342"/>
        <w:spacing w:after="0" w:line="271" w:lineRule="auto"/>
        <w:rPr>
          <w:sz w:val="20"/>
          <w:szCs w:val="20"/>
          <w:color w:val="auto"/>
        </w:rPr>
      </w:pPr>
      <w:r>
        <w:rPr>
          <w:rFonts w:ascii="Arial" w:cs="Arial" w:eastAsia="Arial" w:hAnsi="Arial"/>
          <w:sz w:val="18"/>
          <w:szCs w:val="18"/>
          <w:b w:val="1"/>
          <w:bCs w:val="1"/>
          <w:color w:val="auto"/>
        </w:rPr>
        <w:t>THIS PROSPECTUS MAY NOT BE USED TO OFFER AND SELL SECURITIES UNLESS IT IS ACCOMPANIED BY AN ADDITIONAL PROSPECTUS OR A PROSPECTUS SUPPLEMENT.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used in this prospectus, unless the context otherwise requires, references to the “company,” “we,” “us” and “our” refer to AVROBIO,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and, where appropriate, our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34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 on Form 10-Q for the quarter ended March 31, 2019, which is on file with the SEC and is incorporated herein by reference and (iii) other documents we file with the SEC that are deemed incorporated by reference into this prospectus.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This prospectus, including the documents that we incorporate by reference, contains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w:t>
      </w:r>
    </w:p>
    <w:p>
      <w:pPr>
        <w:spacing w:after="0" w:line="207" w:lineRule="exact"/>
        <w:rPr>
          <w:sz w:val="20"/>
          <w:szCs w:val="20"/>
          <w:color w:val="auto"/>
        </w:rPr>
      </w:pPr>
    </w:p>
    <w:p>
      <w:pPr>
        <w:ind w:right="300" w:firstLine="342"/>
        <w:spacing w:after="0" w:line="238"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30" w:lineRule="exact"/>
        <w:rPr>
          <w:sz w:val="20"/>
          <w:szCs w:val="20"/>
          <w:color w:val="auto"/>
        </w:rPr>
      </w:pPr>
    </w:p>
    <w:p>
      <w:pPr>
        <w:jc w:val="both"/>
        <w:ind w:left="800" w:hanging="454"/>
        <w:spacing w:after="0" w:line="223"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28" w:lineRule="exact"/>
        <w:rPr>
          <w:rFonts w:ascii="MS PGothic" w:cs="MS PGothic" w:eastAsia="MS PGothic" w:hAnsi="MS PGothic"/>
          <w:sz w:val="25"/>
          <w:szCs w:val="25"/>
          <w:color w:val="auto"/>
          <w:vertAlign w:val="superscript"/>
        </w:rPr>
      </w:pPr>
    </w:p>
    <w:p>
      <w:pPr>
        <w:ind w:left="800" w:right="180" w:hanging="454"/>
        <w:spacing w:after="0" w:line="223"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scope or likelihood of regulatory filings and approvals;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develop and advance product candidates into, and successfully complete, clinical studies;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26" w:lineRule="exact"/>
        <w:rPr>
          <w:rFonts w:ascii="MS PGothic" w:cs="MS PGothic" w:eastAsia="MS PGothic" w:hAnsi="MS PGothic"/>
          <w:sz w:val="25"/>
          <w:szCs w:val="25"/>
          <w:color w:val="auto"/>
          <w:vertAlign w:val="superscript"/>
        </w:rPr>
      </w:pPr>
    </w:p>
    <w:p>
      <w:pPr>
        <w:jc w:val="both"/>
        <w:ind w:left="800" w:right="720" w:hanging="454"/>
        <w:spacing w:after="0" w:line="223"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2"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commercialization, marketing and manufacturing capabilities and strategy;</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pricing and reimbursement of our product candidates, if approved;</w:t>
      </w:r>
    </w:p>
    <w:p>
      <w:pPr>
        <w:spacing w:after="0" w:line="26" w:lineRule="exact"/>
        <w:rPr>
          <w:rFonts w:ascii="MS PGothic" w:cs="MS PGothic" w:eastAsia="MS PGothic" w:hAnsi="MS PGothic"/>
          <w:sz w:val="25"/>
          <w:szCs w:val="25"/>
          <w:color w:val="auto"/>
          <w:vertAlign w:val="superscript"/>
        </w:rPr>
      </w:pPr>
    </w:p>
    <w:p>
      <w:pPr>
        <w:ind w:left="800" w:right="540" w:hanging="454"/>
        <w:spacing w:after="0" w:line="218"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establish or maintain collaborations or strategic relationships or obtain additional funding;</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competitive position;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40" w:hanging="454"/>
        <w:spacing w:after="0" w:line="218"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financial performance;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and projections relating to our competitors and our industry;</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 capital requirements and needs for additional financing;</w:t>
      </w:r>
    </w:p>
    <w:p>
      <w:pPr>
        <w:spacing w:after="0" w:line="26" w:lineRule="exact"/>
        <w:rPr>
          <w:rFonts w:ascii="MS PGothic" w:cs="MS PGothic" w:eastAsia="MS PGothic" w:hAnsi="MS PGothic"/>
          <w:sz w:val="25"/>
          <w:szCs w:val="25"/>
          <w:color w:val="auto"/>
          <w:vertAlign w:val="superscript"/>
        </w:rPr>
      </w:pPr>
    </w:p>
    <w:p>
      <w:pPr>
        <w:ind w:left="800" w:right="140" w:hanging="454"/>
        <w:spacing w:after="0" w:line="218"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laws and regulations, including without limitation recently enacted tax reform legislation;</w:t>
      </w:r>
    </w:p>
    <w:p>
      <w:pPr>
        <w:spacing w:after="0" w:line="26" w:lineRule="exact"/>
        <w:rPr>
          <w:rFonts w:ascii="MS PGothic" w:cs="MS PGothic" w:eastAsia="MS PGothic" w:hAnsi="MS PGothic"/>
          <w:sz w:val="25"/>
          <w:szCs w:val="25"/>
          <w:color w:val="auto"/>
          <w:vertAlign w:val="superscript"/>
        </w:rPr>
      </w:pPr>
    </w:p>
    <w:p>
      <w:pPr>
        <w:ind w:left="800" w:right="180" w:hanging="454"/>
        <w:spacing w:after="0" w:line="218"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risks and uncertainties, including those listed under the caption “Risk Factors”</w:t>
      </w:r>
    </w:p>
    <w:p>
      <w:pPr>
        <w:spacing w:after="0" w:line="202" w:lineRule="exact"/>
        <w:rPr>
          <w:sz w:val="20"/>
          <w:szCs w:val="20"/>
          <w:color w:val="auto"/>
        </w:rPr>
      </w:pPr>
    </w:p>
    <w:p>
      <w:pPr>
        <w:ind w:right="200" w:firstLine="342"/>
        <w:spacing w:after="0" w:line="237" w:lineRule="auto"/>
        <w:rPr>
          <w:sz w:val="20"/>
          <w:szCs w:val="20"/>
          <w:color w:val="auto"/>
        </w:rPr>
      </w:pPr>
      <w:r>
        <w:rPr>
          <w:rFonts w:ascii="Arial" w:cs="Arial" w:eastAsia="Arial" w:hAnsi="Arial"/>
          <w:sz w:val="18"/>
          <w:szCs w:val="18"/>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3"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324"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206" w:lineRule="exact"/>
        <w:rPr>
          <w:sz w:val="20"/>
          <w:szCs w:val="20"/>
          <w:color w:val="auto"/>
        </w:rPr>
      </w:pPr>
    </w:p>
    <w:p>
      <w:pPr>
        <w:ind w:firstLine="342"/>
        <w:spacing w:after="0" w:line="235" w:lineRule="auto"/>
        <w:rPr>
          <w:sz w:val="20"/>
          <w:szCs w:val="20"/>
          <w:color w:val="auto"/>
        </w:rPr>
      </w:pPr>
      <w:r>
        <w:rPr>
          <w:rFonts w:ascii="Arial" w:cs="Arial" w:eastAsia="Arial" w:hAnsi="Arial"/>
          <w:sz w:val="18"/>
          <w:szCs w:val="18"/>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an inherent part of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treatment procedure and is administered prior to the gene therapy. The more intensive the conditioning regimen, the greater the risk of toxicity. However, we believe the risk of toxicity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215" w:lineRule="exact"/>
        <w:rPr>
          <w:sz w:val="20"/>
          <w:szCs w:val="20"/>
          <w:color w:val="auto"/>
        </w:rPr>
      </w:pPr>
    </w:p>
    <w:p>
      <w:pPr>
        <w:ind w:right="220" w:firstLine="342"/>
        <w:spacing w:after="0" w:line="252" w:lineRule="auto"/>
        <w:rPr>
          <w:sz w:val="20"/>
          <w:szCs w:val="20"/>
          <w:color w:val="auto"/>
        </w:rPr>
      </w:pPr>
      <w:r>
        <w:rPr>
          <w:rFonts w:ascii="Arial" w:cs="Arial" w:eastAsia="Arial" w:hAnsi="Arial"/>
          <w:sz w:val="17"/>
          <w:szCs w:val="17"/>
          <w:color w:val="auto"/>
        </w:rPr>
        <w:t>We are initially targeting rare lysosomal storage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currently primarily managed by bi-weekly, multi-hour infusions with ERTs that seek to exogenously replace the missing enzyme. However, most ERTs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plato: Our Commercial-Scale Platform</w:t>
      </w:r>
    </w:p>
    <w:p>
      <w:pPr>
        <w:spacing w:after="0" w:line="9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85"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203"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5" w:lineRule="exact"/>
        <w:rPr>
          <w:sz w:val="20"/>
          <w:szCs w:val="20"/>
          <w:color w:val="auto"/>
        </w:rPr>
      </w:pPr>
    </w:p>
    <w:p>
      <w:pPr>
        <w:ind w:right="200" w:firstLine="342"/>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230" w:lineRule="exact"/>
        <w:rPr>
          <w:sz w:val="20"/>
          <w:szCs w:val="20"/>
          <w:color w:val="auto"/>
        </w:rPr>
      </w:pPr>
    </w:p>
    <w:p>
      <w:pPr>
        <w:ind w:left="800" w:right="20" w:hanging="454"/>
        <w:spacing w:after="0" w:line="218" w:lineRule="auto"/>
        <w:tabs>
          <w:tab w:leader="none" w:pos="8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about our executive compensation arrangements;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advisory votes on executive compensation or golden parachute arrangements;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120" w:hanging="454"/>
        <w:spacing w:after="0" w:line="229" w:lineRule="auto"/>
        <w:tabs>
          <w:tab w:leader="none" w:pos="800" w:val="left"/>
        </w:tabs>
        <w:numPr>
          <w:ilvl w:val="0"/>
          <w:numId w:val="6"/>
        </w:numPr>
        <w:rPr>
          <w:rFonts w:ascii="MS PGothic" w:cs="MS PGothic" w:eastAsia="MS PGothic" w:hAnsi="MS PGothic"/>
          <w:sz w:val="24"/>
          <w:szCs w:val="24"/>
          <w:color w:val="auto"/>
          <w:vertAlign w:val="superscript"/>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204"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207" w:lineRule="exact"/>
        <w:rPr>
          <w:sz w:val="20"/>
          <w:szCs w:val="20"/>
          <w:color w:val="auto"/>
        </w:rPr>
      </w:pPr>
    </w:p>
    <w:p>
      <w:pPr>
        <w:jc w:val="both"/>
        <w:ind w:right="40" w:firstLine="342"/>
        <w:spacing w:after="0"/>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WE MAY OFFER</w:t>
      </w:r>
    </w:p>
    <w:p>
      <w:pPr>
        <w:spacing w:after="0" w:line="342" w:lineRule="exact"/>
        <w:rPr>
          <w:sz w:val="20"/>
          <w:szCs w:val="20"/>
          <w:color w:val="auto"/>
        </w:rPr>
      </w:pPr>
    </w:p>
    <w:p>
      <w:pPr>
        <w:ind w:right="200" w:firstLine="342"/>
        <w:spacing w:after="0" w:line="238" w:lineRule="auto"/>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203"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24" w:lineRule="exact"/>
        <w:rPr>
          <w:sz w:val="20"/>
          <w:szCs w:val="20"/>
          <w:color w:val="auto"/>
        </w:rPr>
      </w:pPr>
    </w:p>
    <w:p>
      <w:pPr>
        <w:ind w:firstLine="342"/>
        <w:spacing w:after="0" w:line="242" w:lineRule="auto"/>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300" w:firstLine="342"/>
        <w:spacing w:after="0" w:line="246"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2019, 24,076,762 shares of our common stock were outstanding and held by 15 stockholders of record.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right="160" w:firstLine="342"/>
        <w:spacing w:after="0" w:line="238"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03" w:lineRule="exact"/>
        <w:rPr>
          <w:sz w:val="20"/>
          <w:szCs w:val="20"/>
          <w:color w:val="auto"/>
        </w:rPr>
      </w:pPr>
    </w:p>
    <w:p>
      <w:pPr>
        <w:ind w:right="400" w:firstLine="342"/>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203" w:lineRule="exact"/>
        <w:rPr>
          <w:sz w:val="20"/>
          <w:szCs w:val="20"/>
          <w:color w:val="auto"/>
        </w:rPr>
      </w:pPr>
    </w:p>
    <w:p>
      <w:pPr>
        <w:ind w:right="160" w:firstLine="342"/>
        <w:spacing w:after="0" w:line="246" w:lineRule="auto"/>
        <w:rPr>
          <w:sz w:val="20"/>
          <w:szCs w:val="20"/>
          <w:color w:val="auto"/>
        </w:rPr>
      </w:pPr>
      <w:r>
        <w:rPr>
          <w:rFonts w:ascii="Arial" w:cs="Arial" w:eastAsia="Arial" w:hAnsi="Arial"/>
          <w:sz w:val="18"/>
          <w:szCs w:val="18"/>
          <w:color w:val="auto"/>
        </w:rPr>
        <w:t>When we issue shares of common stock under this prospectus, the shares will be fully paid and non-assessable and will not have, or be subject to, any preemptive or similar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2019, there were outstanding options to purchase an aggregate of 2,986,048 shares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As of June 30, 2019, the holders of 4,756,478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85"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The holders of 4,756,478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99"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9" w:lineRule="exact"/>
        <w:rPr>
          <w:sz w:val="20"/>
          <w:szCs w:val="20"/>
          <w:color w:val="auto"/>
        </w:rPr>
      </w:pPr>
    </w:p>
    <w:p>
      <w:pPr>
        <w:jc w:val="both"/>
        <w:ind w:right="60" w:firstLine="342"/>
        <w:spacing w:after="0"/>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85" w:lineRule="exact"/>
        <w:rPr>
          <w:sz w:val="20"/>
          <w:szCs w:val="20"/>
          <w:color w:val="auto"/>
        </w:rPr>
      </w:pPr>
    </w:p>
    <w:p>
      <w:pPr>
        <w:ind w:right="20" w:firstLine="342"/>
        <w:spacing w:after="0"/>
        <w:rPr>
          <w:sz w:val="20"/>
          <w:szCs w:val="20"/>
          <w:color w:val="auto"/>
        </w:rPr>
      </w:pPr>
      <w:r>
        <w:rPr>
          <w:rFonts w:ascii="Arial" w:cs="Arial" w:eastAsia="Arial" w:hAnsi="Arial"/>
          <w:sz w:val="18"/>
          <w:szCs w:val="18"/>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our IPO and (iii) when the holders’ shares may be sold without restriction pursuant to Rule 144 within a three month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85" w:lineRule="exact"/>
        <w:rPr>
          <w:sz w:val="20"/>
          <w:szCs w:val="20"/>
          <w:color w:val="auto"/>
        </w:rPr>
      </w:pPr>
    </w:p>
    <w:p>
      <w:pPr>
        <w:ind w:right="240" w:firstLine="342"/>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85"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85"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9" w:lineRule="exact"/>
        <w:rPr>
          <w:sz w:val="20"/>
          <w:szCs w:val="20"/>
          <w:color w:val="auto"/>
        </w:rPr>
      </w:pPr>
    </w:p>
    <w:p>
      <w:pPr>
        <w:ind w:right="140" w:firstLine="342"/>
        <w:spacing w:after="0"/>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 meetings of our stockholders. These procedures provide that notice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9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85"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85" w:lineRule="exact"/>
        <w:rPr>
          <w:sz w:val="20"/>
          <w:szCs w:val="20"/>
          <w:color w:val="auto"/>
        </w:rPr>
      </w:pPr>
    </w:p>
    <w:p>
      <w:pPr>
        <w:ind w:right="520" w:firstLine="342"/>
        <w:spacing w:after="0" w:line="234" w:lineRule="auto"/>
        <w:rPr>
          <w:sz w:val="20"/>
          <w:szCs w:val="20"/>
          <w:color w:val="auto"/>
        </w:rPr>
      </w:pPr>
      <w:r>
        <w:rPr>
          <w:rFonts w:ascii="Arial" w:cs="Arial" w:eastAsia="Arial" w:hAnsi="Arial"/>
          <w:sz w:val="18"/>
          <w:szCs w:val="18"/>
          <w:color w:val="auto"/>
        </w:rPr>
        <w:t>Our amended and restated bylaws provides that, unless we consent in writing to the selection of an alternative forum, the Court of Chancery of the State of Delaware will be the sole and exclusive forum for: (1) any derivative action or proceeding brought on our behalf;</w:t>
      </w:r>
    </w:p>
    <w:p>
      <w:pPr>
        <w:spacing w:after="0" w:line="2" w:lineRule="exact"/>
        <w:rPr>
          <w:sz w:val="20"/>
          <w:szCs w:val="20"/>
          <w:color w:val="auto"/>
        </w:rPr>
      </w:pPr>
    </w:p>
    <w:p>
      <w:pPr>
        <w:ind w:firstLine="8"/>
        <w:spacing w:after="0" w:line="237"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205" w:lineRule="exact"/>
        <w:rPr>
          <w:sz w:val="20"/>
          <w:szCs w:val="20"/>
          <w:color w:val="auto"/>
        </w:rPr>
      </w:pPr>
    </w:p>
    <w:p>
      <w:pPr>
        <w:ind w:right="320" w:firstLine="342"/>
        <w:spacing w:after="0" w:line="246"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On January 17, 2019, the decision was appealed to the Delaware Supreme Court. While the Delaware Supreme Court recently dismissed the appeal on jurisdictional grounds, we expect that the appeal will be re-filed after the Court of Chancery issues a final judgment.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99" w:lineRule="exact"/>
        <w:rPr>
          <w:sz w:val="20"/>
          <w:szCs w:val="20"/>
          <w:color w:val="auto"/>
        </w:rPr>
      </w:pPr>
    </w:p>
    <w:p>
      <w:pPr>
        <w:jc w:val="both"/>
        <w:ind w:right="60" w:firstLine="342"/>
        <w:spacing w:after="0" w:line="257" w:lineRule="auto"/>
        <w:rPr>
          <w:sz w:val="20"/>
          <w:szCs w:val="20"/>
          <w:color w:val="auto"/>
        </w:rPr>
      </w:pPr>
      <w:r>
        <w:rPr>
          <w:rFonts w:ascii="Arial" w:cs="Arial" w:eastAsia="Arial" w:hAnsi="Arial"/>
          <w:sz w:val="17"/>
          <w:szCs w:val="17"/>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16" w:lineRule="exact"/>
        <w:rPr>
          <w:sz w:val="20"/>
          <w:szCs w:val="20"/>
          <w:color w:val="auto"/>
        </w:rPr>
      </w:pPr>
    </w:p>
    <w:p>
      <w:pPr>
        <w:ind w:left="800" w:right="160" w:hanging="454"/>
        <w:spacing w:after="0" w:line="218" w:lineRule="auto"/>
        <w:tabs>
          <w:tab w:leader="none" w:pos="8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27" w:lineRule="exact"/>
        <w:rPr>
          <w:rFonts w:ascii="MS PGothic" w:cs="MS PGothic" w:eastAsia="MS PGothic" w:hAnsi="MS PGothic"/>
          <w:sz w:val="25"/>
          <w:szCs w:val="25"/>
          <w:color w:val="auto"/>
          <w:vertAlign w:val="superscript"/>
        </w:rPr>
      </w:pPr>
    </w:p>
    <w:p>
      <w:pPr>
        <w:ind w:left="800" w:right="120" w:hanging="454"/>
        <w:spacing w:after="0" w:line="226" w:lineRule="auto"/>
        <w:tabs>
          <w:tab w:leader="none" w:pos="8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7" w:lineRule="exact"/>
        <w:rPr>
          <w:rFonts w:ascii="MS PGothic" w:cs="MS PGothic" w:eastAsia="MS PGothic" w:hAnsi="MS PGothic"/>
          <w:sz w:val="25"/>
          <w:szCs w:val="25"/>
          <w:color w:val="auto"/>
          <w:vertAlign w:val="superscript"/>
        </w:rPr>
      </w:pPr>
    </w:p>
    <w:p>
      <w:pPr>
        <w:ind w:left="800" w:right="180" w:hanging="454"/>
        <w:spacing w:after="0" w:line="223" w:lineRule="auto"/>
        <w:tabs>
          <w:tab w:leader="none" w:pos="8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a business combination to include:</w:t>
      </w:r>
    </w:p>
    <w:p>
      <w:pPr>
        <w:spacing w:after="0" w:line="203" w:lineRule="exact"/>
        <w:rPr>
          <w:sz w:val="20"/>
          <w:szCs w:val="20"/>
          <w:color w:val="auto"/>
        </w:rPr>
      </w:pPr>
    </w:p>
    <w:p>
      <w:pPr>
        <w:ind w:left="800" w:hanging="454"/>
        <w:spacing w:after="0"/>
        <w:tabs>
          <w:tab w:leader="none" w:pos="8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merger or consolidation involving the corporation and the interested stockholder;</w:t>
      </w:r>
    </w:p>
    <w:p>
      <w:pPr>
        <w:spacing w:after="0" w:line="26" w:lineRule="exact"/>
        <w:rPr>
          <w:rFonts w:ascii="MS PGothic" w:cs="MS PGothic" w:eastAsia="MS PGothic" w:hAnsi="MS PGothic"/>
          <w:sz w:val="25"/>
          <w:szCs w:val="25"/>
          <w:color w:val="auto"/>
          <w:vertAlign w:val="superscript"/>
        </w:rPr>
      </w:pPr>
    </w:p>
    <w:p>
      <w:pPr>
        <w:ind w:left="800" w:right="800" w:hanging="454"/>
        <w:spacing w:after="0" w:line="218" w:lineRule="auto"/>
        <w:tabs>
          <w:tab w:leader="none" w:pos="8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27" w:lineRule="exact"/>
        <w:rPr>
          <w:rFonts w:ascii="MS PGothic" w:cs="MS PGothic" w:eastAsia="MS PGothic" w:hAnsi="MS PGothic"/>
          <w:sz w:val="25"/>
          <w:szCs w:val="25"/>
          <w:color w:val="auto"/>
          <w:vertAlign w:val="superscript"/>
        </w:rPr>
      </w:pPr>
    </w:p>
    <w:p>
      <w:pPr>
        <w:ind w:left="800" w:right="120" w:hanging="454"/>
        <w:spacing w:after="0" w:line="218" w:lineRule="auto"/>
        <w:tabs>
          <w:tab w:leader="none" w:pos="8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27" w:lineRule="exact"/>
        <w:rPr>
          <w:rFonts w:ascii="MS PGothic" w:cs="MS PGothic" w:eastAsia="MS PGothic" w:hAnsi="MS PGothic"/>
          <w:sz w:val="25"/>
          <w:szCs w:val="25"/>
          <w:color w:val="auto"/>
          <w:vertAlign w:val="superscript"/>
        </w:rPr>
      </w:pPr>
    </w:p>
    <w:p>
      <w:pPr>
        <w:ind w:left="800" w:right="200" w:hanging="454"/>
        <w:spacing w:after="0" w:line="218" w:lineRule="auto"/>
        <w:tabs>
          <w:tab w:leader="none" w:pos="8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7" w:lineRule="exact"/>
        <w:rPr>
          <w:rFonts w:ascii="MS PGothic" w:cs="MS PGothic" w:eastAsia="MS PGothic" w:hAnsi="MS PGothic"/>
          <w:sz w:val="25"/>
          <w:szCs w:val="25"/>
          <w:color w:val="auto"/>
          <w:vertAlign w:val="superscript"/>
        </w:rPr>
      </w:pPr>
    </w:p>
    <w:p>
      <w:pPr>
        <w:ind w:left="800" w:right="660" w:hanging="454"/>
        <w:spacing w:after="0" w:line="218" w:lineRule="auto"/>
        <w:tabs>
          <w:tab w:leader="none" w:pos="8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3" w:lineRule="exact"/>
        <w:rPr>
          <w:sz w:val="20"/>
          <w:szCs w:val="20"/>
          <w:color w:val="auto"/>
        </w:rPr>
      </w:pPr>
    </w:p>
    <w:p>
      <w:pPr>
        <w:ind w:firstLine="342"/>
        <w:spacing w:after="0" w:line="246"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right="180" w:firstLine="342"/>
        <w:spacing w:after="0" w:line="24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DEBT SECURITIES</w:t>
      </w:r>
    </w:p>
    <w:p>
      <w:pPr>
        <w:spacing w:after="0" w:line="342"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20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03" w:lineRule="exact"/>
        <w:rPr>
          <w:sz w:val="20"/>
          <w:szCs w:val="20"/>
          <w:color w:val="auto"/>
        </w:rPr>
      </w:pPr>
    </w:p>
    <w:p>
      <w:pPr>
        <w:ind w:left="800" w:hanging="454"/>
        <w:spacing w:after="0"/>
        <w:tabs>
          <w:tab w:leader="none" w:pos="8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do not limit the amount of debt securities that we may issue;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allow us to issue debt securities in one or more series;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do not require us to issue all of the debt securities of a series at the same time; and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allow us to reopen a series to issue additional debt securities without the consent of the holders of the debt securities of such series.</w:t>
      </w:r>
    </w:p>
    <w:p>
      <w:pPr>
        <w:spacing w:after="0" w:line="203"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202"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03" w:lineRule="exact"/>
        <w:rPr>
          <w:sz w:val="20"/>
          <w:szCs w:val="20"/>
          <w:color w:val="auto"/>
        </w:rPr>
      </w:pPr>
    </w:p>
    <w:p>
      <w:pPr>
        <w:ind w:left="800" w:hanging="454"/>
        <w:spacing w:after="0"/>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title of the debt securities and whether they are senior or subordinated;</w:t>
      </w:r>
    </w:p>
    <w:p>
      <w:pPr>
        <w:spacing w:after="0" w:line="26" w:lineRule="exact"/>
        <w:rPr>
          <w:rFonts w:ascii="MS PGothic" w:cs="MS PGothic" w:eastAsia="MS PGothic" w:hAnsi="MS PGothic"/>
          <w:sz w:val="25"/>
          <w:szCs w:val="25"/>
          <w:color w:val="auto"/>
          <w:vertAlign w:val="superscript"/>
        </w:rPr>
      </w:pPr>
    </w:p>
    <w:p>
      <w:pPr>
        <w:ind w:left="800" w:right="20" w:hanging="454"/>
        <w:spacing w:after="0" w:line="223"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28" w:lineRule="exact"/>
        <w:rPr>
          <w:rFonts w:ascii="MS PGothic" w:cs="MS PGothic" w:eastAsia="MS PGothic" w:hAnsi="MS PGothic"/>
          <w:sz w:val="25"/>
          <w:szCs w:val="25"/>
          <w:color w:val="auto"/>
          <w:vertAlign w:val="superscript"/>
        </w:rPr>
      </w:pPr>
    </w:p>
    <w:p>
      <w:pPr>
        <w:ind w:left="800" w:hanging="454"/>
        <w:spacing w:after="0" w:line="226"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7" w:lineRule="exact"/>
        <w:rPr>
          <w:rFonts w:ascii="MS PGothic" w:cs="MS PGothic" w:eastAsia="MS PGothic" w:hAnsi="MS PGothic"/>
          <w:sz w:val="25"/>
          <w:szCs w:val="25"/>
          <w:color w:val="auto"/>
          <w:vertAlign w:val="superscript"/>
        </w:rPr>
      </w:pPr>
    </w:p>
    <w:p>
      <w:pPr>
        <w:ind w:left="800" w:right="20" w:hanging="454"/>
        <w:spacing w:after="0" w:line="223"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2"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 or dates, or the method for determining the date or dates, from which interest will accrue;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dates on which interest will be payable;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record dates for interest payment dates, or the method by which such dates will be determined;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persons to whom interest will be payable;</w:t>
      </w:r>
    </w:p>
    <w:p>
      <w:pPr>
        <w:spacing w:after="0" w:line="26" w:lineRule="exact"/>
        <w:rPr>
          <w:rFonts w:ascii="MS PGothic" w:cs="MS PGothic" w:eastAsia="MS PGothic" w:hAnsi="MS PGothic"/>
          <w:sz w:val="25"/>
          <w:szCs w:val="25"/>
          <w:color w:val="auto"/>
          <w:vertAlign w:val="superscript"/>
        </w:rPr>
      </w:pPr>
    </w:p>
    <w:p>
      <w:pPr>
        <w:ind w:left="800" w:right="540" w:hanging="454"/>
        <w:spacing w:after="0" w:line="218"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place or places where the principal of, and any premium or make-whole amount, and interest on, the debt securities will be payable;</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debt securities may be surrendered for registration of transfer or conversion or exchange;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times, prices and other terms and conditions upon which we may redeem the debt securities;</w:t>
      </w:r>
    </w:p>
    <w:p>
      <w:pPr>
        <w:spacing w:after="0" w:line="26" w:lineRule="exact"/>
        <w:rPr>
          <w:rFonts w:ascii="MS PGothic" w:cs="MS PGothic" w:eastAsia="MS PGothic" w:hAnsi="MS PGothic"/>
          <w:sz w:val="25"/>
          <w:szCs w:val="25"/>
          <w:color w:val="auto"/>
          <w:vertAlign w:val="superscript"/>
        </w:rPr>
      </w:pPr>
    </w:p>
    <w:p>
      <w:pPr>
        <w:ind w:left="800" w:right="100" w:hanging="454"/>
        <w:spacing w:after="0" w:line="223"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28" w:lineRule="exact"/>
        <w:rPr>
          <w:rFonts w:ascii="MS PGothic" w:cs="MS PGothic" w:eastAsia="MS PGothic" w:hAnsi="MS PGothic"/>
          <w:sz w:val="25"/>
          <w:szCs w:val="25"/>
          <w:color w:val="auto"/>
          <w:vertAlign w:val="superscript"/>
        </w:rPr>
      </w:pPr>
    </w:p>
    <w:p>
      <w:pPr>
        <w:jc w:val="both"/>
        <w:ind w:left="800" w:right="160" w:hanging="454"/>
        <w:spacing w:after="0" w:line="223"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8" w:lineRule="exact"/>
        <w:rPr>
          <w:rFonts w:ascii="MS PGothic" w:cs="MS PGothic" w:eastAsia="MS PGothic" w:hAnsi="MS PGothic"/>
          <w:sz w:val="25"/>
          <w:szCs w:val="25"/>
          <w:color w:val="auto"/>
          <w:vertAlign w:val="superscript"/>
        </w:rPr>
      </w:pPr>
    </w:p>
    <w:p>
      <w:pPr>
        <w:jc w:val="both"/>
        <w:ind w:left="800" w:right="120" w:hanging="454"/>
        <w:spacing w:after="0" w:line="223"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8" w:lineRule="exact"/>
        <w:rPr>
          <w:rFonts w:ascii="MS PGothic" w:cs="MS PGothic" w:eastAsia="MS PGothic" w:hAnsi="MS PGothic"/>
          <w:sz w:val="25"/>
          <w:szCs w:val="25"/>
          <w:color w:val="auto"/>
          <w:vertAlign w:val="superscript"/>
        </w:rPr>
      </w:pPr>
    </w:p>
    <w:p>
      <w:pPr>
        <w:ind w:left="800" w:hanging="454"/>
        <w:spacing w:after="0" w:line="226" w:lineRule="auto"/>
        <w:tabs>
          <w:tab w:leader="none" w:pos="8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60" w:hanging="454"/>
        <w:spacing w:after="0" w:line="223"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8" w:lineRule="exact"/>
        <w:rPr>
          <w:rFonts w:ascii="MS PGothic" w:cs="MS PGothic" w:eastAsia="MS PGothic" w:hAnsi="MS PGothic"/>
          <w:sz w:val="25"/>
          <w:szCs w:val="25"/>
          <w:color w:val="auto"/>
          <w:vertAlign w:val="superscript"/>
        </w:rPr>
      </w:pPr>
    </w:p>
    <w:p>
      <w:pPr>
        <w:jc w:val="both"/>
        <w:ind w:left="800" w:right="220" w:hanging="454"/>
        <w:spacing w:after="0" w:line="226"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6" w:lineRule="exact"/>
        <w:rPr>
          <w:rFonts w:ascii="MS PGothic" w:cs="MS PGothic" w:eastAsia="MS PGothic" w:hAnsi="MS PGothic"/>
          <w:sz w:val="25"/>
          <w:szCs w:val="25"/>
          <w:color w:val="auto"/>
          <w:vertAlign w:val="superscript"/>
        </w:rPr>
      </w:pPr>
    </w:p>
    <w:p>
      <w:pPr>
        <w:ind w:left="800" w:right="520" w:hanging="454"/>
        <w:spacing w:after="0" w:line="218"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applicability, if any, of the defeasance and covenant defeasance provisions described in this prospectus or in the applicable indenture;</w:t>
      </w:r>
    </w:p>
    <w:p>
      <w:pPr>
        <w:spacing w:after="0" w:line="27" w:lineRule="exact"/>
        <w:rPr>
          <w:rFonts w:ascii="MS PGothic" w:cs="MS PGothic" w:eastAsia="MS PGothic" w:hAnsi="MS PGothic"/>
          <w:sz w:val="25"/>
          <w:szCs w:val="25"/>
          <w:color w:val="auto"/>
          <w:vertAlign w:val="superscript"/>
        </w:rPr>
      </w:pPr>
    </w:p>
    <w:p>
      <w:pPr>
        <w:ind w:left="800" w:right="180" w:hanging="454"/>
        <w:spacing w:after="0" w:line="218"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27" w:lineRule="exact"/>
        <w:rPr>
          <w:rFonts w:ascii="MS PGothic" w:cs="MS PGothic" w:eastAsia="MS PGothic" w:hAnsi="MS PGothic"/>
          <w:sz w:val="25"/>
          <w:szCs w:val="25"/>
          <w:color w:val="auto"/>
          <w:vertAlign w:val="superscript"/>
        </w:rPr>
      </w:pPr>
    </w:p>
    <w:p>
      <w:pPr>
        <w:ind w:left="800" w:right="400" w:hanging="454"/>
        <w:spacing w:after="0" w:line="218"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27" w:lineRule="exact"/>
        <w:rPr>
          <w:rFonts w:ascii="MS PGothic" w:cs="MS PGothic" w:eastAsia="MS PGothic" w:hAnsi="MS PGothic"/>
          <w:sz w:val="25"/>
          <w:szCs w:val="25"/>
          <w:color w:val="auto"/>
          <w:vertAlign w:val="superscript"/>
        </w:rPr>
      </w:pPr>
    </w:p>
    <w:p>
      <w:pPr>
        <w:ind w:left="800" w:right="260" w:hanging="454"/>
        <w:spacing w:after="0" w:line="218"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terms of such debt securities not inconsistent with the provisions of the applicable indenture.</w:t>
      </w:r>
    </w:p>
    <w:p>
      <w:pPr>
        <w:spacing w:after="0" w:line="202"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202"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205" w:lineRule="exact"/>
        <w:rPr>
          <w:sz w:val="20"/>
          <w:szCs w:val="20"/>
          <w:color w:val="auto"/>
        </w:rPr>
      </w:pPr>
    </w:p>
    <w:p>
      <w:pPr>
        <w:ind w:right="300" w:firstLine="342"/>
        <w:spacing w:after="0" w:line="239"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202" w:lineRule="exact"/>
        <w:rPr>
          <w:sz w:val="20"/>
          <w:szCs w:val="20"/>
          <w:color w:val="auto"/>
        </w:rPr>
      </w:pPr>
    </w:p>
    <w:p>
      <w:pPr>
        <w:ind w:right="160" w:firstLine="342"/>
        <w:spacing w:after="0"/>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99" w:lineRule="exact"/>
        <w:rPr>
          <w:sz w:val="20"/>
          <w:szCs w:val="20"/>
          <w:color w:val="auto"/>
        </w:rPr>
      </w:pPr>
    </w:p>
    <w:p>
      <w:pPr>
        <w:ind w:firstLine="342"/>
        <w:spacing w:after="0"/>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203"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85" w:lineRule="exact"/>
        <w:rPr>
          <w:sz w:val="20"/>
          <w:szCs w:val="20"/>
          <w:color w:val="auto"/>
        </w:rPr>
      </w:pPr>
    </w:p>
    <w:p>
      <w:pPr>
        <w:ind w:right="180" w:firstLine="342"/>
        <w:spacing w:after="0" w:line="246"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the debt securities shall be computed on the basis of a 360-day year composed of twelve 30-day months.</w:t>
      </w:r>
    </w:p>
    <w:p>
      <w:pPr>
        <w:spacing w:after="0" w:line="212" w:lineRule="exact"/>
        <w:rPr>
          <w:sz w:val="20"/>
          <w:szCs w:val="20"/>
          <w:color w:val="auto"/>
        </w:rPr>
      </w:pPr>
    </w:p>
    <w:p>
      <w:pPr>
        <w:ind w:right="60" w:firstLine="342"/>
        <w:spacing w:after="0" w:line="246"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224" w:lineRule="exact"/>
        <w:rPr>
          <w:sz w:val="20"/>
          <w:szCs w:val="20"/>
          <w:color w:val="auto"/>
        </w:rPr>
      </w:pPr>
    </w:p>
    <w:p>
      <w:pPr>
        <w:ind w:left="800" w:right="120" w:hanging="454"/>
        <w:spacing w:after="0" w:line="223" w:lineRule="auto"/>
        <w:tabs>
          <w:tab w:leader="none" w:pos="8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8" w:lineRule="exact"/>
        <w:rPr>
          <w:rFonts w:ascii="MS PGothic" w:cs="MS PGothic" w:eastAsia="MS PGothic" w:hAnsi="MS PGothic"/>
          <w:sz w:val="25"/>
          <w:szCs w:val="25"/>
          <w:color w:val="auto"/>
          <w:vertAlign w:val="superscript"/>
        </w:rPr>
      </w:pPr>
    </w:p>
    <w:p>
      <w:pPr>
        <w:ind w:left="800" w:right="400" w:hanging="454"/>
        <w:spacing w:after="0" w:line="218" w:lineRule="auto"/>
        <w:tabs>
          <w:tab w:leader="none" w:pos="8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203"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800" w:right="100" w:hanging="454"/>
        <w:spacing w:after="0" w:line="223" w:lineRule="auto"/>
        <w:tabs>
          <w:tab w:leader="none" w:pos="8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8" w:lineRule="exact"/>
        <w:rPr>
          <w:rFonts w:ascii="MS PGothic" w:cs="MS PGothic" w:eastAsia="MS PGothic" w:hAnsi="MS PGothic"/>
          <w:sz w:val="25"/>
          <w:szCs w:val="25"/>
          <w:color w:val="auto"/>
          <w:vertAlign w:val="superscript"/>
        </w:rPr>
      </w:pPr>
    </w:p>
    <w:p>
      <w:pPr>
        <w:ind w:left="800" w:right="260" w:hanging="454"/>
        <w:spacing w:after="0" w:line="218" w:lineRule="auto"/>
        <w:tabs>
          <w:tab w:leader="none" w:pos="8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7" w:lineRule="exact"/>
        <w:rPr>
          <w:rFonts w:ascii="MS PGothic" w:cs="MS PGothic" w:eastAsia="MS PGothic" w:hAnsi="MS PGothic"/>
          <w:sz w:val="25"/>
          <w:szCs w:val="25"/>
          <w:color w:val="auto"/>
          <w:vertAlign w:val="superscript"/>
        </w:rPr>
      </w:pPr>
    </w:p>
    <w:p>
      <w:pPr>
        <w:ind w:left="800" w:right="420" w:hanging="454"/>
        <w:spacing w:after="0" w:line="218" w:lineRule="auto"/>
        <w:tabs>
          <w:tab w:leader="none" w:pos="8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99" w:lineRule="exact"/>
        <w:rPr>
          <w:sz w:val="20"/>
          <w:szCs w:val="20"/>
          <w:color w:val="auto"/>
        </w:rPr>
      </w:pPr>
    </w:p>
    <w:p>
      <w:pPr>
        <w:ind w:right="340" w:firstLine="342"/>
        <w:spacing w:after="0" w:line="246"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224" w:lineRule="exact"/>
        <w:rPr>
          <w:sz w:val="20"/>
          <w:szCs w:val="20"/>
          <w:color w:val="auto"/>
        </w:rPr>
      </w:pPr>
    </w:p>
    <w:p>
      <w:pPr>
        <w:ind w:left="800" w:right="200" w:hanging="454"/>
        <w:spacing w:after="0" w:line="223" w:lineRule="auto"/>
        <w:tabs>
          <w:tab w:leader="none" w:pos="8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28" w:lineRule="exact"/>
        <w:rPr>
          <w:rFonts w:ascii="MS PGothic" w:cs="MS PGothic" w:eastAsia="MS PGothic" w:hAnsi="MS PGothic"/>
          <w:sz w:val="25"/>
          <w:szCs w:val="25"/>
          <w:color w:val="auto"/>
          <w:vertAlign w:val="superscript"/>
        </w:rPr>
      </w:pPr>
    </w:p>
    <w:p>
      <w:pPr>
        <w:ind w:left="800" w:right="140" w:hanging="454"/>
        <w:spacing w:after="0" w:line="218" w:lineRule="auto"/>
        <w:tabs>
          <w:tab w:leader="none" w:pos="8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officers’ certificate and legal opinion covering such conditions are delivered to each applicable trustee.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85" w:lineRule="exact"/>
        <w:rPr>
          <w:sz w:val="20"/>
          <w:szCs w:val="20"/>
          <w:color w:val="auto"/>
        </w:rPr>
      </w:pPr>
    </w:p>
    <w:p>
      <w:pPr>
        <w:ind w:right="440" w:firstLine="342"/>
        <w:spacing w:after="0" w:line="246"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224" w:lineRule="exact"/>
        <w:rPr>
          <w:sz w:val="20"/>
          <w:szCs w:val="20"/>
          <w:color w:val="auto"/>
        </w:rPr>
      </w:pPr>
    </w:p>
    <w:p>
      <w:pPr>
        <w:ind w:left="800" w:right="100" w:hanging="454"/>
        <w:spacing w:after="0" w:line="218" w:lineRule="auto"/>
        <w:tabs>
          <w:tab w:leader="none" w:pos="8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27" w:lineRule="exact"/>
        <w:rPr>
          <w:rFonts w:ascii="MS PGothic" w:cs="MS PGothic" w:eastAsia="MS PGothic" w:hAnsi="MS PGothic"/>
          <w:sz w:val="25"/>
          <w:szCs w:val="25"/>
          <w:color w:val="auto"/>
          <w:vertAlign w:val="superscript"/>
        </w:rPr>
      </w:pPr>
    </w:p>
    <w:p>
      <w:pPr>
        <w:ind w:left="800" w:right="360" w:hanging="454"/>
        <w:spacing w:after="0" w:line="218" w:lineRule="auto"/>
        <w:tabs>
          <w:tab w:leader="none" w:pos="8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payment of principal of, or any premium or make-whole amount on, any debt security of such series when due and payable unless such date has been extended or deferred;</w:t>
      </w:r>
    </w:p>
    <w:p>
      <w:pPr>
        <w:spacing w:after="0" w:line="27" w:lineRule="exact"/>
        <w:rPr>
          <w:rFonts w:ascii="MS PGothic" w:cs="MS PGothic" w:eastAsia="MS PGothic" w:hAnsi="MS PGothic"/>
          <w:sz w:val="25"/>
          <w:szCs w:val="25"/>
          <w:color w:val="auto"/>
          <w:vertAlign w:val="superscript"/>
        </w:rPr>
      </w:pPr>
    </w:p>
    <w:p>
      <w:pPr>
        <w:ind w:left="800" w:right="540" w:hanging="454"/>
        <w:spacing w:after="0" w:line="218" w:lineRule="auto"/>
        <w:tabs>
          <w:tab w:leader="none" w:pos="8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bankruptcy, insolvency or reorganization, or court appointment of a receiver, liquidator or trustee of us; and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event of default provided with respect to a particular series of debt securities.</w:t>
      </w:r>
    </w:p>
    <w:p>
      <w:pPr>
        <w:spacing w:after="0" w:line="20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235" w:lineRule="exact"/>
        <w:rPr>
          <w:sz w:val="20"/>
          <w:szCs w:val="20"/>
          <w:color w:val="auto"/>
        </w:rPr>
      </w:pPr>
    </w:p>
    <w:p>
      <w:pPr>
        <w:jc w:val="both"/>
        <w:ind w:left="800" w:right="200" w:hanging="454"/>
        <w:spacing w:after="0" w:line="223" w:lineRule="auto"/>
        <w:tabs>
          <w:tab w:leader="none" w:pos="8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28" w:lineRule="exact"/>
        <w:rPr>
          <w:rFonts w:ascii="MS PGothic" w:cs="MS PGothic" w:eastAsia="MS PGothic" w:hAnsi="MS PGothic"/>
          <w:sz w:val="25"/>
          <w:szCs w:val="25"/>
          <w:color w:val="auto"/>
          <w:vertAlign w:val="superscript"/>
        </w:rPr>
      </w:pPr>
    </w:p>
    <w:p>
      <w:pPr>
        <w:ind w:left="800" w:right="140" w:hanging="454"/>
        <w:spacing w:after="0" w:line="218" w:lineRule="auto"/>
        <w:tabs>
          <w:tab w:leader="none" w:pos="8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203" w:lineRule="exact"/>
        <w:rPr>
          <w:sz w:val="20"/>
          <w:szCs w:val="20"/>
          <w:color w:val="auto"/>
        </w:rPr>
      </w:pPr>
    </w:p>
    <w:p>
      <w:pPr>
        <w:ind w:right="80" w:firstLine="342"/>
        <w:spacing w:after="0" w:line="246" w:lineRule="auto"/>
        <w:rPr>
          <w:sz w:val="20"/>
          <w:szCs w:val="20"/>
          <w:color w:val="auto"/>
        </w:rPr>
      </w:pPr>
      <w:r>
        <w:rPr>
          <w:rFonts w:ascii="Arial" w:cs="Arial" w:eastAsia="Arial" w:hAnsi="Arial"/>
          <w:sz w:val="18"/>
          <w:szCs w:val="18"/>
          <w:color w:val="auto"/>
        </w:rPr>
        <w:t>The indentures require each trustee to give notice to the holders of debt securities within the later of 90 days after an event of default and 30 days after the event of default is actually known to 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responsible officer of such trustee, unless such default has been cured or waived. However, the trustee may withhold notice if specified persons of such trustee consider such withholding to be in the interest of the holders of debt securities.</w:t>
      </w:r>
    </w:p>
    <w:p>
      <w:pPr>
        <w:spacing w:after="0" w:line="197"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205"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6" w:lineRule="exact"/>
        <w:rPr>
          <w:sz w:val="20"/>
          <w:szCs w:val="20"/>
          <w:color w:val="auto"/>
        </w:rPr>
      </w:pPr>
    </w:p>
    <w:p>
      <w:pPr>
        <w:ind w:left="800" w:hanging="454"/>
        <w:spacing w:after="0"/>
        <w:tabs>
          <w:tab w:leader="none" w:pos="8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is in conflict with any law or the applicable indenture;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may involve the trustee in personal liability; or</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may be unduly prejudicial to the holders of debt securities of the series not joining the proceeding.</w:t>
      </w:r>
    </w:p>
    <w:p>
      <w:pPr>
        <w:spacing w:after="0" w:line="203" w:lineRule="exact"/>
        <w:rPr>
          <w:sz w:val="20"/>
          <w:szCs w:val="20"/>
          <w:color w:val="auto"/>
        </w:rPr>
      </w:pPr>
    </w:p>
    <w:p>
      <w:pPr>
        <w:ind w:right="20" w:firstLine="342"/>
        <w:spacing w:after="0"/>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9" w:lineRule="exact"/>
        <w:rPr>
          <w:sz w:val="20"/>
          <w:szCs w:val="20"/>
          <w:color w:val="auto"/>
        </w:rPr>
      </w:pPr>
    </w:p>
    <w:p>
      <w:pPr>
        <w:ind w:right="420" w:firstLine="342"/>
        <w:spacing w:after="0" w:line="246"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w:t>
      </w:r>
    </w:p>
    <w:p>
      <w:pPr>
        <w:spacing w:after="0" w:line="197" w:lineRule="exact"/>
        <w:rPr>
          <w:sz w:val="20"/>
          <w:szCs w:val="20"/>
          <w:color w:val="auto"/>
        </w:rPr>
      </w:pPr>
    </w:p>
    <w:p>
      <w:pPr>
        <w:ind w:right="700" w:firstLine="342"/>
        <w:spacing w:after="0" w:line="246"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188" w:lineRule="exact"/>
        <w:rPr>
          <w:sz w:val="20"/>
          <w:szCs w:val="20"/>
          <w:color w:val="auto"/>
        </w:rPr>
      </w:pPr>
    </w:p>
    <w:p>
      <w:pPr>
        <w:ind w:left="800" w:hanging="454"/>
        <w:spacing w:after="0"/>
        <w:tabs>
          <w:tab w:leader="none" w:pos="8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evidence the succession of another person to us as obligor under such indenture;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provide for uncertificated debt securities in addition to or in place of certificated debt securities;</w:t>
      </w:r>
    </w:p>
    <w:p>
      <w:pPr>
        <w:spacing w:after="0" w:line="26" w:lineRule="exact"/>
        <w:rPr>
          <w:rFonts w:ascii="MS PGothic" w:cs="MS PGothic" w:eastAsia="MS PGothic" w:hAnsi="MS PGothic"/>
          <w:sz w:val="25"/>
          <w:szCs w:val="25"/>
          <w:color w:val="auto"/>
          <w:vertAlign w:val="superscript"/>
        </w:rPr>
      </w:pPr>
    </w:p>
    <w:p>
      <w:pPr>
        <w:ind w:left="800" w:hanging="454"/>
        <w:spacing w:after="0" w:line="218" w:lineRule="auto"/>
        <w:tabs>
          <w:tab w:leader="none" w:pos="8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events of default for the benefit of the holders of all or any series of debt securities;</w:t>
      </w:r>
    </w:p>
    <w:p>
      <w:pPr>
        <w:spacing w:after="0" w:line="26" w:lineRule="exact"/>
        <w:rPr>
          <w:rFonts w:ascii="MS PGothic" w:cs="MS PGothic" w:eastAsia="MS PGothic" w:hAnsi="MS PGothic"/>
          <w:sz w:val="25"/>
          <w:szCs w:val="25"/>
          <w:color w:val="auto"/>
          <w:vertAlign w:val="superscript"/>
        </w:rPr>
      </w:pPr>
    </w:p>
    <w:p>
      <w:pPr>
        <w:ind w:left="800" w:right="340" w:hanging="454"/>
        <w:spacing w:after="0" w:line="218" w:lineRule="auto"/>
        <w:tabs>
          <w:tab w:leader="none" w:pos="8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make any change that does not adversely affect the rights of any securityholder in any material respect;</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establish the form or terms of debt securities of any series;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hanging="454"/>
        <w:spacing w:after="0" w:line="218" w:lineRule="auto"/>
        <w:tabs>
          <w:tab w:leader="none" w:pos="8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27" w:lineRule="exact"/>
        <w:rPr>
          <w:rFonts w:ascii="MS PGothic" w:cs="MS PGothic" w:eastAsia="MS PGothic" w:hAnsi="MS PGothic"/>
          <w:sz w:val="25"/>
          <w:szCs w:val="25"/>
          <w:color w:val="auto"/>
          <w:vertAlign w:val="superscript"/>
        </w:rPr>
      </w:pPr>
    </w:p>
    <w:p>
      <w:pPr>
        <w:ind w:left="800" w:right="360" w:hanging="454"/>
        <w:spacing w:after="0" w:line="218" w:lineRule="auto"/>
        <w:tabs>
          <w:tab w:leader="none" w:pos="8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9"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5" w:lineRule="exact"/>
        <w:rPr>
          <w:sz w:val="20"/>
          <w:szCs w:val="20"/>
          <w:color w:val="auto"/>
        </w:rPr>
      </w:pPr>
    </w:p>
    <w:p>
      <w:pPr>
        <w:ind w:right="880" w:firstLine="342"/>
        <w:spacing w:after="0" w:line="246"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97"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12" w:lineRule="exact"/>
        <w:rPr>
          <w:sz w:val="20"/>
          <w:szCs w:val="20"/>
          <w:color w:val="auto"/>
        </w:rPr>
      </w:pPr>
    </w:p>
    <w:p>
      <w:pPr>
        <w:ind w:right="380" w:firstLine="342"/>
        <w:spacing w:after="0"/>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85" w:lineRule="exact"/>
        <w:rPr>
          <w:sz w:val="20"/>
          <w:szCs w:val="20"/>
          <w:color w:val="auto"/>
        </w:rPr>
      </w:pPr>
    </w:p>
    <w:p>
      <w:pPr>
        <w:ind w:right="80" w:firstLine="342"/>
        <w:spacing w:after="0" w:line="246"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224" w:lineRule="exact"/>
        <w:rPr>
          <w:sz w:val="20"/>
          <w:szCs w:val="20"/>
          <w:color w:val="auto"/>
        </w:rPr>
      </w:pPr>
    </w:p>
    <w:p>
      <w:pPr>
        <w:ind w:left="800" w:right="20" w:hanging="454"/>
        <w:spacing w:after="0" w:line="228" w:lineRule="auto"/>
        <w:tabs>
          <w:tab w:leader="none" w:pos="80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200"/>
        <w:spacing w:after="0"/>
        <w:rPr>
          <w:sz w:val="20"/>
          <w:szCs w:val="20"/>
          <w:color w:val="auto"/>
        </w:rPr>
      </w:pPr>
      <w:r>
        <w:rPr>
          <w:rFonts w:ascii="Arial" w:cs="Arial" w:eastAsia="Arial" w:hAnsi="Arial"/>
          <w:sz w:val="18"/>
          <w:szCs w:val="18"/>
          <w:color w:val="auto"/>
        </w:rPr>
        <w:t>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ind w:left="800" w:hanging="454"/>
        <w:spacing w:after="0" w:line="231" w:lineRule="auto"/>
        <w:tabs>
          <w:tab w:leader="none" w:pos="80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paid or caused to be paid all other sums payable; and</w:t>
      </w:r>
    </w:p>
    <w:p>
      <w:pPr>
        <w:spacing w:after="0" w:line="26" w:lineRule="exact"/>
        <w:rPr>
          <w:rFonts w:ascii="MS PGothic" w:cs="MS PGothic" w:eastAsia="MS PGothic" w:hAnsi="MS PGothic"/>
          <w:sz w:val="25"/>
          <w:szCs w:val="25"/>
          <w:color w:val="auto"/>
          <w:vertAlign w:val="superscript"/>
        </w:rPr>
      </w:pPr>
    </w:p>
    <w:p>
      <w:pPr>
        <w:ind w:left="800" w:hanging="454"/>
        <w:spacing w:after="0" w:line="218" w:lineRule="auto"/>
        <w:tabs>
          <w:tab w:leader="none" w:pos="80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203" w:lineRule="exact"/>
        <w:rPr>
          <w:sz w:val="20"/>
          <w:szCs w:val="20"/>
          <w:color w:val="auto"/>
        </w:rPr>
      </w:pPr>
    </w:p>
    <w:p>
      <w:pPr>
        <w:ind w:right="200" w:firstLine="342"/>
        <w:spacing w:after="0" w:line="236" w:lineRule="auto"/>
        <w:rPr>
          <w:sz w:val="20"/>
          <w:szCs w:val="20"/>
          <w:color w:val="auto"/>
        </w:rPr>
      </w:pPr>
      <w:r>
        <w:rPr>
          <w:rFonts w:ascii="Arial" w:cs="Arial" w:eastAsia="Arial" w:hAnsi="Arial"/>
          <w:sz w:val="18"/>
          <w:szCs w:val="18"/>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208" w:lineRule="exact"/>
        <w:rPr>
          <w:sz w:val="20"/>
          <w:szCs w:val="20"/>
          <w:color w:val="auto"/>
        </w:rPr>
      </w:pPr>
    </w:p>
    <w:p>
      <w:pPr>
        <w:ind w:right="340" w:firstLine="342"/>
        <w:spacing w:after="0" w:line="23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202" w:lineRule="exact"/>
        <w:rPr>
          <w:sz w:val="20"/>
          <w:szCs w:val="20"/>
          <w:color w:val="auto"/>
        </w:rPr>
      </w:pPr>
    </w:p>
    <w:p>
      <w:pPr>
        <w:ind w:right="280" w:firstLine="342"/>
        <w:spacing w:after="0" w:line="275"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99" w:lineRule="exact"/>
        <w:rPr>
          <w:sz w:val="20"/>
          <w:szCs w:val="20"/>
          <w:color w:val="auto"/>
        </w:rPr>
      </w:pPr>
    </w:p>
    <w:p>
      <w:pPr>
        <w:ind w:right="160" w:firstLine="342"/>
        <w:spacing w:after="0" w:line="238"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85"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5" w:lineRule="exact"/>
        <w:rPr>
          <w:sz w:val="20"/>
          <w:szCs w:val="20"/>
          <w:color w:val="auto"/>
        </w:rPr>
      </w:pPr>
    </w:p>
    <w:p>
      <w:pPr>
        <w:ind w:right="140" w:firstLine="342"/>
        <w:spacing w:after="0" w:line="246"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342"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320" w:firstLine="342"/>
        <w:spacing w:after="0"/>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203" w:lineRule="exact"/>
        <w:rPr>
          <w:sz w:val="20"/>
          <w:szCs w:val="20"/>
          <w:color w:val="auto"/>
        </w:rPr>
      </w:pPr>
    </w:p>
    <w:p>
      <w:pPr>
        <w:ind w:right="100" w:firstLine="342"/>
        <w:spacing w:after="0"/>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203" w:lineRule="exact"/>
        <w:rPr>
          <w:sz w:val="20"/>
          <w:szCs w:val="20"/>
          <w:color w:val="auto"/>
        </w:rPr>
      </w:pPr>
    </w:p>
    <w:p>
      <w:pPr>
        <w:ind w:left="800" w:hanging="454"/>
        <w:spacing w:after="0"/>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offering price and aggregate number of warrants offered;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currency for which the warrants may be purchased;</w:t>
      </w:r>
    </w:p>
    <w:p>
      <w:pPr>
        <w:spacing w:after="0" w:line="26" w:lineRule="exact"/>
        <w:rPr>
          <w:rFonts w:ascii="MS PGothic" w:cs="MS PGothic" w:eastAsia="MS PGothic" w:hAnsi="MS PGothic"/>
          <w:sz w:val="25"/>
          <w:szCs w:val="25"/>
          <w:color w:val="auto"/>
          <w:vertAlign w:val="superscript"/>
        </w:rPr>
      </w:pPr>
    </w:p>
    <w:p>
      <w:pPr>
        <w:ind w:left="800" w:right="120" w:hanging="454"/>
        <w:spacing w:after="0" w:line="218"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applicable, the date on and after which the warrants and the related securities will be separately transferable;</w:t>
      </w:r>
    </w:p>
    <w:p>
      <w:pPr>
        <w:spacing w:after="0" w:line="26" w:lineRule="exact"/>
        <w:rPr>
          <w:rFonts w:ascii="MS PGothic" w:cs="MS PGothic" w:eastAsia="MS PGothic" w:hAnsi="MS PGothic"/>
          <w:sz w:val="25"/>
          <w:szCs w:val="25"/>
          <w:color w:val="auto"/>
          <w:vertAlign w:val="superscript"/>
        </w:rPr>
      </w:pPr>
    </w:p>
    <w:p>
      <w:pPr>
        <w:ind w:left="800" w:hanging="454"/>
        <w:spacing w:after="0" w:line="218"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27" w:lineRule="exact"/>
        <w:rPr>
          <w:rFonts w:ascii="MS PGothic" w:cs="MS PGothic" w:eastAsia="MS PGothic" w:hAnsi="MS PGothic"/>
          <w:sz w:val="25"/>
          <w:szCs w:val="25"/>
          <w:color w:val="auto"/>
          <w:vertAlign w:val="superscript"/>
        </w:rPr>
      </w:pPr>
    </w:p>
    <w:p>
      <w:pPr>
        <w:ind w:left="800" w:right="120" w:hanging="454"/>
        <w:spacing w:after="0" w:line="223"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2"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of any rights to redeem or call the warrants;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periods during which, and places at which, the warrants are exercisable;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manner of exercise;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dates on which the right to exercise the warrants will commence and expire;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manner in which the warrant agreement and warrants may be modified;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federal income tax consequences of holding or exercising the warrants;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of the securities issuable upon exercise of the warrants; and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specific terms, preferences, rights or limitations of or restrictions on the warrants.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UNITS</w:t>
      </w:r>
    </w:p>
    <w:p>
      <w:pPr>
        <w:spacing w:after="0" w:line="342" w:lineRule="exact"/>
        <w:rPr>
          <w:sz w:val="20"/>
          <w:szCs w:val="20"/>
          <w:color w:val="auto"/>
        </w:rPr>
      </w:pPr>
    </w:p>
    <w:p>
      <w:pPr>
        <w:ind w:firstLine="342"/>
        <w:spacing w:after="0" w:line="252"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92"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229" w:lineRule="exact"/>
        <w:rPr>
          <w:sz w:val="20"/>
          <w:szCs w:val="20"/>
          <w:color w:val="auto"/>
        </w:rPr>
      </w:pPr>
    </w:p>
    <w:p>
      <w:pPr>
        <w:ind w:left="800" w:right="240" w:hanging="454"/>
        <w:spacing w:after="0" w:line="218" w:lineRule="auto"/>
        <w:tabs>
          <w:tab w:leader="none" w:pos="8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of the governing unit agreement;</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price or prices at which such units will be issued;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United States federal income tax considerations relating to the units;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provisions for the issuance, payment, settlement, transfer or exchange of the units or of the securities comprising the units; and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terms of the units and of the securities comprising the units.</w:t>
      </w:r>
    </w:p>
    <w:p>
      <w:pPr>
        <w:spacing w:after="0" w:line="203" w:lineRule="exact"/>
        <w:rPr>
          <w:sz w:val="20"/>
          <w:szCs w:val="20"/>
          <w:color w:val="auto"/>
        </w:rPr>
      </w:pPr>
    </w:p>
    <w:p>
      <w:pPr>
        <w:ind w:right="40" w:firstLine="342"/>
        <w:spacing w:after="0"/>
        <w:rPr>
          <w:sz w:val="20"/>
          <w:szCs w:val="20"/>
          <w:color w:val="auto"/>
        </w:rPr>
      </w:pPr>
      <w:r>
        <w:rPr>
          <w:rFonts w:ascii="Arial" w:cs="Arial" w:eastAsia="Arial" w:hAnsi="Arial"/>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126" w:lineRule="exact"/>
        <w:rPr>
          <w:sz w:val="20"/>
          <w:szCs w:val="20"/>
          <w:color w:val="auto"/>
        </w:rPr>
      </w:pPr>
    </w:p>
    <w:p>
      <w:pPr>
        <w:ind w:right="20" w:firstLine="342"/>
        <w:spacing w:after="0"/>
        <w:rPr>
          <w:sz w:val="20"/>
          <w:szCs w:val="20"/>
          <w:color w:val="auto"/>
        </w:rPr>
      </w:pPr>
      <w:r>
        <w:rPr>
          <w:rFonts w:ascii="Arial" w:cs="Arial" w:eastAsia="Arial" w:hAnsi="Arial"/>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Agreements</w:t>
      </w:r>
    </w:p>
    <w:p>
      <w:pPr>
        <w:spacing w:after="0" w:line="126" w:lineRule="exact"/>
        <w:rPr>
          <w:sz w:val="20"/>
          <w:szCs w:val="20"/>
          <w:color w:val="auto"/>
        </w:rPr>
      </w:pPr>
    </w:p>
    <w:p>
      <w:pPr>
        <w:ind w:firstLine="342"/>
        <w:spacing w:after="0"/>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203" w:lineRule="exact"/>
        <w:rPr>
          <w:sz w:val="20"/>
          <w:szCs w:val="20"/>
          <w:color w:val="auto"/>
        </w:rPr>
      </w:pPr>
    </w:p>
    <w:p>
      <w:pPr>
        <w:ind w:left="800" w:hanging="454"/>
        <w:spacing w:after="0"/>
        <w:tabs>
          <w:tab w:leader="none" w:pos="80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cure any ambiguity, including modifying any provisions of the governing unit agreement that differ from those described below;</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correct or supplement any defective or inconsistent provision; or</w:t>
      </w:r>
    </w:p>
    <w:p>
      <w:pPr>
        <w:spacing w:after="0" w:line="26" w:lineRule="exact"/>
        <w:rPr>
          <w:rFonts w:ascii="MS PGothic" w:cs="MS PGothic" w:eastAsia="MS PGothic" w:hAnsi="MS PGothic"/>
          <w:sz w:val="25"/>
          <w:szCs w:val="25"/>
          <w:color w:val="auto"/>
          <w:vertAlign w:val="superscript"/>
        </w:rPr>
      </w:pPr>
    </w:p>
    <w:p>
      <w:pPr>
        <w:ind w:left="800" w:right="120" w:hanging="454"/>
        <w:spacing w:after="0" w:line="218" w:lineRule="auto"/>
        <w:tabs>
          <w:tab w:leader="none" w:pos="80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203"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85" w:lineRule="exact"/>
        <w:rPr>
          <w:sz w:val="20"/>
          <w:szCs w:val="20"/>
          <w:color w:val="auto"/>
        </w:rPr>
      </w:pPr>
    </w:p>
    <w:p>
      <w:pPr>
        <w:ind w:right="100" w:firstLine="342"/>
        <w:spacing w:after="0" w:line="246"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224" w:lineRule="exact"/>
        <w:rPr>
          <w:sz w:val="20"/>
          <w:szCs w:val="20"/>
          <w:color w:val="auto"/>
        </w:rPr>
      </w:pPr>
    </w:p>
    <w:p>
      <w:pPr>
        <w:ind w:left="800" w:right="160" w:hanging="454"/>
        <w:spacing w:after="0" w:line="218" w:lineRule="auto"/>
        <w:tabs>
          <w:tab w:leader="none" w:pos="80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27" w:lineRule="exact"/>
        <w:rPr>
          <w:rFonts w:ascii="MS PGothic" w:cs="MS PGothic" w:eastAsia="MS PGothic" w:hAnsi="MS PGothic"/>
          <w:sz w:val="25"/>
          <w:szCs w:val="25"/>
          <w:color w:val="auto"/>
          <w:vertAlign w:val="superscript"/>
        </w:rPr>
      </w:pPr>
    </w:p>
    <w:p>
      <w:pPr>
        <w:ind w:left="800" w:right="280" w:hanging="454"/>
        <w:spacing w:after="0" w:line="218" w:lineRule="auto"/>
        <w:tabs>
          <w:tab w:leader="none" w:pos="80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239" w:lineRule="exact"/>
        <w:rPr>
          <w:sz w:val="20"/>
          <w:szCs w:val="20"/>
          <w:color w:val="auto"/>
        </w:rPr>
      </w:pPr>
    </w:p>
    <w:p>
      <w:pPr>
        <w:ind w:left="800" w:hanging="454"/>
        <w:spacing w:after="0" w:line="218" w:lineRule="auto"/>
        <w:tabs>
          <w:tab w:leader="none" w:pos="80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27" w:lineRule="exact"/>
        <w:rPr>
          <w:rFonts w:ascii="MS PGothic" w:cs="MS PGothic" w:eastAsia="MS PGothic" w:hAnsi="MS PGothic"/>
          <w:sz w:val="25"/>
          <w:szCs w:val="25"/>
          <w:color w:val="auto"/>
          <w:vertAlign w:val="superscript"/>
        </w:rPr>
      </w:pPr>
    </w:p>
    <w:p>
      <w:pPr>
        <w:ind w:left="800" w:hanging="454"/>
        <w:spacing w:after="0" w:line="223" w:lineRule="auto"/>
        <w:tabs>
          <w:tab w:leader="none" w:pos="80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204" w:lineRule="exact"/>
        <w:rPr>
          <w:sz w:val="20"/>
          <w:szCs w:val="20"/>
          <w:color w:val="auto"/>
        </w:rPr>
      </w:pPr>
    </w:p>
    <w:p>
      <w:pPr>
        <w:ind w:right="160" w:firstLine="342"/>
        <w:spacing w:after="0" w:line="246"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Therefore, holders of units issued under unit agreements will not have the protections of the Trust Indenture Act with respect to their units.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99" w:lineRule="exact"/>
        <w:rPr>
          <w:sz w:val="20"/>
          <w:szCs w:val="20"/>
          <w:color w:val="auto"/>
        </w:rPr>
      </w:pPr>
    </w:p>
    <w:p>
      <w:pPr>
        <w:ind w:right="200" w:firstLine="342"/>
        <w:spacing w:after="0" w:line="246"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97" w:lineRule="exact"/>
        <w:rPr>
          <w:sz w:val="20"/>
          <w:szCs w:val="20"/>
          <w:color w:val="auto"/>
        </w:rPr>
      </w:pPr>
    </w:p>
    <w:p>
      <w:pPr>
        <w:ind w:right="520" w:firstLine="342"/>
        <w:spacing w:after="0" w:line="246"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85"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12" w:lineRule="exact"/>
        <w:rPr>
          <w:sz w:val="20"/>
          <w:szCs w:val="20"/>
          <w:color w:val="auto"/>
        </w:rPr>
      </w:pPr>
    </w:p>
    <w:p>
      <w:pPr>
        <w:ind w:right="40" w:firstLine="342"/>
        <w:spacing w:after="0" w:line="246"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224" w:lineRule="exact"/>
        <w:rPr>
          <w:sz w:val="20"/>
          <w:szCs w:val="20"/>
          <w:color w:val="auto"/>
        </w:rPr>
      </w:pPr>
    </w:p>
    <w:p>
      <w:pPr>
        <w:ind w:left="800" w:right="620" w:hanging="454"/>
        <w:spacing w:after="0" w:line="218" w:lineRule="auto"/>
        <w:tabs>
          <w:tab w:leader="none" w:pos="80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27" w:lineRule="exact"/>
        <w:rPr>
          <w:rFonts w:ascii="MS PGothic" w:cs="MS PGothic" w:eastAsia="MS PGothic" w:hAnsi="MS PGothic"/>
          <w:sz w:val="25"/>
          <w:szCs w:val="25"/>
          <w:color w:val="auto"/>
          <w:vertAlign w:val="superscript"/>
        </w:rPr>
      </w:pPr>
    </w:p>
    <w:p>
      <w:pPr>
        <w:ind w:left="800" w:right="80" w:hanging="454"/>
        <w:spacing w:after="0" w:line="226" w:lineRule="auto"/>
        <w:tabs>
          <w:tab w:leader="none" w:pos="80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27" w:lineRule="exact"/>
        <w:rPr>
          <w:rFonts w:ascii="MS PGothic" w:cs="MS PGothic" w:eastAsia="MS PGothic" w:hAnsi="MS PGothic"/>
          <w:sz w:val="25"/>
          <w:szCs w:val="25"/>
          <w:color w:val="auto"/>
          <w:vertAlign w:val="superscript"/>
        </w:rPr>
      </w:pPr>
    </w:p>
    <w:p>
      <w:pPr>
        <w:ind w:left="800" w:right="60" w:hanging="454"/>
        <w:spacing w:after="0" w:line="229" w:lineRule="auto"/>
        <w:tabs>
          <w:tab w:leader="none" w:pos="80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85" w:lineRule="exact"/>
        <w:rPr>
          <w:sz w:val="20"/>
          <w:szCs w:val="20"/>
          <w:color w:val="auto"/>
        </w:rPr>
      </w:pPr>
    </w:p>
    <w:p>
      <w:pPr>
        <w:ind w:right="280" w:firstLine="342"/>
        <w:spacing w:after="0" w:line="246"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 (3) through agents, or (4) 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229" w:lineRule="exact"/>
        <w:rPr>
          <w:sz w:val="20"/>
          <w:szCs w:val="20"/>
          <w:color w:val="auto"/>
        </w:rPr>
      </w:pPr>
    </w:p>
    <w:p>
      <w:pPr>
        <w:ind w:left="800" w:right="280" w:hanging="454"/>
        <w:spacing w:after="0" w:line="218" w:lineRule="auto"/>
        <w:tabs>
          <w:tab w:leader="none" w:pos="80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27" w:lineRule="exact"/>
        <w:rPr>
          <w:rFonts w:ascii="MS PGothic" w:cs="MS PGothic" w:eastAsia="MS PGothic" w:hAnsi="MS PGothic"/>
          <w:sz w:val="25"/>
          <w:szCs w:val="25"/>
          <w:color w:val="auto"/>
          <w:vertAlign w:val="superscript"/>
        </w:rPr>
      </w:pPr>
    </w:p>
    <w:p>
      <w:pPr>
        <w:ind w:left="800" w:right="40" w:hanging="454"/>
        <w:spacing w:after="0" w:line="218" w:lineRule="auto"/>
        <w:tabs>
          <w:tab w:leader="none" w:pos="80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or through a market maker otherwise than on The Nasdaq Global Select Market or such other securities exchanges or quotation or trading services.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12"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12" w:lineRule="exact"/>
        <w:rPr>
          <w:sz w:val="20"/>
          <w:szCs w:val="20"/>
          <w:color w:val="auto"/>
        </w:rPr>
      </w:pPr>
    </w:p>
    <w:p>
      <w:pPr>
        <w:ind w:right="520" w:firstLine="342"/>
        <w:spacing w:after="0" w:line="246"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88" w:lineRule="exact"/>
        <w:rPr>
          <w:sz w:val="20"/>
          <w:szCs w:val="20"/>
          <w:color w:val="auto"/>
        </w:rPr>
      </w:pPr>
    </w:p>
    <w:p>
      <w:pPr>
        <w:ind w:left="800" w:hanging="454"/>
        <w:spacing w:after="0"/>
        <w:tabs>
          <w:tab w:leader="none" w:pos="8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type and amount of securities we are offering;</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the agent or any underwriters;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public offering or purchase price;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and commissions to be allowed or paid to the agent or underwriters;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other items constituting underwriting compensation;</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and commissions to be allowed or paid to dealers; and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exchanges on which the securities will be listed.</w:t>
      </w:r>
    </w:p>
    <w:p>
      <w:pPr>
        <w:spacing w:after="0" w:line="203" w:lineRule="exact"/>
        <w:rPr>
          <w:sz w:val="20"/>
          <w:szCs w:val="20"/>
          <w:color w:val="auto"/>
        </w:rPr>
      </w:pPr>
    </w:p>
    <w:p>
      <w:pPr>
        <w:jc w:val="both"/>
        <w:ind w:right="420" w:firstLine="342"/>
        <w:spacing w:after="0"/>
        <w:rPr>
          <w:sz w:val="20"/>
          <w:szCs w:val="20"/>
          <w:color w:val="auto"/>
        </w:rPr>
      </w:pPr>
      <w:r>
        <w:rPr>
          <w:rFonts w:ascii="Arial" w:cs="Arial" w:eastAsia="Arial" w:hAnsi="Arial"/>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203" w:lineRule="exact"/>
        <w:rPr>
          <w:sz w:val="20"/>
          <w:szCs w:val="20"/>
          <w:color w:val="auto"/>
        </w:rPr>
      </w:pPr>
    </w:p>
    <w:p>
      <w:pPr>
        <w:ind w:right="100" w:firstLine="342"/>
        <w:spacing w:after="0"/>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342"/>
        <w:spacing w:after="0"/>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203"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02" w:lineRule="exact"/>
        <w:rPr>
          <w:sz w:val="20"/>
          <w:szCs w:val="20"/>
          <w:color w:val="auto"/>
        </w:rPr>
      </w:pPr>
    </w:p>
    <w:p>
      <w:pPr>
        <w:jc w:val="both"/>
        <w:ind w:right="60" w:firstLine="342"/>
        <w:spacing w:after="0"/>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203"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230" w:lineRule="exact"/>
        <w:rPr>
          <w:sz w:val="20"/>
          <w:szCs w:val="20"/>
          <w:color w:val="auto"/>
        </w:rPr>
      </w:pPr>
    </w:p>
    <w:p>
      <w:pPr>
        <w:ind w:left="800" w:right="360" w:hanging="454"/>
        <w:spacing w:after="0" w:line="218" w:lineRule="auto"/>
        <w:tabs>
          <w:tab w:leader="none" w:pos="80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7" w:lineRule="exact"/>
        <w:rPr>
          <w:rFonts w:ascii="MS PGothic" w:cs="MS PGothic" w:eastAsia="MS PGothic" w:hAnsi="MS PGothic"/>
          <w:sz w:val="25"/>
          <w:szCs w:val="25"/>
          <w:color w:val="auto"/>
          <w:vertAlign w:val="superscript"/>
        </w:rPr>
      </w:pPr>
    </w:p>
    <w:p>
      <w:pPr>
        <w:ind w:left="800" w:right="60" w:hanging="454"/>
        <w:spacing w:after="0" w:line="223" w:lineRule="auto"/>
        <w:tabs>
          <w:tab w:leader="none" w:pos="80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204" w:lineRule="exact"/>
        <w:rPr>
          <w:sz w:val="20"/>
          <w:szCs w:val="20"/>
          <w:color w:val="auto"/>
        </w:rPr>
      </w:pPr>
    </w:p>
    <w:p>
      <w:pPr>
        <w:ind w:right="180" w:firstLine="342"/>
        <w:spacing w:after="0" w:line="238"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203" w:lineRule="exact"/>
        <w:rPr>
          <w:sz w:val="20"/>
          <w:szCs w:val="20"/>
          <w:color w:val="auto"/>
        </w:rPr>
      </w:pPr>
    </w:p>
    <w:p>
      <w:pPr>
        <w:ind w:right="140" w:firstLine="342"/>
        <w:spacing w:after="0"/>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203" w:lineRule="exact"/>
        <w:rPr>
          <w:sz w:val="20"/>
          <w:szCs w:val="20"/>
          <w:color w:val="auto"/>
        </w:rPr>
      </w:pPr>
    </w:p>
    <w:p>
      <w:pPr>
        <w:jc w:val="both"/>
        <w:ind w:right="220" w:firstLine="342"/>
        <w:spacing w:after="0"/>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07"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205" w:lineRule="exact"/>
        <w:rPr>
          <w:sz w:val="20"/>
          <w:szCs w:val="20"/>
          <w:color w:val="auto"/>
        </w:rPr>
      </w:pPr>
    </w:p>
    <w:p>
      <w:pPr>
        <w:ind w:right="100" w:firstLine="342"/>
        <w:spacing w:after="0" w:line="246"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12" w:lineRule="exact"/>
        <w:rPr>
          <w:sz w:val="20"/>
          <w:szCs w:val="20"/>
          <w:color w:val="auto"/>
        </w:rPr>
      </w:pPr>
    </w:p>
    <w:p>
      <w:pPr>
        <w:ind w:firstLine="342"/>
        <w:spacing w:after="0" w:line="246"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97" w:lineRule="exact"/>
        <w:rPr>
          <w:sz w:val="20"/>
          <w:szCs w:val="20"/>
          <w:color w:val="auto"/>
        </w:rPr>
      </w:pPr>
    </w:p>
    <w:p>
      <w:pPr>
        <w:jc w:val="center"/>
        <w:ind w:right="320"/>
        <w:spacing w:after="0" w:line="418" w:lineRule="auto"/>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 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right="300" w:firstLine="342"/>
        <w:spacing w:after="0"/>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right="280" w:firstLine="342"/>
        <w:spacing w:after="0" w:line="238" w:lineRule="auto"/>
        <w:rPr>
          <w:sz w:val="20"/>
          <w:szCs w:val="20"/>
          <w:color w:val="auto"/>
        </w:rPr>
      </w:pPr>
      <w:r>
        <w:rPr>
          <w:rFonts w:ascii="Arial" w:cs="Arial" w:eastAsia="Arial" w:hAnsi="Arial"/>
          <w:sz w:val="18"/>
          <w:szCs w:val="18"/>
          <w:color w:val="auto"/>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3"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Arial" w:cs="Arial" w:eastAsia="Arial" w:hAnsi="Arial"/>
          <w:sz w:val="18"/>
          <w:szCs w:val="18"/>
          <w:i w:val="1"/>
          <w:iCs w:val="1"/>
          <w:color w:val="auto"/>
        </w:rPr>
        <w:t>www.avrobio.com.</w:t>
      </w:r>
      <w:r>
        <w:rPr>
          <w:rFonts w:ascii="Arial" w:cs="Arial" w:eastAsia="Arial" w:hAnsi="Arial"/>
          <w:sz w:val="18"/>
          <w:szCs w:val="18"/>
          <w:color w:val="auto"/>
        </w:rPr>
        <w:t xml:space="preserve"> Information contained on our website is not incorporated by reference into this prospectus and, therefore, is not part of this prospectus or any accompanying prospectus supplement.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194" w:lineRule="exact"/>
        <w:rPr>
          <w:sz w:val="20"/>
          <w:szCs w:val="20"/>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26" w:lineRule="exact"/>
        <w:rPr>
          <w:rFonts w:ascii="Arial" w:cs="Arial" w:eastAsia="Arial" w:hAnsi="Arial"/>
          <w:sz w:val="18"/>
          <w:szCs w:val="18"/>
          <w:color w:val="auto"/>
        </w:rPr>
      </w:pPr>
    </w:p>
    <w:p>
      <w:pPr>
        <w:ind w:left="800" w:right="40" w:hanging="454"/>
        <w:spacing w:after="0" w:line="223"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61">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2" w:lineRule="exact"/>
        <w:rPr>
          <w:rFonts w:ascii="Arial" w:cs="Arial" w:eastAsia="Arial" w:hAnsi="Arial"/>
          <w:sz w:val="18"/>
          <w:szCs w:val="18"/>
          <w:color w:val="auto"/>
        </w:rPr>
      </w:pPr>
    </w:p>
    <w:p>
      <w:pPr>
        <w:ind w:left="800" w:hanging="454"/>
        <w:spacing w:after="0" w:line="230"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26" w:lineRule="exact"/>
        <w:rPr>
          <w:rFonts w:ascii="Arial" w:cs="Arial" w:eastAsia="Arial" w:hAnsi="Arial"/>
          <w:sz w:val="18"/>
          <w:szCs w:val="18"/>
          <w:color w:val="auto"/>
        </w:rPr>
      </w:pPr>
    </w:p>
    <w:p>
      <w:pPr>
        <w:ind w:left="800" w:right="300" w:hanging="454"/>
        <w:spacing w:after="0" w:line="223" w:lineRule="auto"/>
        <w:tabs>
          <w:tab w:leader="none" w:pos="800" w:val="left"/>
        </w:tabs>
        <w:numPr>
          <w:ilvl w:val="0"/>
          <w:numId w:val="32"/>
        </w:numPr>
        <w:rPr>
          <w:rFonts w:ascii="Arial" w:cs="Arial" w:eastAsia="Arial" w:hAnsi="Arial"/>
          <w:sz w:val="18"/>
          <w:szCs w:val="18"/>
          <w:color w:val="000000"/>
        </w:rPr>
      </w:pPr>
      <w:r>
        <w:rPr>
          <w:rFonts w:ascii="Arial" w:cs="Arial" w:eastAsia="Arial" w:hAnsi="Arial"/>
          <w:sz w:val="18"/>
          <w:szCs w:val="18"/>
          <w:color w:val="auto"/>
        </w:rPr>
        <w:t xml:space="preserve">our Current Report on Form 8-K filed with the SEC on </w:t>
      </w:r>
      <w:hyperlink r:id="rId63">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our Current Report on Form 8-K/A filed with the SEC on </w:t>
      </w:r>
      <w:hyperlink r:id="rId64">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 Current Reports on Form 8-K filed with the SEC on</w:t>
      </w:r>
      <w:r>
        <w:rPr>
          <w:rFonts w:ascii="Arial" w:cs="Arial" w:eastAsia="Arial" w:hAnsi="Arial"/>
          <w:sz w:val="18"/>
          <w:szCs w:val="18"/>
          <w:color w:val="0000EE"/>
        </w:rPr>
        <w:t xml:space="preserve"> </w:t>
      </w:r>
      <w:hyperlink r:id="rId65">
        <w:r>
          <w:rPr>
            <w:rFonts w:ascii="Arial" w:cs="Arial" w:eastAsia="Arial" w:hAnsi="Arial"/>
            <w:sz w:val="18"/>
            <w:szCs w:val="18"/>
            <w:u w:val="single" w:color="auto"/>
            <w:color w:val="0000EE"/>
          </w:rPr>
          <w:t>January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6">
        <w:r>
          <w:rPr>
            <w:rFonts w:ascii="Arial" w:cs="Arial" w:eastAsia="Arial" w:hAnsi="Arial"/>
            <w:sz w:val="18"/>
            <w:szCs w:val="18"/>
            <w:u w:val="single" w:color="auto"/>
            <w:color w:val="0000EE"/>
          </w:rPr>
          <w:t>February 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April 29, 2019</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and </w:t>
      </w:r>
      <w:hyperlink r:id="rId68">
        <w:r>
          <w:rPr>
            <w:rFonts w:ascii="Arial" w:cs="Arial" w:eastAsia="Arial" w:hAnsi="Arial"/>
            <w:sz w:val="18"/>
            <w:szCs w:val="18"/>
            <w:u w:val="single" w:color="auto"/>
            <w:color w:val="0000EE"/>
          </w:rPr>
          <w:t>June 12, 2019</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(in each case, except for information contained therein which is furnished rather than filed); and</w:t>
      </w:r>
    </w:p>
    <w:p>
      <w:pPr>
        <w:spacing w:after="0" w:line="28" w:lineRule="exact"/>
        <w:rPr>
          <w:rFonts w:ascii="Arial" w:cs="Arial" w:eastAsia="Arial" w:hAnsi="Arial"/>
          <w:sz w:val="18"/>
          <w:szCs w:val="18"/>
          <w:color w:val="000000"/>
        </w:rPr>
      </w:pPr>
    </w:p>
    <w:p>
      <w:pPr>
        <w:ind w:left="800" w:right="620" w:hanging="454"/>
        <w:spacing w:after="0" w:line="21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203" w:lineRule="exact"/>
        <w:rPr>
          <w:rFonts w:ascii="Arial" w:cs="Arial" w:eastAsia="Arial" w:hAnsi="Arial"/>
          <w:sz w:val="18"/>
          <w:szCs w:val="18"/>
          <w:color w:val="0000EE"/>
        </w:rPr>
      </w:pPr>
    </w:p>
    <w:p>
      <w:pPr>
        <w:ind w:right="100" w:firstLine="342"/>
        <w:spacing w:after="0" w:line="238"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203" w:lineRule="exact"/>
        <w:rPr>
          <w:rFonts w:ascii="Arial" w:cs="Arial" w:eastAsia="Arial" w:hAnsi="Arial"/>
          <w:sz w:val="18"/>
          <w:szCs w:val="18"/>
          <w:color w:val="0000EE"/>
        </w:rPr>
      </w:pPr>
    </w:p>
    <w:p>
      <w:pPr>
        <w:ind w:firstLine="342"/>
        <w:spacing w:after="0" w:line="246"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97" w:lineRule="exact"/>
        <w:rPr>
          <w:rFonts w:ascii="Arial" w:cs="Arial" w:eastAsia="Arial" w:hAnsi="Arial"/>
          <w:sz w:val="18"/>
          <w:szCs w:val="18"/>
          <w:color w:val="0000EE"/>
        </w:rPr>
      </w:pPr>
    </w:p>
    <w:p>
      <w:pPr>
        <w:jc w:val="both"/>
        <w:ind w:right="200" w:firstLine="342"/>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34"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617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$200,000,000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42"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648335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D6284A"/>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356"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b w:val="1"/>
          <w:bCs w:val="1"/>
          <w:color w:val="D6284A"/>
        </w:rPr>
        <w:t>PROSPECTUS (Subject to Completion)</w:t>
      </w:r>
      <w:r>
        <w:rPr>
          <w:sz w:val="20"/>
          <w:szCs w:val="20"/>
          <w:color w:val="auto"/>
        </w:rPr>
        <w:tab/>
      </w:r>
      <w:r>
        <w:rPr>
          <w:rFonts w:ascii="Arial" w:cs="Arial" w:eastAsia="Arial" w:hAnsi="Arial"/>
          <w:sz w:val="17"/>
          <w:szCs w:val="17"/>
          <w:b w:val="1"/>
          <w:bCs w:val="1"/>
          <w:color w:val="D6284A"/>
        </w:rPr>
        <w:t>Dated July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311785</wp:posOffset>
            </wp:positionV>
            <wp:extent cx="2195195" cy="557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21951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Up to $50,000,000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248285</wp:posOffset>
            </wp:positionV>
            <wp:extent cx="1878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have entered into a Sales Agreement with Cowen and Company, LLC, or Cowen, relating to shares of our common stock, par value $0.0001 per share, offered by this prospectus. In accordance with the terms of the Sales Agreement, we may offer and sell shares of our common stock having an aggregate offering price of up to $50,000,000 from time to time through Cowen, acting as sales agent. Sales of the shares of common stock, if any, may be made on The Nasdaq Global Select Market at market prices and such other sales as agreed upon by us and Cowen, as the case may be.</w:t>
      </w:r>
    </w:p>
    <w:p>
      <w:pPr>
        <w:spacing w:after="0" w:line="20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Our common stock is listed on The Nasdaq Global Select Market under the symbol “AVRO.” On June 27, 2019, the closing price of our common stock, as reported on The Nasdaq Global Select Market, was $15.36 per share.</w:t>
      </w:r>
    </w:p>
    <w:p>
      <w:pPr>
        <w:spacing w:after="0" w:line="19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Sales of our common stock, if any, under this prospectus will be made in sales deemed to be “at the market offerings” as defined in Rule 415 promulgated under the Securities Act of 1933, as amended, or the Securities Act. Cowen is not required to sell any specific number or dollar amount of securities, but will act as our sales agent using commercially reasonable efforts to sell on our behalf all of the shares of common stock requested to be sold by us, consistent with their normal trading and sales practices, on mutually agreed terms between Cowen and us. There is no arrangement for funds to be received in any escrow, trust or similar arrangement.</w:t>
      </w:r>
    </w:p>
    <w:p>
      <w:pPr>
        <w:spacing w:after="0" w:line="20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Cowen will be entitled to compensation at a fixed commission rate of 3% of the gross sales price per common stock sold under the Sales Agreement. See “Plan of Distribution” beginning on page SA-28 for additional information regarding the compensation to be paid to Cowen. In connection with the sale of the common stock on our behalf, Cowen will be deemed to be an “underwriter” within the meaning of the Securities Act and the compensation of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10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You should review carefully the risks and uncertainties referenced under the heading “</w:t>
      </w:r>
      <w:hyperlink w:anchor="page4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SA-8 of this prospectus and in the documents that are incorporated by reference into this prospectus.</w:t>
      </w:r>
    </w:p>
    <w:p>
      <w:pPr>
        <w:spacing w:after="0" w:line="19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Cowen</w:t>
      </w:r>
    </w:p>
    <w:p>
      <w:pPr>
        <w:spacing w:after="0" w:line="237" w:lineRule="exact"/>
        <w:rPr>
          <w:sz w:val="20"/>
          <w:szCs w:val="20"/>
          <w:color w:val="auto"/>
        </w:rPr>
      </w:pPr>
    </w:p>
    <w:tbl>
      <w:tblPr>
        <w:tblLayout w:type="fixed"/>
        <w:tblInd w:w="3660" w:type="dxa"/>
        <w:tblCellMar>
          <w:top w:w="0" w:type="dxa"/>
          <w:left w:w="0" w:type="dxa"/>
          <w:bottom w:w="0" w:type="dxa"/>
          <w:right w:w="0" w:type="dxa"/>
        </w:tblCellMar>
      </w:tblPr>
      <w:tr>
        <w:trPr>
          <w:trHeight w:val="239"/>
        </w:trPr>
        <w:tc>
          <w:tcPr>
            <w:tcW w:w="308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4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620" w:type="dxa"/>
            <w:vAlign w:val="bottom"/>
          </w:tcPr>
          <w:p>
            <w:pPr>
              <w:spacing w:after="0"/>
              <w:rPr>
                <w:sz w:val="17"/>
                <w:szCs w:val="17"/>
                <w:color w:val="auto"/>
              </w:rPr>
            </w:pPr>
          </w:p>
        </w:tc>
      </w:tr>
      <w:tr>
        <w:trPr>
          <w:trHeight w:val="534"/>
        </w:trPr>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60" w:type="dxa"/>
            <w:vAlign w:val="bottom"/>
            <w:gridSpan w:val="3"/>
          </w:tcPr>
          <w:p>
            <w:pPr>
              <w:ind w:left="168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4"/>
                <w:szCs w:val="24"/>
                <w:color w:val="auto"/>
              </w:rPr>
            </w:pPr>
          </w:p>
        </w:tc>
      </w:tr>
      <w:tr>
        <w:trPr>
          <w:trHeight w:val="553"/>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176"/>
        </w:trPr>
        <w:tc>
          <w:tcPr>
            <w:tcW w:w="176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About this Prospectus</w:t>
              </w:r>
            </w:hyperlink>
          </w:p>
        </w:tc>
        <w:tc>
          <w:tcPr>
            <w:tcW w:w="6980" w:type="dxa"/>
            <w:vAlign w:val="bottom"/>
            <w:gridSpan w:val="6"/>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SA-1</w:t>
            </w: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Prospectus Summary</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SA-3</w:t>
            </w:r>
          </w:p>
        </w:tc>
      </w:tr>
      <w:tr>
        <w:trPr>
          <w:trHeight w:val="183"/>
        </w:trPr>
        <w:tc>
          <w:tcPr>
            <w:tcW w:w="17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The Offering</w:t>
              </w:r>
            </w:hyperlink>
          </w:p>
        </w:tc>
        <w:tc>
          <w:tcPr>
            <w:tcW w:w="7020" w:type="dxa"/>
            <w:vAlign w:val="bottom"/>
            <w:gridSpan w:val="7"/>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SA-6</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SA-8</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83"/>
        </w:trPr>
        <w:tc>
          <w:tcPr>
            <w:tcW w:w="5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Cautionary Statement Regarding Forward-Looking Statements</w:t>
              </w:r>
            </w:hyperlink>
          </w:p>
        </w:tc>
        <w:tc>
          <w:tcPr>
            <w:tcW w:w="3740" w:type="dxa"/>
            <w:vAlign w:val="bottom"/>
            <w:gridSpan w:val="2"/>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SA-12</w:t>
            </w:r>
          </w:p>
        </w:tc>
      </w:tr>
      <w:tr>
        <w:trPr>
          <w:trHeight w:val="183"/>
        </w:trPr>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Use of Proceeds</w:t>
              </w:r>
            </w:hyperlink>
          </w:p>
        </w:tc>
        <w:tc>
          <w:tcPr>
            <w:tcW w:w="7400" w:type="dxa"/>
            <w:vAlign w:val="bottom"/>
            <w:gridSpan w:val="10"/>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SA-14</w:t>
            </w:r>
          </w:p>
        </w:tc>
      </w:tr>
      <w:tr>
        <w:trPr>
          <w:trHeight w:val="183"/>
        </w:trPr>
        <w:tc>
          <w:tcPr>
            <w:tcW w:w="12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Dividend Policy</w:t>
              </w:r>
            </w:hyperlink>
          </w:p>
        </w:tc>
        <w:tc>
          <w:tcPr>
            <w:tcW w:w="7500" w:type="dxa"/>
            <w:vAlign w:val="bottom"/>
            <w:gridSpan w:val="11"/>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SA-15</w:t>
            </w: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Dilution</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SA-16</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Material U.S. Federal Income Tax Considerations for Non-U.S. Holders</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SA-18</w:t>
            </w:r>
          </w:p>
        </w:tc>
      </w:tr>
      <w:tr>
        <w:trPr>
          <w:trHeight w:val="183"/>
        </w:trPr>
        <w:tc>
          <w:tcPr>
            <w:tcW w:w="22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Description of Capital Stock</w:t>
              </w:r>
            </w:hyperlink>
          </w:p>
        </w:tc>
        <w:tc>
          <w:tcPr>
            <w:tcW w:w="3420" w:type="dxa"/>
            <w:vAlign w:val="bottom"/>
            <w:tcBorders>
              <w:top w:val="single" w:sz="8" w:color="0000EE"/>
            </w:tcBorders>
            <w:gridSpan w:val="3"/>
          </w:tcPr>
          <w:p>
            <w:pPr>
              <w:spacing w:after="0"/>
              <w:rPr>
                <w:sz w:val="15"/>
                <w:szCs w:val="15"/>
                <w:color w:val="auto"/>
              </w:rPr>
            </w:pPr>
          </w:p>
        </w:tc>
        <w:tc>
          <w:tcPr>
            <w:tcW w:w="3100" w:type="dxa"/>
            <w:vAlign w:val="bottom"/>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SA-22</w:t>
            </w:r>
          </w:p>
        </w:tc>
      </w:tr>
      <w:tr>
        <w:trPr>
          <w:trHeight w:val="183"/>
        </w:trPr>
        <w:tc>
          <w:tcPr>
            <w:tcW w:w="15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Plan of Distribution</w:t>
              </w:r>
            </w:hyperlink>
          </w:p>
        </w:tc>
        <w:tc>
          <w:tcPr>
            <w:tcW w:w="7220" w:type="dxa"/>
            <w:vAlign w:val="bottom"/>
            <w:gridSpan w:val="8"/>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SA-28</w:t>
            </w:r>
          </w:p>
        </w:tc>
      </w:tr>
      <w:tr>
        <w:trPr>
          <w:trHeight w:val="183"/>
        </w:trPr>
        <w:tc>
          <w:tcPr>
            <w:tcW w:w="110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Legal Matters</w:t>
              </w:r>
            </w:hyperlink>
          </w:p>
        </w:tc>
        <w:tc>
          <w:tcPr>
            <w:tcW w:w="7640" w:type="dxa"/>
            <w:vAlign w:val="bottom"/>
            <w:gridSpan w:val="12"/>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SA-30</w:t>
            </w: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Experts</w:t>
              </w:r>
            </w:hyperlink>
          </w:p>
        </w:tc>
        <w:tc>
          <w:tcPr>
            <w:tcW w:w="8120" w:type="dxa"/>
            <w:vAlign w:val="bottom"/>
            <w:gridSpan w:val="14"/>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SA-30</w:t>
            </w: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Where You Can Find More Information</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SA-30</w:t>
            </w:r>
          </w:p>
        </w:tc>
      </w:tr>
      <w:tr>
        <w:trPr>
          <w:trHeight w:val="183"/>
        </w:trPr>
        <w:tc>
          <w:tcPr>
            <w:tcW w:w="21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5660" w:type="dxa"/>
            <w:vAlign w:val="bottom"/>
            <w:gridSpan w:val="3"/>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0" w:firstLine="342"/>
        <w:spacing w:after="0" w:line="237" w:lineRule="auto"/>
        <w:rPr>
          <w:sz w:val="20"/>
          <w:szCs w:val="20"/>
          <w:color w:val="auto"/>
        </w:rPr>
      </w:pPr>
      <w:r>
        <w:rPr>
          <w:rFonts w:ascii="Arial" w:cs="Arial" w:eastAsia="Arial" w:hAnsi="Arial"/>
          <w:sz w:val="18"/>
          <w:szCs w:val="18"/>
          <w:color w:val="auto"/>
        </w:rPr>
        <w:t>We are responsible for the information contained and incorporated by reference in this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ectPr>
          <w:pgSz w:w="11900" w:h="16838" w:orient="portrait"/>
          <w:cols w:equalWidth="0" w:num="1">
            <w:col w:w="11360"/>
          </w:cols>
          <w:pgMar w:left="240" w:top="446"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jc w:val="both"/>
        <w:ind w:right="100" w:firstLine="342"/>
        <w:spacing w:after="0"/>
        <w:rPr>
          <w:sz w:val="20"/>
          <w:szCs w:val="20"/>
          <w:color w:val="auto"/>
        </w:rPr>
      </w:pPr>
      <w:r>
        <w:rPr>
          <w:rFonts w:ascii="Arial" w:cs="Arial" w:eastAsia="Arial" w:hAnsi="Arial"/>
          <w:sz w:val="18"/>
          <w:szCs w:val="18"/>
          <w:color w:val="auto"/>
        </w:rPr>
        <w:t>This prospectus is part of a shelf registration statement on Form S-3 that we filed with the Securities and Exchange Commission (“SEC”). Under the shelf registration process, we may offer shares of our common stock having an aggregate offering price of up to $50,000,000 from time to time under this prospectus at prices and on terms to be determined by market conditions at the time of the offering.</w:t>
      </w:r>
    </w:p>
    <w:p>
      <w:pPr>
        <w:spacing w:after="0" w:line="203" w:lineRule="exact"/>
        <w:rPr>
          <w:sz w:val="20"/>
          <w:szCs w:val="20"/>
          <w:color w:val="auto"/>
        </w:rPr>
      </w:pPr>
    </w:p>
    <w:p>
      <w:pPr>
        <w:ind w:right="140" w:firstLine="342"/>
        <w:spacing w:after="0" w:line="237" w:lineRule="auto"/>
        <w:rPr>
          <w:sz w:val="20"/>
          <w:szCs w:val="20"/>
          <w:color w:val="auto"/>
        </w:rPr>
      </w:pPr>
      <w:r>
        <w:rPr>
          <w:rFonts w:ascii="Arial" w:cs="Arial" w:eastAsia="Arial" w:hAnsi="Arial"/>
          <w:sz w:val="18"/>
          <w:szCs w:val="18"/>
          <w:color w:val="auto"/>
        </w:rPr>
        <w:t>If the information contained in this prospectus differs or varies from the information contained in any document incorporated by reference herein that was filed with the SEC before the date of this prospectus, you should rely on the information set forth in this prospectus. If any statement in one of these documents is inconsistent with a statement in another document having a later date (for example, a subsequently filed document deemed incorporated by reference in this prospectus), the statement in the document having the later date modifies or supersedes the earlier statement. Any statement so modified or superseded will not be deemed, except as so modified or superseded, to constitute a part of this prospectus.</w:t>
      </w:r>
    </w:p>
    <w:p>
      <w:pPr>
        <w:spacing w:after="0" w:line="205" w:lineRule="exact"/>
        <w:rPr>
          <w:sz w:val="20"/>
          <w:szCs w:val="20"/>
          <w:color w:val="auto"/>
        </w:rPr>
      </w:pPr>
    </w:p>
    <w:p>
      <w:pPr>
        <w:ind w:right="80" w:firstLine="342"/>
        <w:spacing w:after="0" w:line="23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and the sales agent has not, authorized anyone to provide you with information that is in addition to or different from that contained or incorporated by reference in this prospectus or contained in any permitted free writing prospectuses we have authorized for use in connection with this offering. We and the sales agent take no responsibility for, and can provide no assurance as to the reliability of, any other information that others may provide.</w:t>
      </w:r>
    </w:p>
    <w:p>
      <w:pPr>
        <w:spacing w:after="0" w:line="202"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The information contained in this prospectus and the documents incorporated by reference herein is accurate only as of their respective dates, regardless of the time of delivery of any such document or the time of any sale of our common stock. Our business, financial condition, results of operations and prospects may have changed since those dates. It is important for you to read and consider all information contained or incorporated by reference in this prospectus in making your investment decision. You should read this prospectus, as well as the documents incorporated by reference herein, the additional information described under the section titled “Where You Can Find More Information” and “Incorporation of Certain Documents by Reference” in this prospectus and any free writing prospectus that we have authorized for use in connection with this offering, before investing in our common stock.</w:t>
      </w:r>
    </w:p>
    <w:p>
      <w:pPr>
        <w:spacing w:after="0" w:line="203" w:lineRule="exact"/>
        <w:rPr>
          <w:sz w:val="20"/>
          <w:szCs w:val="20"/>
          <w:color w:val="auto"/>
        </w:rPr>
      </w:pPr>
    </w:p>
    <w:p>
      <w:pPr>
        <w:ind w:right="20" w:firstLine="342"/>
        <w:spacing w:after="0" w:line="25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1" w:lineRule="exact"/>
        <w:rPr>
          <w:sz w:val="20"/>
          <w:szCs w:val="20"/>
          <w:color w:val="auto"/>
        </w:rPr>
      </w:pPr>
    </w:p>
    <w:p>
      <w:pPr>
        <w:ind w:right="160" w:firstLine="342"/>
        <w:spacing w:after="0" w:line="237" w:lineRule="auto"/>
        <w:rPr>
          <w:sz w:val="20"/>
          <w:szCs w:val="20"/>
          <w:color w:val="auto"/>
        </w:rPr>
      </w:pPr>
      <w:r>
        <w:rPr>
          <w:rFonts w:ascii="Arial" w:cs="Arial" w:eastAsia="Arial" w:hAnsi="Arial"/>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 This prospectus and the documents incorporated by reference herein also contain estimates, projections and other information concerning our industry, our business, and the markets for certain diseases, including data regarding the estimated size of those markets, and</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SA-1</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3"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We are offering to sell, and seeking offers to buy, shares of our common stock only in jurisdictions where such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used in this prospectus, unless the context otherwise requires, references to the “company,” “we,” “us” and “our” refer to AVROBIO, Inc.</w:t>
      </w:r>
    </w:p>
    <w:p>
      <w:pPr>
        <w:spacing w:after="0"/>
        <w:rPr>
          <w:sz w:val="20"/>
          <w:szCs w:val="20"/>
          <w:color w:val="auto"/>
        </w:rPr>
      </w:pPr>
      <w:r>
        <w:rPr>
          <w:rFonts w:ascii="Arial" w:cs="Arial" w:eastAsia="Arial" w:hAnsi="Arial"/>
          <w:sz w:val="18"/>
          <w:szCs w:val="18"/>
          <w:color w:val="auto"/>
        </w:rPr>
        <w:t>together with its consolidated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495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250430" cy="54495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200" w:right="100" w:firstLine="331"/>
        <w:spacing w:after="0" w:line="245" w:lineRule="auto"/>
        <w:rPr>
          <w:sz w:val="20"/>
          <w:szCs w:val="20"/>
          <w:color w:val="auto"/>
        </w:rPr>
      </w:pPr>
      <w:r>
        <w:rPr>
          <w:rFonts w:ascii="Arial" w:cs="Arial" w:eastAsia="Arial" w:hAnsi="Arial"/>
          <w:sz w:val="18"/>
          <w:szCs w:val="18"/>
          <w:i w:val="1"/>
          <w:iCs w:val="1"/>
          <w:color w:val="auto"/>
        </w:rPr>
        <w:t>This summary highlights selected information about us and this offering and does not contain all of the information that you should consider before investing in our securities. Before investing in our common stock, you should carefully read the information contained and incorporated by reference in this prospectus, including the sections titled “Risk Factors” and the financial statements and accompanying notes.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67"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20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an inherent part of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treatment procedure and is administered prior to the gene therapy. The more intensive the conditioning regimen, the greater the risk of toxicity. However, we believe the risk of toxicity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214"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We are initially targeting rare lysosomal storage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SA-3</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553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byproducts accumulate to toxic levels in the body’s cells and, in turn, disrupt the function of multiple tissues and organs. Fabry disease, Gaucher disease and Pompe disease are currently primarily managed by bi-weekly, multi-hour infusions with ERTs that seek to exogenously replace the missing enzyme. However, most ERTs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20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Our Commercial-Scale Platform</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99"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w:t>
      </w:r>
    </w:p>
    <w:p>
      <w:pPr>
        <w:spacing w:after="0" w:line="2" w:lineRule="exact"/>
        <w:rPr>
          <w:sz w:val="20"/>
          <w:szCs w:val="20"/>
          <w:color w:val="auto"/>
        </w:rPr>
      </w:pPr>
    </w:p>
    <w:p>
      <w:pPr>
        <w:ind w:left="200" w:right="220" w:hanging="8"/>
        <w:spacing w:after="0"/>
        <w:tabs>
          <w:tab w:leader="none" w:pos="6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914-8420. Our website address is www.avrobio.com. We do not incorporate the information on or accessible through our website into this prospectus, and you should not consider any information on, or that can be accessed through, our website as part of this prospectus. Our common stock trades on the Nasdaq Global Select Market under the symbol “AVRO”.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5" w:lineRule="exact"/>
        <w:rPr>
          <w:sz w:val="20"/>
          <w:szCs w:val="20"/>
          <w:color w:val="auto"/>
        </w:rPr>
      </w:pPr>
    </w:p>
    <w:p>
      <w:pPr>
        <w:jc w:val="both"/>
        <w:ind w:left="200" w:right="300" w:firstLine="331"/>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230" w:lineRule="exact"/>
        <w:rPr>
          <w:sz w:val="20"/>
          <w:szCs w:val="20"/>
          <w:color w:val="auto"/>
        </w:rPr>
      </w:pPr>
    </w:p>
    <w:p>
      <w:pPr>
        <w:ind w:left="940" w:right="40" w:hanging="424"/>
        <w:spacing w:after="0" w:line="218" w:lineRule="auto"/>
        <w:tabs>
          <w:tab w:leader="none" w:pos="94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rFonts w:ascii="MS PGothic" w:cs="MS PGothic" w:eastAsia="MS PGothic" w:hAnsi="MS PGothic"/>
          <w:sz w:val="25"/>
          <w:szCs w:val="25"/>
          <w:color w:val="auto"/>
          <w:vertAlign w:val="superscript"/>
        </w:rPr>
      </w:pPr>
    </w:p>
    <w:p>
      <w:pPr>
        <w:ind w:left="940" w:hanging="424"/>
        <w:spacing w:after="0" w:line="230" w:lineRule="auto"/>
        <w:tabs>
          <w:tab w:leader="none" w:pos="94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about our executive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SA-4</w:t>
      </w:r>
    </w:p>
    <w:p>
      <w:pPr>
        <w:sectPr>
          <w:pgSz w:w="11900" w:h="16838" w:orient="portrait"/>
          <w:cols w:equalWidth="0" w:num="1">
            <w:col w:w="11120"/>
          </w:cols>
          <w:pgMar w:left="24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28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50430" cy="29286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940" w:hanging="424"/>
        <w:spacing w:after="0"/>
        <w:tabs>
          <w:tab w:leader="none" w:pos="94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advisory votes on executive compensation or golden parachute arrangements;</w:t>
      </w:r>
    </w:p>
    <w:p>
      <w:pPr>
        <w:spacing w:after="0" w:line="26" w:lineRule="exact"/>
        <w:rPr>
          <w:rFonts w:ascii="MS PGothic" w:cs="MS PGothic" w:eastAsia="MS PGothic" w:hAnsi="MS PGothic"/>
          <w:sz w:val="25"/>
          <w:szCs w:val="25"/>
          <w:color w:val="auto"/>
          <w:vertAlign w:val="superscript"/>
        </w:rPr>
      </w:pPr>
    </w:p>
    <w:p>
      <w:pPr>
        <w:ind w:left="940" w:hanging="424"/>
        <w:spacing w:after="0" w:line="205" w:lineRule="auto"/>
        <w:tabs>
          <w:tab w:leader="none" w:pos="94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26" w:lineRule="exact"/>
        <w:rPr>
          <w:rFonts w:ascii="MS PGothic" w:cs="MS PGothic" w:eastAsia="MS PGothic" w:hAnsi="MS PGothic"/>
          <w:sz w:val="25"/>
          <w:szCs w:val="25"/>
          <w:color w:val="auto"/>
          <w:vertAlign w:val="superscript"/>
        </w:rPr>
      </w:pPr>
    </w:p>
    <w:p>
      <w:pPr>
        <w:ind w:left="940" w:right="200" w:hanging="424"/>
        <w:spacing w:after="0" w:line="223" w:lineRule="auto"/>
        <w:tabs>
          <w:tab w:leader="none" w:pos="94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20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20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SA-5</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29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ind w:left="200"/>
              <w:spacing w:after="0"/>
              <w:rPr>
                <w:sz w:val="20"/>
                <w:szCs w:val="20"/>
                <w:color w:val="auto"/>
              </w:rPr>
            </w:pPr>
            <w:r>
              <w:rPr>
                <w:rFonts w:ascii="Arial" w:cs="Arial" w:eastAsia="Arial" w:hAnsi="Arial"/>
                <w:sz w:val="18"/>
                <w:szCs w:val="18"/>
                <w:color w:val="auto"/>
              </w:rPr>
              <w:t>Common stock offered by us</w:t>
            </w:r>
          </w:p>
        </w:tc>
        <w:tc>
          <w:tcPr>
            <w:tcW w:w="5940" w:type="dxa"/>
            <w:vAlign w:val="bottom"/>
            <w:gridSpan w:val="9"/>
          </w:tcPr>
          <w:p>
            <w:pPr>
              <w:spacing w:after="0"/>
              <w:rPr>
                <w:sz w:val="20"/>
                <w:szCs w:val="20"/>
                <w:color w:val="auto"/>
              </w:rPr>
            </w:pPr>
            <w:r>
              <w:rPr>
                <w:rFonts w:ascii="Arial" w:cs="Arial" w:eastAsia="Arial" w:hAnsi="Arial"/>
                <w:sz w:val="18"/>
                <w:szCs w:val="18"/>
                <w:color w:val="auto"/>
              </w:rPr>
              <w:t>Shares of our common stock having an aggregate offering price of up to</w:t>
            </w:r>
          </w:p>
        </w:tc>
      </w:tr>
      <w:tr>
        <w:trPr>
          <w:trHeight w:val="217"/>
        </w:trPr>
        <w:tc>
          <w:tcPr>
            <w:tcW w:w="548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Arial" w:cs="Arial" w:eastAsia="Arial" w:hAnsi="Arial"/>
                <w:sz w:val="18"/>
                <w:szCs w:val="18"/>
                <w:color w:val="auto"/>
              </w:rPr>
              <w:t>$50,000,000.</w:t>
            </w: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31"/>
        </w:trPr>
        <w:tc>
          <w:tcPr>
            <w:tcW w:w="5480" w:type="dxa"/>
            <w:vAlign w:val="bottom"/>
          </w:tcPr>
          <w:p>
            <w:pPr>
              <w:ind w:left="200"/>
              <w:spacing w:after="0"/>
              <w:rPr>
                <w:sz w:val="20"/>
                <w:szCs w:val="20"/>
                <w:color w:val="auto"/>
              </w:rPr>
            </w:pPr>
            <w:r>
              <w:rPr>
                <w:rFonts w:ascii="Arial" w:cs="Arial" w:eastAsia="Arial" w:hAnsi="Arial"/>
                <w:sz w:val="18"/>
                <w:szCs w:val="18"/>
                <w:color w:val="auto"/>
              </w:rPr>
              <w:t>Common stock to be outstanding immediately after this offering</w:t>
            </w:r>
          </w:p>
        </w:tc>
        <w:tc>
          <w:tcPr>
            <w:tcW w:w="5940" w:type="dxa"/>
            <w:vAlign w:val="bottom"/>
            <w:gridSpan w:val="9"/>
          </w:tcPr>
          <w:p>
            <w:pPr>
              <w:spacing w:after="0"/>
              <w:rPr>
                <w:sz w:val="20"/>
                <w:szCs w:val="20"/>
                <w:color w:val="auto"/>
              </w:rPr>
            </w:pPr>
            <w:r>
              <w:rPr>
                <w:rFonts w:ascii="Arial" w:cs="Arial" w:eastAsia="Arial" w:hAnsi="Arial"/>
                <w:sz w:val="18"/>
                <w:szCs w:val="18"/>
                <w:color w:val="auto"/>
              </w:rPr>
              <w:t>Up to 27,331,970 shares (as more fully described in the notes following</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this table), assuming sales of 3,255,208 shares of our common stock in</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this offering at an offering price of $15.36 per share, which was the last</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reported sale price of our common stock on The Nasdaq Global Select</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Market on June 27, 2019. The actual number of shares issued will vary</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depending on how many shares of our common stock we choose to sell</w:t>
            </w:r>
          </w:p>
        </w:tc>
      </w:tr>
      <w:tr>
        <w:trPr>
          <w:trHeight w:val="217"/>
        </w:trPr>
        <w:tc>
          <w:tcPr>
            <w:tcW w:w="5480" w:type="dxa"/>
            <w:vAlign w:val="bottom"/>
          </w:tcPr>
          <w:p>
            <w:pPr>
              <w:spacing w:after="0"/>
              <w:rPr>
                <w:sz w:val="18"/>
                <w:szCs w:val="18"/>
                <w:color w:val="auto"/>
              </w:rPr>
            </w:pPr>
          </w:p>
        </w:tc>
        <w:tc>
          <w:tcPr>
            <w:tcW w:w="5940" w:type="dxa"/>
            <w:vAlign w:val="bottom"/>
            <w:gridSpan w:val="9"/>
          </w:tcPr>
          <w:p>
            <w:pPr>
              <w:spacing w:after="0"/>
              <w:rPr>
                <w:sz w:val="20"/>
                <w:szCs w:val="20"/>
                <w:color w:val="auto"/>
              </w:rPr>
            </w:pPr>
            <w:r>
              <w:rPr>
                <w:rFonts w:ascii="Arial" w:cs="Arial" w:eastAsia="Arial" w:hAnsi="Arial"/>
                <w:sz w:val="18"/>
                <w:szCs w:val="18"/>
                <w:color w:val="auto"/>
              </w:rPr>
              <w:t>and the prices at which such sales occur.</w:t>
            </w:r>
          </w:p>
        </w:tc>
      </w:tr>
      <w:tr>
        <w:trPr>
          <w:trHeight w:val="431"/>
        </w:trPr>
        <w:tc>
          <w:tcPr>
            <w:tcW w:w="5480" w:type="dxa"/>
            <w:vAlign w:val="bottom"/>
          </w:tcPr>
          <w:p>
            <w:pPr>
              <w:ind w:left="200"/>
              <w:spacing w:after="0"/>
              <w:rPr>
                <w:sz w:val="20"/>
                <w:szCs w:val="20"/>
                <w:color w:val="auto"/>
              </w:rPr>
            </w:pPr>
            <w:r>
              <w:rPr>
                <w:rFonts w:ascii="Arial" w:cs="Arial" w:eastAsia="Arial" w:hAnsi="Arial"/>
                <w:sz w:val="18"/>
                <w:szCs w:val="18"/>
                <w:color w:val="auto"/>
              </w:rPr>
              <w:t>Manner of offering</w:t>
            </w:r>
          </w:p>
        </w:tc>
        <w:tc>
          <w:tcPr>
            <w:tcW w:w="5940" w:type="dxa"/>
            <w:vAlign w:val="bottom"/>
            <w:gridSpan w:val="9"/>
          </w:tcPr>
          <w:p>
            <w:pPr>
              <w:spacing w:after="0"/>
              <w:rPr>
                <w:sz w:val="20"/>
                <w:szCs w:val="20"/>
                <w:color w:val="auto"/>
              </w:rPr>
            </w:pPr>
            <w:r>
              <w:rPr>
                <w:rFonts w:ascii="Arial" w:cs="Arial" w:eastAsia="Arial" w:hAnsi="Arial"/>
                <w:sz w:val="18"/>
                <w:szCs w:val="18"/>
                <w:color w:val="auto"/>
              </w:rPr>
              <w:t>“At the market offering” that may be made from time to time on The</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Nasdaq Global Select Market or other existing trading market for our</w:t>
            </w:r>
          </w:p>
        </w:tc>
      </w:tr>
      <w:tr>
        <w:trPr>
          <w:trHeight w:val="176"/>
        </w:trPr>
        <w:tc>
          <w:tcPr>
            <w:tcW w:w="5480" w:type="dxa"/>
            <w:vAlign w:val="bottom"/>
          </w:tcPr>
          <w:p>
            <w:pPr>
              <w:spacing w:after="0"/>
              <w:rPr>
                <w:sz w:val="15"/>
                <w:szCs w:val="15"/>
                <w:color w:val="auto"/>
              </w:rPr>
            </w:pPr>
          </w:p>
        </w:tc>
        <w:tc>
          <w:tcPr>
            <w:tcW w:w="5940" w:type="dxa"/>
            <w:vAlign w:val="bottom"/>
            <w:gridSpan w:val="9"/>
          </w:tcPr>
          <w:p>
            <w:pPr>
              <w:spacing w:after="0" w:line="176" w:lineRule="exact"/>
              <w:rPr>
                <w:sz w:val="20"/>
                <w:szCs w:val="20"/>
                <w:color w:val="auto"/>
              </w:rPr>
            </w:pPr>
            <w:r>
              <w:rPr>
                <w:rFonts w:ascii="Arial" w:cs="Arial" w:eastAsia="Arial" w:hAnsi="Arial"/>
                <w:sz w:val="18"/>
                <w:szCs w:val="18"/>
                <w:color w:val="auto"/>
              </w:rPr>
              <w:t>common stock through our sales agent, Cowen. See “Plan of</w:t>
            </w:r>
          </w:p>
        </w:tc>
      </w:tr>
      <w:tr>
        <w:trPr>
          <w:trHeight w:val="183"/>
        </w:trPr>
        <w:tc>
          <w:tcPr>
            <w:tcW w:w="5480" w:type="dxa"/>
            <w:vAlign w:val="bottom"/>
          </w:tcPr>
          <w:p>
            <w:pPr>
              <w:spacing w:after="0"/>
              <w:rPr>
                <w:sz w:val="15"/>
                <w:szCs w:val="15"/>
                <w:color w:val="auto"/>
              </w:rPr>
            </w:pPr>
          </w:p>
        </w:tc>
        <w:tc>
          <w:tcPr>
            <w:tcW w:w="4300" w:type="dxa"/>
            <w:vAlign w:val="bottom"/>
            <w:gridSpan w:val="5"/>
          </w:tcPr>
          <w:p>
            <w:pPr>
              <w:spacing w:after="0" w:line="182" w:lineRule="exact"/>
              <w:rPr>
                <w:sz w:val="20"/>
                <w:szCs w:val="20"/>
                <w:color w:val="auto"/>
              </w:rPr>
            </w:pPr>
            <w:r>
              <w:rPr>
                <w:rFonts w:ascii="Arial" w:cs="Arial" w:eastAsia="Arial" w:hAnsi="Arial"/>
                <w:sz w:val="18"/>
                <w:szCs w:val="18"/>
                <w:color w:val="auto"/>
              </w:rPr>
              <w:t>Distribution” on page SA-28 of this prospectus.</w:t>
            </w:r>
          </w:p>
        </w:tc>
        <w:tc>
          <w:tcPr>
            <w:tcW w:w="560" w:type="dxa"/>
            <w:vAlign w:val="bottom"/>
            <w:tcBorders>
              <w:top w:val="single" w:sz="8" w:color="auto"/>
            </w:tcBorders>
          </w:tcPr>
          <w:p>
            <w:pPr>
              <w:spacing w:after="0"/>
              <w:rPr>
                <w:sz w:val="15"/>
                <w:szCs w:val="15"/>
                <w:color w:val="auto"/>
              </w:rPr>
            </w:pPr>
          </w:p>
        </w:tc>
        <w:tc>
          <w:tcPr>
            <w:tcW w:w="1080" w:type="dxa"/>
            <w:vAlign w:val="bottom"/>
            <w:gridSpan w:val="3"/>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52"/>
        </w:trPr>
        <w:tc>
          <w:tcPr>
            <w:tcW w:w="54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5940" w:type="dxa"/>
            <w:vAlign w:val="bottom"/>
            <w:gridSpan w:val="9"/>
          </w:tcPr>
          <w:p>
            <w:pPr>
              <w:spacing w:after="0"/>
              <w:rPr>
                <w:sz w:val="20"/>
                <w:szCs w:val="20"/>
                <w:color w:val="auto"/>
              </w:rPr>
            </w:pPr>
            <w:r>
              <w:rPr>
                <w:rFonts w:ascii="Arial" w:cs="Arial" w:eastAsia="Arial" w:hAnsi="Arial"/>
                <w:sz w:val="18"/>
                <w:szCs w:val="18"/>
                <w:color w:val="auto"/>
              </w:rPr>
              <w:t>Our management will retain broad discretion regarding the allocation</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and use of the net proceeds. We currently intend to use the net</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proceeds from this offering primarily to fund activities relating to the</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advancement of our product candidates, and for other general</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corporate purposes, including, but not limited to, research and</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development costs, potential strategic acquisitions of complementary</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businesses, services or technologies, expansion of our technology</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infrastructure and capabilities, working capital and capital expenditures.</w:t>
            </w:r>
          </w:p>
        </w:tc>
      </w:tr>
      <w:tr>
        <w:trPr>
          <w:trHeight w:val="176"/>
        </w:trPr>
        <w:tc>
          <w:tcPr>
            <w:tcW w:w="5480" w:type="dxa"/>
            <w:vAlign w:val="bottom"/>
          </w:tcPr>
          <w:p>
            <w:pPr>
              <w:spacing w:after="0"/>
              <w:rPr>
                <w:sz w:val="15"/>
                <w:szCs w:val="15"/>
                <w:color w:val="auto"/>
              </w:rPr>
            </w:pPr>
          </w:p>
        </w:tc>
        <w:tc>
          <w:tcPr>
            <w:tcW w:w="5940" w:type="dxa"/>
            <w:vAlign w:val="bottom"/>
            <w:gridSpan w:val="9"/>
          </w:tcPr>
          <w:p>
            <w:pPr>
              <w:spacing w:after="0" w:line="176" w:lineRule="exact"/>
              <w:rPr>
                <w:sz w:val="20"/>
                <w:szCs w:val="20"/>
                <w:color w:val="auto"/>
              </w:rPr>
            </w:pPr>
            <w:r>
              <w:rPr>
                <w:rFonts w:ascii="Arial" w:cs="Arial" w:eastAsia="Arial" w:hAnsi="Arial"/>
                <w:sz w:val="18"/>
                <w:szCs w:val="18"/>
                <w:color w:val="auto"/>
              </w:rPr>
              <w:t>See “Use of Proceeds” on page SA-14 of this prospectus.</w:t>
            </w:r>
          </w:p>
        </w:tc>
      </w:tr>
      <w:tr>
        <w:trPr>
          <w:trHeight w:val="20"/>
        </w:trPr>
        <w:tc>
          <w:tcPr>
            <w:tcW w:w="5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26"/>
        </w:trPr>
        <w:tc>
          <w:tcPr>
            <w:tcW w:w="548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5940" w:type="dxa"/>
            <w:vAlign w:val="bottom"/>
            <w:gridSpan w:val="9"/>
          </w:tcPr>
          <w:p>
            <w:pPr>
              <w:spacing w:after="0"/>
              <w:rPr>
                <w:sz w:val="20"/>
                <w:szCs w:val="20"/>
                <w:color w:val="auto"/>
              </w:rPr>
            </w:pPr>
            <w:r>
              <w:rPr>
                <w:rFonts w:ascii="Arial" w:cs="Arial" w:eastAsia="Arial" w:hAnsi="Arial"/>
                <w:sz w:val="18"/>
                <w:szCs w:val="18"/>
                <w:color w:val="auto"/>
              </w:rPr>
              <w:t>Investing in our common stock involves significant risks. See “Risk</w:t>
            </w:r>
          </w:p>
        </w:tc>
      </w:tr>
      <w:tr>
        <w:trPr>
          <w:trHeight w:val="20"/>
        </w:trPr>
        <w:tc>
          <w:tcPr>
            <w:tcW w:w="5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5480" w:type="dxa"/>
            <w:vAlign w:val="bottom"/>
          </w:tcPr>
          <w:p>
            <w:pPr>
              <w:spacing w:after="0"/>
              <w:rPr>
                <w:sz w:val="15"/>
                <w:szCs w:val="15"/>
                <w:color w:val="auto"/>
              </w:rPr>
            </w:pPr>
          </w:p>
        </w:tc>
        <w:tc>
          <w:tcPr>
            <w:tcW w:w="5940" w:type="dxa"/>
            <w:vAlign w:val="bottom"/>
            <w:gridSpan w:val="9"/>
          </w:tcPr>
          <w:p>
            <w:pPr>
              <w:spacing w:after="0" w:line="182" w:lineRule="exact"/>
              <w:rPr>
                <w:sz w:val="20"/>
                <w:szCs w:val="20"/>
                <w:color w:val="auto"/>
              </w:rPr>
            </w:pPr>
            <w:r>
              <w:rPr>
                <w:rFonts w:ascii="Arial" w:cs="Arial" w:eastAsia="Arial" w:hAnsi="Arial"/>
                <w:sz w:val="18"/>
                <w:szCs w:val="18"/>
                <w:color w:val="auto"/>
              </w:rPr>
              <w:t>Factors” on page SA-8 of this prospectus and under similar headings in</w:t>
            </w:r>
          </w:p>
        </w:tc>
      </w:tr>
      <w:tr>
        <w:trPr>
          <w:trHeight w:val="20"/>
        </w:trPr>
        <w:tc>
          <w:tcPr>
            <w:tcW w:w="54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5940" w:type="dxa"/>
            <w:vAlign w:val="bottom"/>
            <w:gridSpan w:val="9"/>
          </w:tcPr>
          <w:p>
            <w:pPr>
              <w:spacing w:after="0"/>
              <w:rPr>
                <w:sz w:val="20"/>
                <w:szCs w:val="20"/>
                <w:color w:val="auto"/>
              </w:rPr>
            </w:pPr>
            <w:r>
              <w:rPr>
                <w:rFonts w:ascii="Arial" w:cs="Arial" w:eastAsia="Arial" w:hAnsi="Arial"/>
                <w:sz w:val="18"/>
                <w:szCs w:val="18"/>
                <w:color w:val="auto"/>
              </w:rPr>
              <w:t>the documents incorporated by reference into this prospectus for a</w:t>
            </w:r>
          </w:p>
        </w:tc>
      </w:tr>
      <w:tr>
        <w:trPr>
          <w:trHeight w:val="203"/>
        </w:trPr>
        <w:tc>
          <w:tcPr>
            <w:tcW w:w="5480" w:type="dxa"/>
            <w:vAlign w:val="bottom"/>
          </w:tcPr>
          <w:p>
            <w:pPr>
              <w:spacing w:after="0"/>
              <w:rPr>
                <w:sz w:val="17"/>
                <w:szCs w:val="17"/>
                <w:color w:val="auto"/>
              </w:rPr>
            </w:pPr>
          </w:p>
        </w:tc>
        <w:tc>
          <w:tcPr>
            <w:tcW w:w="5940" w:type="dxa"/>
            <w:vAlign w:val="bottom"/>
            <w:gridSpan w:val="9"/>
          </w:tcPr>
          <w:p>
            <w:pPr>
              <w:spacing w:after="0" w:line="202" w:lineRule="exact"/>
              <w:rPr>
                <w:sz w:val="20"/>
                <w:szCs w:val="20"/>
                <w:color w:val="auto"/>
              </w:rPr>
            </w:pPr>
            <w:r>
              <w:rPr>
                <w:rFonts w:ascii="Arial" w:cs="Arial" w:eastAsia="Arial" w:hAnsi="Arial"/>
                <w:sz w:val="18"/>
                <w:szCs w:val="18"/>
                <w:color w:val="auto"/>
              </w:rPr>
              <w:t>discussion of the factors you should carefully consider before deciding</w:t>
            </w:r>
          </w:p>
        </w:tc>
      </w:tr>
      <w:tr>
        <w:trPr>
          <w:trHeight w:val="217"/>
        </w:trPr>
        <w:tc>
          <w:tcPr>
            <w:tcW w:w="5480" w:type="dxa"/>
            <w:vAlign w:val="bottom"/>
          </w:tcPr>
          <w:p>
            <w:pPr>
              <w:spacing w:after="0"/>
              <w:rPr>
                <w:sz w:val="18"/>
                <w:szCs w:val="18"/>
                <w:color w:val="auto"/>
              </w:rPr>
            </w:pPr>
          </w:p>
        </w:tc>
        <w:tc>
          <w:tcPr>
            <w:tcW w:w="5940" w:type="dxa"/>
            <w:vAlign w:val="bottom"/>
            <w:gridSpan w:val="9"/>
          </w:tcPr>
          <w:p>
            <w:pPr>
              <w:spacing w:after="0"/>
              <w:rPr>
                <w:sz w:val="20"/>
                <w:szCs w:val="20"/>
                <w:color w:val="auto"/>
              </w:rPr>
            </w:pPr>
            <w:r>
              <w:rPr>
                <w:rFonts w:ascii="Arial" w:cs="Arial" w:eastAsia="Arial" w:hAnsi="Arial"/>
                <w:sz w:val="18"/>
                <w:szCs w:val="18"/>
                <w:color w:val="auto"/>
              </w:rPr>
              <w:t>to invest in our common stock.</w:t>
            </w:r>
          </w:p>
        </w:tc>
      </w:tr>
      <w:tr>
        <w:trPr>
          <w:trHeight w:val="446"/>
        </w:trPr>
        <w:tc>
          <w:tcPr>
            <w:tcW w:w="5480" w:type="dxa"/>
            <w:vAlign w:val="bottom"/>
          </w:tcPr>
          <w:p>
            <w:pPr>
              <w:ind w:left="200"/>
              <w:spacing w:after="0"/>
              <w:rPr>
                <w:sz w:val="20"/>
                <w:szCs w:val="20"/>
                <w:color w:val="auto"/>
              </w:rPr>
            </w:pPr>
            <w:r>
              <w:rPr>
                <w:rFonts w:ascii="Arial" w:cs="Arial" w:eastAsia="Arial" w:hAnsi="Arial"/>
                <w:sz w:val="18"/>
                <w:szCs w:val="18"/>
                <w:color w:val="auto"/>
              </w:rPr>
              <w:t>The Nasdaq Global Select Market symbol</w:t>
            </w:r>
          </w:p>
        </w:tc>
        <w:tc>
          <w:tcPr>
            <w:tcW w:w="5940" w:type="dxa"/>
            <w:vAlign w:val="bottom"/>
            <w:gridSpan w:val="9"/>
          </w:tcPr>
          <w:p>
            <w:pPr>
              <w:spacing w:after="0"/>
              <w:rPr>
                <w:sz w:val="20"/>
                <w:szCs w:val="20"/>
                <w:color w:val="auto"/>
              </w:rPr>
            </w:pPr>
            <w:r>
              <w:rPr>
                <w:rFonts w:ascii="Arial" w:cs="Arial" w:eastAsia="Arial" w:hAnsi="Arial"/>
                <w:sz w:val="18"/>
                <w:szCs w:val="18"/>
                <w:color w:val="auto"/>
              </w:rPr>
              <w:t>“AVRO”</w:t>
            </w:r>
          </w:p>
        </w:tc>
      </w:tr>
      <w:tr>
        <w:trPr>
          <w:trHeight w:val="240"/>
        </w:trPr>
        <w:tc>
          <w:tcPr>
            <w:tcW w:w="5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604"/>
        </w:trPr>
        <w:tc>
          <w:tcPr>
            <w:tcW w:w="5480" w:type="dxa"/>
            <w:vAlign w:val="bottom"/>
          </w:tcPr>
          <w:p>
            <w:pPr>
              <w:spacing w:after="0"/>
              <w:rPr>
                <w:sz w:val="24"/>
                <w:szCs w:val="24"/>
                <w:color w:val="auto"/>
              </w:rPr>
            </w:pPr>
          </w:p>
        </w:tc>
        <w:tc>
          <w:tcPr>
            <w:tcW w:w="5940" w:type="dxa"/>
            <w:vAlign w:val="bottom"/>
            <w:gridSpan w:val="9"/>
          </w:tcPr>
          <w:p>
            <w:pPr>
              <w:ind w:left="40"/>
              <w:spacing w:after="0"/>
              <w:rPr>
                <w:sz w:val="20"/>
                <w:szCs w:val="20"/>
                <w:color w:val="auto"/>
              </w:rPr>
            </w:pPr>
            <w:r>
              <w:rPr>
                <w:rFonts w:ascii="Arial" w:cs="Arial" w:eastAsia="Arial" w:hAnsi="Arial"/>
                <w:sz w:val="18"/>
                <w:szCs w:val="18"/>
                <w:color w:val="auto"/>
              </w:rPr>
              <w:t>SA-6</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070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250430" cy="20707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All information in this prospectus related to the number of shares of our common stock to be outstanding immediately after this offering is based on 24,076,762 shares of our common stock outstanding as of March 31, 2019. The number of shares outstanding as of March 31, 2019 as used throughout this prospectus, unless otherwise indicated, excludes:</w:t>
      </w:r>
    </w:p>
    <w:p>
      <w:pPr>
        <w:spacing w:after="0" w:line="230" w:lineRule="exact"/>
        <w:rPr>
          <w:sz w:val="20"/>
          <w:szCs w:val="20"/>
          <w:color w:val="auto"/>
        </w:rPr>
      </w:pPr>
    </w:p>
    <w:p>
      <w:pPr>
        <w:ind w:left="940" w:right="80" w:hanging="424"/>
        <w:spacing w:after="0" w:line="218" w:lineRule="auto"/>
        <w:tabs>
          <w:tab w:leader="none" w:pos="94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1" w:lineRule="exact"/>
        <w:rPr>
          <w:rFonts w:ascii="MS PGothic" w:cs="MS PGothic" w:eastAsia="MS PGothic" w:hAnsi="MS PGothic"/>
          <w:sz w:val="25"/>
          <w:szCs w:val="25"/>
          <w:color w:val="auto"/>
          <w:vertAlign w:val="superscript"/>
        </w:rPr>
      </w:pPr>
    </w:p>
    <w:p>
      <w:pPr>
        <w:ind w:left="940" w:hanging="424"/>
        <w:spacing w:after="0" w:line="230" w:lineRule="auto"/>
        <w:tabs>
          <w:tab w:leader="none" w:pos="94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2,300 shares of common stock issuable upon the vesting of restricted stock units outstanding as of March 31, 2019;</w:t>
      </w:r>
    </w:p>
    <w:p>
      <w:pPr>
        <w:spacing w:after="0" w:line="26" w:lineRule="exact"/>
        <w:rPr>
          <w:rFonts w:ascii="MS PGothic" w:cs="MS PGothic" w:eastAsia="MS PGothic" w:hAnsi="MS PGothic"/>
          <w:sz w:val="25"/>
          <w:szCs w:val="25"/>
          <w:color w:val="auto"/>
          <w:vertAlign w:val="superscript"/>
        </w:rPr>
      </w:pPr>
    </w:p>
    <w:p>
      <w:pPr>
        <w:ind w:left="940" w:hanging="424"/>
        <w:spacing w:after="0" w:line="205" w:lineRule="auto"/>
        <w:tabs>
          <w:tab w:leader="none" w:pos="94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528,134 shares of common stock reserved for future issuance under our 2018 Stock Option and Incentive Plan; and</w:t>
      </w:r>
    </w:p>
    <w:p>
      <w:pPr>
        <w:spacing w:after="0" w:line="26" w:lineRule="exact"/>
        <w:rPr>
          <w:rFonts w:ascii="MS PGothic" w:cs="MS PGothic" w:eastAsia="MS PGothic" w:hAnsi="MS PGothic"/>
          <w:sz w:val="25"/>
          <w:szCs w:val="25"/>
          <w:color w:val="auto"/>
          <w:vertAlign w:val="superscript"/>
        </w:rPr>
      </w:pPr>
    </w:p>
    <w:p>
      <w:pPr>
        <w:ind w:left="940" w:hanging="424"/>
        <w:spacing w:after="0" w:line="205" w:lineRule="auto"/>
        <w:tabs>
          <w:tab w:leader="none" w:pos="94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461,266 shares of common stock reserved for the future issuance under our 2018 Employee Stock Purchase Plan.</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Unless otherwise stated, all information contained in this prospectus assumes no exercise of stock options after March 31, 2019 and reflects an assumed public offering price of $15.36, which was the last reported sale price of our common stock on The Nasdaq Global Select Market on June 27,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making an investment decision, you should carefully consider the risks described below and in our most recent Annual Report on Form 10-K and any subsequent Quarterly Reports on Form 10-Q or Current Reports on Form 8-K, as well as any amendments thereto reflected in subsequent filings with the SEC, each of which are incorporated by reference in this prospectus, and all of the other information in this prospectus, including our financial statements and related notes incorporated by reference herein. If any of these risks are realized, or if other risks not currently known to us materialize,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offering price.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stock price is likely to be volatile. Since our IPO in June 2018, the trading price of our common stock has ranged from $11.85 to</w:t>
      </w:r>
    </w:p>
    <w:p>
      <w:pPr>
        <w:spacing w:after="0" w:line="234" w:lineRule="auto"/>
        <w:rPr>
          <w:sz w:val="20"/>
          <w:szCs w:val="20"/>
          <w:color w:val="auto"/>
        </w:rPr>
      </w:pPr>
      <w:r>
        <w:rPr>
          <w:rFonts w:ascii="Arial" w:cs="Arial" w:eastAsia="Arial" w:hAnsi="Arial"/>
          <w:sz w:val="18"/>
          <w:szCs w:val="18"/>
          <w:color w:val="auto"/>
        </w:rPr>
        <w:t>$53.70. The stock market in general, and the market for biopharmaceutical companies in particular, has experienced extreme volatility that has</w:t>
      </w:r>
    </w:p>
    <w:p>
      <w:pPr>
        <w:spacing w:after="0" w:line="235" w:lineRule="auto"/>
        <w:rPr>
          <w:sz w:val="20"/>
          <w:szCs w:val="20"/>
          <w:color w:val="auto"/>
        </w:rPr>
      </w:pPr>
      <w:r>
        <w:rPr>
          <w:rFonts w:ascii="Arial" w:cs="Arial" w:eastAsia="Arial" w:hAnsi="Arial"/>
          <w:sz w:val="18"/>
          <w:szCs w:val="18"/>
          <w:color w:val="auto"/>
        </w:rPr>
        <w:t>often been unrelated to the operating performance of particular companies. As a result of this volatility, you may not be able to sell your</w:t>
      </w:r>
    </w:p>
    <w:p>
      <w:pPr>
        <w:spacing w:after="0" w:line="235" w:lineRule="auto"/>
        <w:rPr>
          <w:sz w:val="20"/>
          <w:szCs w:val="20"/>
          <w:color w:val="auto"/>
        </w:rPr>
      </w:pPr>
      <w:r>
        <w:rPr>
          <w:rFonts w:ascii="Arial" w:cs="Arial" w:eastAsia="Arial" w:hAnsi="Arial"/>
          <w:sz w:val="18"/>
          <w:szCs w:val="18"/>
          <w:color w:val="auto"/>
        </w:rPr>
        <w:t>common stock at or above the price at which you purchase shares. The market price for our common stock may be influenced by many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203" w:lineRule="exact"/>
        <w:rPr>
          <w:sz w:val="20"/>
          <w:szCs w:val="20"/>
          <w:color w:val="auto"/>
        </w:rPr>
      </w:pPr>
    </w:p>
    <w:p>
      <w:pPr>
        <w:ind w:left="800" w:hanging="454"/>
        <w:spacing w:after="0"/>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adverse results or delays in preclinical studies or clinical trials;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reports of adverse events in other gene therapy products or clinical studies of such products;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inability to obtain additional funding;</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successfully develop and commercialize our product candidates;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maintain our existing strategic collaborations or enter into new collaborations;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laws or regulations applicable to future products;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adverse regulatory decisions;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introduction of new products, services or technologies by our competitors;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meet or exceed financial projections we may provide to the public;</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meet or exceed the financial projections of the investment community;</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perception of the pharmaceutical industry by the public, legislatures, regulators and the investment community;</w:t>
      </w:r>
    </w:p>
    <w:p>
      <w:pPr>
        <w:spacing w:after="0" w:line="26" w:lineRule="exact"/>
        <w:rPr>
          <w:rFonts w:ascii="MS PGothic" w:cs="MS PGothic" w:eastAsia="MS PGothic" w:hAnsi="MS PGothic"/>
          <w:sz w:val="25"/>
          <w:szCs w:val="25"/>
          <w:color w:val="auto"/>
          <w:vertAlign w:val="superscript"/>
        </w:rPr>
      </w:pPr>
    </w:p>
    <w:p>
      <w:pPr>
        <w:ind w:left="800" w:hanging="454"/>
        <w:spacing w:after="0" w:line="218"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27" w:lineRule="exact"/>
        <w:rPr>
          <w:rFonts w:ascii="MS PGothic" w:cs="MS PGothic" w:eastAsia="MS PGothic" w:hAnsi="MS PGothic"/>
          <w:sz w:val="25"/>
          <w:szCs w:val="25"/>
          <w:color w:val="auto"/>
          <w:vertAlign w:val="superscript"/>
        </w:rPr>
      </w:pPr>
    </w:p>
    <w:p>
      <w:pPr>
        <w:ind w:left="800" w:right="540" w:hanging="454"/>
        <w:spacing w:after="0" w:line="218"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additions or departures of key scientific or management personnel;</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significant lawsuits, including patent or stockholder litigation;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00" w:hanging="454"/>
        <w:spacing w:after="0"/>
        <w:tabs>
          <w:tab w:leader="none" w:pos="80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the market valuations of similar companies;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common stock by us or our stockholders in the future; and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trading volume of our common stock.</w:t>
      </w:r>
    </w:p>
    <w:p>
      <w:pPr>
        <w:spacing w:after="0" w:line="203" w:lineRule="exact"/>
        <w:rPr>
          <w:sz w:val="20"/>
          <w:szCs w:val="20"/>
          <w:color w:val="auto"/>
        </w:rPr>
      </w:pPr>
    </w:p>
    <w:p>
      <w:pPr>
        <w:ind w:firstLine="342"/>
        <w:spacing w:after="0"/>
        <w:rPr>
          <w:sz w:val="20"/>
          <w:szCs w:val="20"/>
          <w:color w:val="auto"/>
        </w:rPr>
      </w:pPr>
      <w:r>
        <w:rPr>
          <w:rFonts w:ascii="Arial" w:cs="Arial" w:eastAsia="Arial" w:hAnsi="Arial"/>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99"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85" w:lineRule="exact"/>
        <w:rPr>
          <w:sz w:val="20"/>
          <w:szCs w:val="20"/>
          <w:color w:val="auto"/>
        </w:rPr>
      </w:pPr>
    </w:p>
    <w:p>
      <w:pPr>
        <w:ind w:right="40" w:firstLine="342"/>
        <w:spacing w:after="0" w:line="239" w:lineRule="auto"/>
        <w:rPr>
          <w:sz w:val="20"/>
          <w:szCs w:val="20"/>
          <w:color w:val="auto"/>
        </w:rPr>
      </w:pPr>
      <w:r>
        <w:rPr>
          <w:rFonts w:ascii="Arial" w:cs="Arial" w:eastAsia="Arial" w:hAnsi="Arial"/>
          <w:sz w:val="18"/>
          <w:szCs w:val="18"/>
          <w:color w:val="auto"/>
        </w:rPr>
        <w:t>Prior to our initial public offering in June 2018, or our IPO,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202" w:lineRule="exact"/>
        <w:rPr>
          <w:sz w:val="20"/>
          <w:szCs w:val="20"/>
          <w:color w:val="auto"/>
        </w:rPr>
      </w:pPr>
    </w:p>
    <w:p>
      <w:pPr>
        <w:ind w:right="260" w:firstLine="342"/>
        <w:spacing w:after="0" w:line="246"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17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27" w:lineRule="exact"/>
        <w:rPr>
          <w:sz w:val="20"/>
          <w:szCs w:val="20"/>
          <w:color w:val="auto"/>
        </w:rPr>
      </w:pPr>
    </w:p>
    <w:p>
      <w:pPr>
        <w:ind w:right="120" w:firstLine="342"/>
        <w:spacing w:after="0" w:line="23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41"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Based on shares outstanding as of May 31, 2019, our executive officers, directors, five percent stockholders and their affiliates beneficially owned approximately 49% of our outstanding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or entities may have interests different than yours. For example, because many of these stockholders purchased their shares at prices substantially below the price at which you may purchase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8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41"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194" w:lineRule="exact"/>
        <w:rPr>
          <w:sz w:val="20"/>
          <w:szCs w:val="20"/>
          <w:color w:val="auto"/>
        </w:rPr>
      </w:pPr>
    </w:p>
    <w:p>
      <w:pPr>
        <w:ind w:left="800" w:hanging="454"/>
        <w:spacing w:after="0"/>
        <w:tabs>
          <w:tab w:leader="none" w:pos="80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26" w:lineRule="exact"/>
        <w:rPr>
          <w:rFonts w:ascii="MS PGothic" w:cs="MS PGothic" w:eastAsia="MS PGothic" w:hAnsi="MS PGothic"/>
          <w:sz w:val="25"/>
          <w:szCs w:val="25"/>
          <w:color w:val="auto"/>
          <w:vertAlign w:val="superscript"/>
        </w:rPr>
      </w:pPr>
    </w:p>
    <w:p>
      <w:pPr>
        <w:ind w:left="800" w:right="300" w:hanging="454"/>
        <w:spacing w:after="0" w:line="223" w:lineRule="auto"/>
        <w:tabs>
          <w:tab w:leader="none" w:pos="80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8" w:lineRule="exact"/>
        <w:rPr>
          <w:rFonts w:ascii="MS PGothic" w:cs="MS PGothic" w:eastAsia="MS PGothic" w:hAnsi="MS PGothic"/>
          <w:sz w:val="25"/>
          <w:szCs w:val="25"/>
          <w:color w:val="auto"/>
          <w:vertAlign w:val="superscript"/>
        </w:rPr>
      </w:pPr>
    </w:p>
    <w:p>
      <w:pPr>
        <w:ind w:left="800" w:right="320" w:hanging="454"/>
        <w:spacing w:after="0" w:line="223" w:lineRule="auto"/>
        <w:tabs>
          <w:tab w:leader="none" w:pos="80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800" w:right="1180" w:hanging="454"/>
        <w:spacing w:after="0" w:line="218" w:lineRule="auto"/>
        <w:tabs>
          <w:tab w:leader="none" w:pos="80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exemption from the requirement to seek nonbinding advisory votes on executive compensation or golden parachute arrangements.</w:t>
      </w:r>
    </w:p>
    <w:p>
      <w:pPr>
        <w:spacing w:after="0" w:line="203"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203"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02" w:lineRule="exact"/>
        <w:rPr>
          <w:sz w:val="20"/>
          <w:szCs w:val="20"/>
          <w:color w:val="auto"/>
        </w:rPr>
      </w:pPr>
    </w:p>
    <w:p>
      <w:pPr>
        <w:jc w:val="both"/>
        <w:ind w:right="140" w:firstLine="342"/>
        <w:spacing w:after="0"/>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SA-10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99" w:lineRule="exact"/>
        <w:rPr>
          <w:sz w:val="20"/>
          <w:szCs w:val="20"/>
          <w:color w:val="auto"/>
        </w:rPr>
      </w:pPr>
    </w:p>
    <w:p>
      <w:pPr>
        <w:ind w:right="160" w:firstLine="342"/>
        <w:spacing w:after="0" w:line="23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$9.69 per share, based on the assumed offering price of $15.36 per share, which is the closing price of our common stock on June 27, 2019, and our as adjusted net tangible book value as of March 31, 2019. Further, based on these assumptions, investors purchasing shares of common stock in this offering will contribute approximately 19.7% of the total amount invested by stockholders since our inception, but will own only approximately 11.9% of the shares of common stock outstanding. For information on how the foregoing amounts were calculated, see “Dilution.”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85" w:lineRule="exact"/>
        <w:rPr>
          <w:sz w:val="20"/>
          <w:szCs w:val="20"/>
          <w:color w:val="auto"/>
        </w:rPr>
      </w:pPr>
    </w:p>
    <w:p>
      <w:pPr>
        <w:ind w:right="20" w:firstLine="342"/>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March 31, 2019, we had outstanding 24,076,762 shares of our common stock and options to purchase 2,986,048 shares of our common stock (of which 673,946 were exercisable as of that date). The sale or the availability for sale of a large number of shares of our common stock in the public market could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85"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9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SA-11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This prospectus and the information and documents incorporated by reference herein, contain forward -looking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the documents incorporated by reference herein, and in particular those factors referenced in the section “Risk Factors.”</w:t>
      </w:r>
    </w:p>
    <w:p>
      <w:pPr>
        <w:spacing w:after="0" w:line="207"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This prospectus, any related free writing prospectus and the information and documents incorporated by reference herein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32" w:lineRule="exact"/>
        <w:rPr>
          <w:sz w:val="20"/>
          <w:szCs w:val="20"/>
          <w:color w:val="auto"/>
        </w:rPr>
      </w:pPr>
    </w:p>
    <w:p>
      <w:pPr>
        <w:jc w:val="both"/>
        <w:ind w:left="800" w:hanging="454"/>
        <w:spacing w:after="0" w:line="223"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28" w:lineRule="exact"/>
        <w:rPr>
          <w:rFonts w:ascii="MS PGothic" w:cs="MS PGothic" w:eastAsia="MS PGothic" w:hAnsi="MS PGothic"/>
          <w:sz w:val="25"/>
          <w:szCs w:val="25"/>
          <w:color w:val="auto"/>
          <w:vertAlign w:val="superscript"/>
        </w:rPr>
      </w:pPr>
    </w:p>
    <w:p>
      <w:pPr>
        <w:ind w:left="800" w:right="180" w:hanging="454"/>
        <w:spacing w:after="0" w:line="223"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scope or likelihood of regulatory filings and approvals;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develop and advance product candidates into, and successfully complete, clinical studies;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26" w:lineRule="exact"/>
        <w:rPr>
          <w:rFonts w:ascii="MS PGothic" w:cs="MS PGothic" w:eastAsia="MS PGothic" w:hAnsi="MS PGothic"/>
          <w:sz w:val="25"/>
          <w:szCs w:val="25"/>
          <w:color w:val="auto"/>
          <w:vertAlign w:val="superscript"/>
        </w:rPr>
      </w:pPr>
    </w:p>
    <w:p>
      <w:pPr>
        <w:jc w:val="both"/>
        <w:ind w:left="800" w:right="720" w:hanging="454"/>
        <w:spacing w:after="0" w:line="223"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2"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commercialization, marketing and manufacturing capabilities and strategy;</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pricing and reimbursement of our product candidates, if approved;</w:t>
      </w:r>
    </w:p>
    <w:p>
      <w:pPr>
        <w:spacing w:after="0" w:line="26" w:lineRule="exact"/>
        <w:rPr>
          <w:rFonts w:ascii="MS PGothic" w:cs="MS PGothic" w:eastAsia="MS PGothic" w:hAnsi="MS PGothic"/>
          <w:sz w:val="25"/>
          <w:szCs w:val="25"/>
          <w:color w:val="auto"/>
          <w:vertAlign w:val="superscript"/>
        </w:rPr>
      </w:pPr>
    </w:p>
    <w:p>
      <w:pPr>
        <w:ind w:left="800" w:right="540" w:hanging="454"/>
        <w:spacing w:after="0" w:line="218"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establish or maintain collaborations or strategic relationships or obtain additional funding;</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competitive position;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SA-12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20" w:hanging="454"/>
        <w:spacing w:after="0" w:line="218"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financial performance;</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and projections relating to our competitors and our industry;</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related to the use of proceeds from this offering;</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 capital requirements and needs for additional financing;</w:t>
      </w:r>
    </w:p>
    <w:p>
      <w:pPr>
        <w:spacing w:after="0" w:line="26" w:lineRule="exact"/>
        <w:rPr>
          <w:rFonts w:ascii="MS PGothic" w:cs="MS PGothic" w:eastAsia="MS PGothic" w:hAnsi="MS PGothic"/>
          <w:sz w:val="25"/>
          <w:szCs w:val="25"/>
          <w:color w:val="auto"/>
          <w:vertAlign w:val="superscript"/>
        </w:rPr>
      </w:pPr>
    </w:p>
    <w:p>
      <w:pPr>
        <w:ind w:left="800" w:right="120" w:hanging="454"/>
        <w:spacing w:after="0" w:line="218"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laws and regulations, including without limitation recently enacted tax reform legislation;</w:t>
      </w:r>
    </w:p>
    <w:p>
      <w:pPr>
        <w:spacing w:after="0" w:line="26" w:lineRule="exact"/>
        <w:rPr>
          <w:rFonts w:ascii="MS PGothic" w:cs="MS PGothic" w:eastAsia="MS PGothic" w:hAnsi="MS PGothic"/>
          <w:sz w:val="25"/>
          <w:szCs w:val="25"/>
          <w:color w:val="auto"/>
          <w:vertAlign w:val="superscript"/>
        </w:rPr>
      </w:pPr>
    </w:p>
    <w:p>
      <w:pPr>
        <w:ind w:left="800" w:right="160" w:hanging="454"/>
        <w:spacing w:after="0" w:line="218"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risks and uncertainties, including those listed under the caption “Risk Factors”</w:t>
      </w:r>
    </w:p>
    <w:p>
      <w:pPr>
        <w:spacing w:after="0" w:line="202" w:lineRule="exact"/>
        <w:rPr>
          <w:sz w:val="20"/>
          <w:szCs w:val="20"/>
          <w:color w:val="auto"/>
        </w:rPr>
      </w:pPr>
    </w:p>
    <w:p>
      <w:pPr>
        <w:ind w:right="120" w:firstLine="342"/>
        <w:spacing w:after="0" w:line="238" w:lineRule="auto"/>
        <w:rPr>
          <w:sz w:val="20"/>
          <w:szCs w:val="20"/>
          <w:color w:val="auto"/>
        </w:rPr>
      </w:pPr>
      <w:r>
        <w:rPr>
          <w:rFonts w:ascii="Arial" w:cs="Arial" w:eastAsia="Arial" w:hAnsi="Arial"/>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and any subsequent Quarterly Reports on Form 10-Q or Current Reports on Form 8-K, and the section of the prospectus titled “Risk Factors.”</w:t>
      </w:r>
    </w:p>
    <w:p>
      <w:pPr>
        <w:spacing w:after="0" w:line="203" w:lineRule="exact"/>
        <w:rPr>
          <w:sz w:val="20"/>
          <w:szCs w:val="20"/>
          <w:color w:val="auto"/>
        </w:rPr>
      </w:pPr>
    </w:p>
    <w:p>
      <w:pPr>
        <w:ind w:right="40" w:firstLine="342"/>
        <w:spacing w:after="0" w:line="238" w:lineRule="auto"/>
        <w:rPr>
          <w:sz w:val="20"/>
          <w:szCs w:val="20"/>
          <w:color w:val="auto"/>
        </w:rPr>
      </w:pPr>
      <w:r>
        <w:rPr>
          <w:rFonts w:ascii="Arial" w:cs="Arial" w:eastAsia="Arial" w:hAnsi="Arial"/>
          <w:sz w:val="18"/>
          <w:szCs w:val="18"/>
          <w:color w:val="auto"/>
        </w:rPr>
        <w:t>The forward-looking statements in this prospectus, any related free writing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w:t>
      </w:r>
    </w:p>
    <w:p>
      <w:pPr>
        <w:spacing w:after="0" w:line="203"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This prospectus, any related free writing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SA-13</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right="60" w:firstLine="342"/>
        <w:spacing w:after="0" w:line="239" w:lineRule="auto"/>
        <w:rPr>
          <w:sz w:val="20"/>
          <w:szCs w:val="20"/>
          <w:color w:val="auto"/>
        </w:rPr>
      </w:pPr>
      <w:r>
        <w:rPr>
          <w:rFonts w:ascii="Arial" w:cs="Arial" w:eastAsia="Arial" w:hAnsi="Arial"/>
          <w:sz w:val="18"/>
          <w:szCs w:val="18"/>
          <w:color w:val="auto"/>
        </w:rPr>
        <w:t>We may issue and sell shares of our common stock having aggregate sales proceeds of up to $ 50,000,000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Cowen as a source of financing. Therefore, the actual total public offering amount, commissions and proceeds to us, if any, are not determinable at this time.</w:t>
      </w:r>
    </w:p>
    <w:p>
      <w:pPr>
        <w:spacing w:after="0" w:line="202"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We intend to use any net proceeds from this offering primarily to fund activities relating to the advancement of our product candidates, and for other general corporate purposes.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and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SA-14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SA-15</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right="80" w:firstLine="342"/>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Our net tangible book value as of March 31, 2019 was approximately $106.8 million, or approximately $4.44 per share of common stock. Net tangible book value per share represents the amount of total tangible assets (total assets less intangible assets) less total liabilities, divided by the number of shares of our common stock outstanding as of March 31, 2019.</w:t>
      </w:r>
    </w:p>
    <w:p>
      <w:pPr>
        <w:spacing w:after="0" w:line="20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Dilution in net tangible book value per share to new investors participating in this offering represents the difference between the amount per share paid by purchasers in this offering and the as adjusted net tangible book value per share of our common stock immediately after giving effect to this offering. After giving effect to the assumed sale of 3,255,208 shares of our common stock in the aggregate amount of approximately $50,000,000 at an assumed offering price of $15.36 per share, the last reported sale price of our common stock on June 27, 2019, and after deduction of commissions and estimated aggregate offering expenses payable by us, our as adjusted net tangible book value as of March 31, 2019 would have been approximately $155 million, or approximately $5.67 per share of common stock. This represents an immediate increase in net tangible book value of $1.23 per share of common stock to our existing stockholders and an immediate dilution in net tangible book value of $9.69 per share of common stock to investors participating in this offering at the assumed offering price.</w:t>
      </w:r>
    </w:p>
    <w:p>
      <w:pPr>
        <w:spacing w:after="0" w:line="208" w:lineRule="exact"/>
        <w:rPr>
          <w:sz w:val="20"/>
          <w:szCs w:val="20"/>
          <w:color w:val="auto"/>
        </w:rPr>
      </w:pPr>
    </w:p>
    <w:p>
      <w:pPr>
        <w:ind w:right="220" w:firstLine="342"/>
        <w:spacing w:after="0" w:line="246" w:lineRule="auto"/>
        <w:rPr>
          <w:sz w:val="20"/>
          <w:szCs w:val="20"/>
          <w:color w:val="auto"/>
        </w:rPr>
      </w:pPr>
      <w:r>
        <w:rPr>
          <w:rFonts w:ascii="Arial" w:cs="Arial" w:eastAsia="Arial" w:hAnsi="Arial"/>
          <w:sz w:val="18"/>
          <w:szCs w:val="18"/>
          <w:color w:val="auto"/>
        </w:rPr>
        <w:t>Dilution per share to new investors is determined by subtracting as adjusted net tangible book value per share after this offering from the assumed public offering price per share paid by new investors. The following table illustrates this per share dilution:</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15.36</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as of March 31, 2019</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 attributable to this offering</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6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as of March 31, 2019, after giving effect to this offering</w:t>
            </w:r>
          </w:p>
        </w:tc>
        <w:tc>
          <w:tcPr>
            <w:tcW w:w="5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net tangible book value per share to new investors participating in this offering</w:t>
            </w:r>
          </w:p>
        </w:tc>
        <w:tc>
          <w:tcPr>
            <w:tcW w:w="16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The table above assumes for illustrative purposes that an aggregate of 3,255,208 shares of our common stock are sold at a price of $15.36 per share, the last reported sale price of our common stock on The Nasdaq Global Select Market on June 27, 2019, for aggregate gross proceeds of approximately $50,000,000. The shares sold in this offering, if any, will be sold from time to time at various prices. An increase of $1.00 per share in the price at which the shares are sold from the assumed offering price of $15.36 per share shown in the table above, assuming all of our common stock in the aggregate amount of approximately $50,000,000 is sold at that price, would result in an increase to our adjusted net tangible book value per share after the offering to $5.79 and an increase in the dilution in net tangible book value per share to new investors in this offering to $10.57, after deducting commissions and estimated offering expenses payable by us. A decrease of $1.00 per share in the price at which the shares are sold from the assumed offering price of $15.36 per share shown in the table above, assuming all of our common stock in the aggregate amount of approximately $50,000,000 is sold at that price, would result in a decrease to our adjusted net tangible book value per share after the offering to $5.56 and a decrease in the dilution in net tangible book value per share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SA-16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new investors in this offering to $ 8.80, after deducting commissions and estimated offering expenses payable by us. This information is supplied for illustrative purposes only, and will adjust based on the actual offering prices, the actual number of shares that we offer and sell in this offering and other terms of each sale of shares in this offering.</w:t>
      </w:r>
    </w:p>
    <w:p>
      <w:pPr>
        <w:spacing w:after="0" w:line="203" w:lineRule="exact"/>
        <w:rPr>
          <w:sz w:val="20"/>
          <w:szCs w:val="20"/>
          <w:color w:val="auto"/>
        </w:rPr>
      </w:pPr>
    </w:p>
    <w:p>
      <w:pPr>
        <w:ind w:right="480" w:firstLine="342"/>
        <w:spacing w:after="0" w:line="246" w:lineRule="auto"/>
        <w:rPr>
          <w:sz w:val="20"/>
          <w:szCs w:val="20"/>
          <w:color w:val="auto"/>
        </w:rPr>
      </w:pPr>
      <w:r>
        <w:rPr>
          <w:rFonts w:ascii="Arial" w:cs="Arial" w:eastAsia="Arial" w:hAnsi="Arial"/>
          <w:sz w:val="18"/>
          <w:szCs w:val="18"/>
          <w:color w:val="auto"/>
        </w:rPr>
        <w:t>The information above and in the foregoing table is based upon 24,076,762 shares of our common stock outstanding as of March 31, 2019. The information above and in the foregoing table excludes as of March 31, 2019:</w:t>
      </w:r>
    </w:p>
    <w:p>
      <w:pPr>
        <w:spacing w:after="0" w:line="224" w:lineRule="exact"/>
        <w:rPr>
          <w:sz w:val="20"/>
          <w:szCs w:val="20"/>
          <w:color w:val="auto"/>
        </w:rPr>
      </w:pPr>
    </w:p>
    <w:p>
      <w:pPr>
        <w:ind w:left="800" w:right="420" w:hanging="454"/>
        <w:spacing w:after="0" w:line="218" w:lineRule="auto"/>
        <w:tabs>
          <w:tab w:leader="none" w:pos="80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2,300 shares of common stock issuable upon the vesting of restricted stock units outstanding as of March 31, 2019;</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528,134 shares of common stock reserved for future issuance under our 2018 Stock Option and Incentive Plan; and</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461,266 shares of common stock reserved for the future issuance under our 2018 Employee Stock Purchase Plan.</w:t>
      </w:r>
    </w:p>
    <w:p>
      <w:pPr>
        <w:spacing w:after="0" w:line="203"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new options are issued under our equity incentive plans or we issue additional shares of common stock or other equity or convertible debt securities in the future, there will be further dilution to investors participating in this offering.</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SA-17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MATERIAL U.S. FEDERAL INCOME TAX CONSIDERATIONS FOR NON-U.S. HOLDERS(1)</w:t>
      </w:r>
    </w:p>
    <w:p>
      <w:pPr>
        <w:spacing w:after="0" w:line="342" w:lineRule="exact"/>
        <w:rPr>
          <w:sz w:val="20"/>
          <w:szCs w:val="20"/>
          <w:color w:val="auto"/>
        </w:rPr>
      </w:pPr>
    </w:p>
    <w:p>
      <w:pPr>
        <w:ind w:firstLine="342"/>
        <w:spacing w:after="0"/>
        <w:rPr>
          <w:sz w:val="20"/>
          <w:szCs w:val="20"/>
          <w:color w:val="auto"/>
        </w:rPr>
      </w:pPr>
      <w:r>
        <w:rPr>
          <w:rFonts w:ascii="Arial" w:cs="Arial" w:eastAsia="Arial" w:hAnsi="Arial"/>
          <w:sz w:val="18"/>
          <w:szCs w:val="18"/>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194" w:lineRule="exact"/>
        <w:rPr>
          <w:sz w:val="20"/>
          <w:szCs w:val="20"/>
          <w:color w:val="auto"/>
        </w:rPr>
      </w:pPr>
    </w:p>
    <w:p>
      <w:pPr>
        <w:ind w:left="800" w:hanging="454"/>
        <w:spacing w:after="0"/>
        <w:tabs>
          <w:tab w:leader="none" w:pos="80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non-resident alien individual;</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foreign corporation or any other foreign organization taxable as a corporation for U.S. federal income tax purposes; or</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foreign estate or trust, the income of which is not subject to U.S. federal income tax on a net income basis.</w:t>
      </w:r>
    </w:p>
    <w:p>
      <w:pPr>
        <w:spacing w:after="0" w:line="203"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202" w:lineRule="exact"/>
        <w:rPr>
          <w:sz w:val="20"/>
          <w:szCs w:val="20"/>
          <w:color w:val="auto"/>
        </w:rPr>
      </w:pPr>
    </w:p>
    <w:p>
      <w:pPr>
        <w:ind w:right="100" w:firstLine="342"/>
        <w:spacing w:after="0" w:line="237"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203"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194" w:lineRule="exact"/>
        <w:rPr>
          <w:sz w:val="20"/>
          <w:szCs w:val="20"/>
          <w:color w:val="auto"/>
        </w:rPr>
      </w:pPr>
    </w:p>
    <w:p>
      <w:pPr>
        <w:ind w:left="800" w:hanging="454"/>
        <w:spacing w:after="0"/>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insurance companies;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or governmental organizations;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financial institutions;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or dealers in securities;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regulated investment companies;</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pension plans;</w:t>
      </w:r>
    </w:p>
    <w:p>
      <w:pPr>
        <w:spacing w:after="0" w:line="26" w:lineRule="exact"/>
        <w:rPr>
          <w:rFonts w:ascii="MS PGothic" w:cs="MS PGothic" w:eastAsia="MS PGothic" w:hAnsi="MS PGothic"/>
          <w:sz w:val="25"/>
          <w:szCs w:val="25"/>
          <w:color w:val="auto"/>
          <w:vertAlign w:val="superscript"/>
        </w:rPr>
      </w:pPr>
    </w:p>
    <w:p>
      <w:pPr>
        <w:ind w:left="800" w:right="160" w:hanging="454"/>
        <w:spacing w:after="0" w:line="218" w:lineRule="auto"/>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7" w:lineRule="exact"/>
        <w:rPr>
          <w:rFonts w:ascii="MS PGothic" w:cs="MS PGothic" w:eastAsia="MS PGothic" w:hAnsi="MS PGothic"/>
          <w:sz w:val="25"/>
          <w:szCs w:val="25"/>
          <w:color w:val="auto"/>
          <w:vertAlign w:val="superscript"/>
        </w:rPr>
      </w:pPr>
    </w:p>
    <w:p>
      <w:pPr>
        <w:ind w:left="800" w:right="460" w:hanging="454"/>
        <w:spacing w:after="0" w:line="218" w:lineRule="auto"/>
        <w:tabs>
          <w:tab w:leader="none" w:pos="800" w:val="left"/>
        </w:tabs>
        <w:numPr>
          <w:ilvl w:val="1"/>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“qualified foreign pension funds” as defined in Section 897(I)(2) of the Code and entities all of the interests of which are held by qualified foreign pension funds;</w:t>
      </w:r>
    </w:p>
    <w:p>
      <w:pPr>
        <w:spacing w:after="0" w:line="176" w:lineRule="exact"/>
        <w:rPr>
          <w:rFonts w:ascii="MS PGothic" w:cs="MS PGothic" w:eastAsia="MS PGothic" w:hAnsi="MS PGothic"/>
          <w:sz w:val="25"/>
          <w:szCs w:val="25"/>
          <w:color w:val="auto"/>
          <w:vertAlign w:val="superscript"/>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Note to Company: Under review by Goodwin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886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SA-18</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00" w:hanging="454"/>
        <w:spacing w:after="0"/>
        <w:tabs>
          <w:tab w:leader="none" w:pos="80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have a functional currency other than the U.S. dollar;</w:t>
      </w:r>
    </w:p>
    <w:p>
      <w:pPr>
        <w:spacing w:after="0" w:line="26" w:lineRule="exact"/>
        <w:rPr>
          <w:rFonts w:ascii="MS PGothic" w:cs="MS PGothic" w:eastAsia="MS PGothic" w:hAnsi="MS PGothic"/>
          <w:sz w:val="25"/>
          <w:szCs w:val="25"/>
          <w:color w:val="auto"/>
          <w:vertAlign w:val="superscript"/>
        </w:rPr>
      </w:pPr>
    </w:p>
    <w:p>
      <w:pPr>
        <w:ind w:left="800" w:hanging="454"/>
        <w:spacing w:after="0" w:line="205" w:lineRule="auto"/>
        <w:tabs>
          <w:tab w:leader="none" w:pos="80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deemed to sell our common stock under the constructive sale provisions of the Code;</w:t>
      </w:r>
    </w:p>
    <w:p>
      <w:pPr>
        <w:spacing w:after="0" w:line="26" w:lineRule="exact"/>
        <w:rPr>
          <w:rFonts w:ascii="MS PGothic" w:cs="MS PGothic" w:eastAsia="MS PGothic" w:hAnsi="MS PGothic"/>
          <w:sz w:val="25"/>
          <w:szCs w:val="25"/>
          <w:color w:val="auto"/>
          <w:vertAlign w:val="superscript"/>
        </w:rPr>
      </w:pPr>
    </w:p>
    <w:p>
      <w:pPr>
        <w:ind w:left="800" w:right="560" w:hanging="454"/>
        <w:spacing w:after="0" w:line="218" w:lineRule="auto"/>
        <w:tabs>
          <w:tab w:leader="none" w:pos="80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hold our common stock as part of a straddle, hedge, conversion transaction, synthetic security or other integrated investment;</w:t>
      </w:r>
    </w:p>
    <w:p>
      <w:pPr>
        <w:spacing w:after="0" w:line="27" w:lineRule="exact"/>
        <w:rPr>
          <w:rFonts w:ascii="MS PGothic" w:cs="MS PGothic" w:eastAsia="MS PGothic" w:hAnsi="MS PGothic"/>
          <w:sz w:val="25"/>
          <w:szCs w:val="25"/>
          <w:color w:val="auto"/>
          <w:vertAlign w:val="superscript"/>
        </w:rPr>
      </w:pPr>
    </w:p>
    <w:p>
      <w:pPr>
        <w:ind w:left="800" w:hanging="454"/>
        <w:spacing w:after="0" w:line="218" w:lineRule="auto"/>
        <w:tabs>
          <w:tab w:leader="none" w:pos="80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hold or receive our common stock pursuant to the exercise of any employee stock option or otherwise as compensation; and</w:t>
      </w:r>
    </w:p>
    <w:p>
      <w:pPr>
        <w:spacing w:after="0" w:line="1" w:lineRule="exact"/>
        <w:rPr>
          <w:rFonts w:ascii="MS PGothic" w:cs="MS PGothic" w:eastAsia="MS PGothic" w:hAnsi="MS PGothic"/>
          <w:sz w:val="25"/>
          <w:szCs w:val="25"/>
          <w:color w:val="auto"/>
          <w:vertAlign w:val="superscript"/>
        </w:rPr>
      </w:pPr>
    </w:p>
    <w:p>
      <w:pPr>
        <w:ind w:left="800" w:hanging="454"/>
        <w:spacing w:after="0" w:line="230" w:lineRule="auto"/>
        <w:tabs>
          <w:tab w:leader="none" w:pos="80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U.S. expatriates.</w:t>
      </w:r>
    </w:p>
    <w:p>
      <w:pPr>
        <w:spacing w:after="0" w:line="202" w:lineRule="exact"/>
        <w:rPr>
          <w:sz w:val="20"/>
          <w:szCs w:val="20"/>
          <w:color w:val="auto"/>
        </w:rPr>
      </w:pPr>
    </w:p>
    <w:p>
      <w:pPr>
        <w:ind w:right="120" w:firstLine="342"/>
        <w:spacing w:after="0"/>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ownership and disposition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99"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As described in the “</w:t>
      </w:r>
      <w:r>
        <w:rPr>
          <w:rFonts w:ascii="Arial" w:cs="Arial" w:eastAsia="Arial" w:hAnsi="Arial"/>
          <w:sz w:val="18"/>
          <w:szCs w:val="18"/>
          <w:u w:val="single" w:color="auto"/>
          <w:color w:val="auto"/>
        </w:rPr>
        <w:t>Risk Factors</w:t>
      </w:r>
      <w:r>
        <w:rPr>
          <w:rFonts w:ascii="Arial" w:cs="Arial" w:eastAsia="Arial" w:hAnsi="Arial"/>
          <w:sz w:val="18"/>
          <w:szCs w:val="18"/>
          <w:color w:val="auto"/>
        </w:rPr>
        <w:t>”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203" w:lineRule="exact"/>
        <w:rPr>
          <w:sz w:val="20"/>
          <w:szCs w:val="20"/>
          <w:color w:val="auto"/>
        </w:rPr>
      </w:pPr>
    </w:p>
    <w:p>
      <w:pPr>
        <w:jc w:val="both"/>
        <w:ind w:right="320" w:firstLine="342"/>
        <w:spacing w:after="0"/>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203"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208"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SA-19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99" w:lineRule="exact"/>
        <w:rPr>
          <w:sz w:val="20"/>
          <w:szCs w:val="20"/>
          <w:color w:val="auto"/>
        </w:rPr>
      </w:pPr>
    </w:p>
    <w:p>
      <w:pPr>
        <w:jc w:val="both"/>
        <w:ind w:right="80" w:firstLine="342"/>
        <w:spacing w:after="0"/>
        <w:rPr>
          <w:sz w:val="20"/>
          <w:szCs w:val="20"/>
          <w:color w:val="auto"/>
        </w:rPr>
      </w:pPr>
      <w:r>
        <w:rPr>
          <w:rFonts w:ascii="Arial" w:cs="Arial" w:eastAsia="Arial" w:hAnsi="Arial"/>
          <w:sz w:val="18"/>
          <w:szCs w:val="18"/>
          <w:color w:val="auto"/>
        </w:rPr>
        <w:t>Subject to the discussions below under “Backup Withholding and Information Reporting” and “FATCA,” a non-U.S. holder generally will not be subject to any U.S. federal income or withholding tax on any gain realized upon such holder’s sale or other taxable disposition of shares of our common stock unless:</w:t>
      </w:r>
    </w:p>
    <w:p>
      <w:pPr>
        <w:spacing w:after="0" w:line="230" w:lineRule="exact"/>
        <w:rPr>
          <w:sz w:val="20"/>
          <w:szCs w:val="20"/>
          <w:color w:val="auto"/>
        </w:rPr>
      </w:pPr>
    </w:p>
    <w:p>
      <w:pPr>
        <w:ind w:left="800" w:right="20" w:hanging="454"/>
        <w:spacing w:after="0" w:line="228" w:lineRule="auto"/>
        <w:tabs>
          <w:tab w:leader="none" w:pos="80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26" w:lineRule="exact"/>
        <w:rPr>
          <w:rFonts w:ascii="MS PGothic" w:cs="MS PGothic" w:eastAsia="MS PGothic" w:hAnsi="MS PGothic"/>
          <w:sz w:val="25"/>
          <w:szCs w:val="25"/>
          <w:color w:val="auto"/>
          <w:vertAlign w:val="superscript"/>
        </w:rPr>
      </w:pPr>
    </w:p>
    <w:p>
      <w:pPr>
        <w:ind w:left="800" w:hanging="454"/>
        <w:spacing w:after="0" w:line="229" w:lineRule="auto"/>
        <w:tabs>
          <w:tab w:leader="none" w:pos="80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27" w:lineRule="exact"/>
        <w:rPr>
          <w:rFonts w:ascii="MS PGothic" w:cs="MS PGothic" w:eastAsia="MS PGothic" w:hAnsi="MS PGothic"/>
          <w:sz w:val="25"/>
          <w:szCs w:val="25"/>
          <w:color w:val="auto"/>
          <w:vertAlign w:val="superscript"/>
        </w:rPr>
      </w:pPr>
    </w:p>
    <w:p>
      <w:pPr>
        <w:ind w:left="800" w:right="60" w:hanging="454"/>
        <w:spacing w:after="0" w:line="244" w:lineRule="auto"/>
        <w:tabs>
          <w:tab w:leader="none" w:pos="800" w:val="left"/>
        </w:tabs>
        <w:numPr>
          <w:ilvl w:val="0"/>
          <w:numId w:val="46"/>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5" w:lineRule="exact"/>
        <w:rPr>
          <w:sz w:val="20"/>
          <w:szCs w:val="20"/>
          <w:color w:val="auto"/>
        </w:rPr>
      </w:pPr>
    </w:p>
    <w:p>
      <w:pPr>
        <w:ind w:right="220" w:firstLine="342"/>
        <w:spacing w:after="0" w:line="238"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203" w:lineRule="exact"/>
        <w:rPr>
          <w:sz w:val="20"/>
          <w:szCs w:val="20"/>
          <w:color w:val="auto"/>
        </w:rPr>
      </w:pPr>
    </w:p>
    <w:p>
      <w:pPr>
        <w:ind w:right="60" w:firstLine="342"/>
        <w:spacing w:after="0" w:line="238"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information reporting purposes, dispositions effected through a non-U.S. office of a broker with substantial U.S. ownership or operations generally will be treated in a manner similar to dispositions effected through a U.S. office of a broker.</w:t>
      </w:r>
    </w:p>
    <w:p>
      <w:pPr>
        <w:spacing w:after="0" w:line="197" w:lineRule="exact"/>
        <w:rPr>
          <w:sz w:val="20"/>
          <w:szCs w:val="20"/>
          <w:color w:val="auto"/>
        </w:rPr>
      </w:pPr>
    </w:p>
    <w:p>
      <w:pPr>
        <w:ind w:right="180" w:firstLine="342"/>
        <w:spacing w:after="0" w:line="238"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 -U.S.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99"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SA-21</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24" w:lineRule="exact"/>
        <w:rPr>
          <w:sz w:val="20"/>
          <w:szCs w:val="20"/>
          <w:color w:val="auto"/>
        </w:rPr>
      </w:pPr>
    </w:p>
    <w:p>
      <w:pPr>
        <w:jc w:val="both"/>
        <w:ind w:right="140" w:firstLine="342"/>
        <w:spacing w:after="0" w:line="245" w:lineRule="auto"/>
        <w:rPr>
          <w:sz w:val="20"/>
          <w:szCs w:val="20"/>
          <w:color w:val="auto"/>
        </w:rPr>
      </w:pPr>
      <w:r>
        <w:rPr>
          <w:rFonts w:ascii="Arial" w:cs="Arial" w:eastAsia="Arial" w:hAnsi="Arial"/>
          <w:sz w:val="18"/>
          <w:szCs w:val="18"/>
          <w:i w:val="1"/>
          <w:iCs w:val="1"/>
          <w:color w:val="auto"/>
        </w:rPr>
        <w:t>The following description of our common stock and preferred stock summarizes the material terms and provisions of the common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300" w:firstLine="342"/>
        <w:spacing w:after="0" w:line="246"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2019, 24,076,762 shares of our common stock were outstanding and held by 15 stockholders of record.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45" w:lineRule="exact"/>
        <w:rPr>
          <w:sz w:val="20"/>
          <w:szCs w:val="20"/>
          <w:color w:val="auto"/>
        </w:rPr>
      </w:pPr>
    </w:p>
    <w:p>
      <w:pPr>
        <w:ind w:right="160" w:firstLine="342"/>
        <w:spacing w:after="0" w:line="238"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03" w:lineRule="exact"/>
        <w:rPr>
          <w:sz w:val="20"/>
          <w:szCs w:val="20"/>
          <w:color w:val="auto"/>
        </w:rPr>
      </w:pPr>
    </w:p>
    <w:p>
      <w:pPr>
        <w:ind w:right="220" w:firstLine="342"/>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58" w:lineRule="exact"/>
        <w:rPr>
          <w:sz w:val="20"/>
          <w:szCs w:val="20"/>
          <w:color w:val="auto"/>
        </w:rPr>
      </w:pPr>
    </w:p>
    <w:p>
      <w:pPr>
        <w:ind w:right="40" w:firstLine="342"/>
        <w:spacing w:after="0" w:line="237"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As of June 30, 2019, no shares of preferred stock were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2019, there were outstanding options to purchase an aggregate of 2,986,048 shares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45" w:lineRule="exact"/>
        <w:rPr>
          <w:sz w:val="20"/>
          <w:szCs w:val="20"/>
          <w:color w:val="auto"/>
        </w:rPr>
      </w:pPr>
    </w:p>
    <w:p>
      <w:pPr>
        <w:ind w:firstLine="342"/>
        <w:spacing w:after="0"/>
        <w:rPr>
          <w:sz w:val="20"/>
          <w:szCs w:val="20"/>
          <w:color w:val="auto"/>
        </w:rPr>
      </w:pPr>
      <w:r>
        <w:rPr>
          <w:rFonts w:ascii="Arial" w:cs="Arial" w:eastAsia="Arial" w:hAnsi="Arial"/>
          <w:sz w:val="18"/>
          <w:szCs w:val="18"/>
          <w:color w:val="auto"/>
        </w:rPr>
        <w:t>As of June 30, 2019, the holders of 4,756,478 shares of our common stock are entitled to rights with respect to the registration of these securities under the Securities Act. These rights are provided under the terms of an investors’ rights agreement between us and holders of our preferred stock, which</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SA-22</w:t>
      </w:r>
    </w:p>
    <w:p>
      <w:pPr>
        <w:sectPr>
          <w:pgSz w:w="11900" w:h="16838" w:orient="portrait"/>
          <w:cols w:equalWidth="0" w:num="1">
            <w:col w:w="11320"/>
          </w:cols>
          <w:pgMar w:left="24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9"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The holders of 4,756,478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85"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right="140" w:firstLine="342"/>
        <w:spacing w:after="0" w:line="239" w:lineRule="auto"/>
        <w:rPr>
          <w:sz w:val="20"/>
          <w:szCs w:val="20"/>
          <w:color w:val="auto"/>
        </w:rPr>
      </w:pPr>
      <w:r>
        <w:rPr>
          <w:rFonts w:ascii="Arial" w:cs="Arial" w:eastAsia="Arial" w:hAnsi="Arial"/>
          <w:sz w:val="18"/>
          <w:szCs w:val="18"/>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9" w:lineRule="exact"/>
        <w:rPr>
          <w:sz w:val="20"/>
          <w:szCs w:val="20"/>
          <w:color w:val="auto"/>
        </w:rPr>
      </w:pPr>
    </w:p>
    <w:p>
      <w:pPr>
        <w:jc w:val="both"/>
        <w:ind w:right="40" w:firstLine="342"/>
        <w:spacing w:after="0"/>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85" w:lineRule="exact"/>
        <w:rPr>
          <w:sz w:val="20"/>
          <w:szCs w:val="20"/>
          <w:color w:val="auto"/>
        </w:rPr>
      </w:pPr>
    </w:p>
    <w:p>
      <w:pPr>
        <w:ind w:firstLine="342"/>
        <w:spacing w:after="0"/>
        <w:rPr>
          <w:sz w:val="20"/>
          <w:szCs w:val="20"/>
          <w:color w:val="auto"/>
        </w:rPr>
      </w:pPr>
      <w:r>
        <w:rPr>
          <w:rFonts w:ascii="Arial" w:cs="Arial" w:eastAsia="Arial" w:hAnsi="Arial"/>
          <w:sz w:val="18"/>
          <w:szCs w:val="18"/>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our IPO and (iii) when the holders’ shares may be sold without restriction pursuant to Rule 144 within a three month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85" w:lineRule="exact"/>
        <w:rPr>
          <w:sz w:val="20"/>
          <w:szCs w:val="20"/>
          <w:color w:val="auto"/>
        </w:rPr>
      </w:pPr>
    </w:p>
    <w:p>
      <w:pPr>
        <w:ind w:right="220" w:firstLine="342"/>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9" w:lineRule="exact"/>
        <w:rPr>
          <w:sz w:val="20"/>
          <w:szCs w:val="20"/>
          <w:color w:val="auto"/>
        </w:rPr>
      </w:pPr>
    </w:p>
    <w:p>
      <w:pPr>
        <w:ind w:firstLine="342"/>
        <w:spacing w:after="0" w:line="237"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85" w:lineRule="exact"/>
        <w:rPr>
          <w:sz w:val="20"/>
          <w:szCs w:val="20"/>
          <w:color w:val="auto"/>
        </w:rPr>
      </w:pPr>
    </w:p>
    <w:p>
      <w:pPr>
        <w:ind w:right="120" w:firstLine="342"/>
        <w:spacing w:after="0" w:line="23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85" w:lineRule="exact"/>
        <w:rPr>
          <w:sz w:val="20"/>
          <w:szCs w:val="20"/>
          <w:color w:val="auto"/>
        </w:rPr>
      </w:pPr>
    </w:p>
    <w:p>
      <w:pPr>
        <w:ind w:right="20" w:firstLine="342"/>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9"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85" w:lineRule="exact"/>
        <w:rPr>
          <w:sz w:val="20"/>
          <w:szCs w:val="20"/>
          <w:color w:val="auto"/>
        </w:rPr>
      </w:pPr>
    </w:p>
    <w:p>
      <w:pPr>
        <w:ind w:right="20" w:firstLine="342"/>
        <w:spacing w:after="0" w:line="236" w:lineRule="auto"/>
        <w:rPr>
          <w:sz w:val="20"/>
          <w:szCs w:val="20"/>
          <w:color w:val="auto"/>
        </w:rPr>
      </w:pPr>
      <w:r>
        <w:rPr>
          <w:rFonts w:ascii="Arial" w:cs="Arial" w:eastAsia="Arial" w:hAnsi="Arial"/>
          <w:sz w:val="18"/>
          <w:szCs w:val="18"/>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SA-24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color w:val="auto"/>
        </w:rPr>
        <w:t>or, if our board of directors recommends that the stockholders approve the amendment, by the affirmative vote of the majority of the outstanding shares entitled to vote on the amendment, in each case voting together as a single class.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99" w:lineRule="exact"/>
        <w:rPr>
          <w:sz w:val="20"/>
          <w:szCs w:val="20"/>
          <w:color w:val="auto"/>
        </w:rPr>
      </w:pPr>
    </w:p>
    <w:p>
      <w:pPr>
        <w:ind w:right="60" w:firstLine="342"/>
        <w:spacing w:after="0" w:line="236" w:lineRule="auto"/>
        <w:rPr>
          <w:sz w:val="20"/>
          <w:szCs w:val="20"/>
          <w:color w:val="auto"/>
        </w:rPr>
      </w:pPr>
      <w:r>
        <w:rPr>
          <w:rFonts w:ascii="Arial" w:cs="Arial" w:eastAsia="Arial" w:hAnsi="Arial"/>
          <w:sz w:val="18"/>
          <w:szCs w:val="18"/>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85" w:lineRule="exact"/>
        <w:rPr>
          <w:sz w:val="20"/>
          <w:szCs w:val="20"/>
          <w:color w:val="auto"/>
        </w:rPr>
      </w:pPr>
    </w:p>
    <w:p>
      <w:pPr>
        <w:ind w:right="520" w:firstLine="342"/>
        <w:spacing w:after="0" w:line="234" w:lineRule="auto"/>
        <w:rPr>
          <w:sz w:val="20"/>
          <w:szCs w:val="20"/>
          <w:color w:val="auto"/>
        </w:rPr>
      </w:pPr>
      <w:r>
        <w:rPr>
          <w:rFonts w:ascii="Arial" w:cs="Arial" w:eastAsia="Arial" w:hAnsi="Arial"/>
          <w:sz w:val="18"/>
          <w:szCs w:val="18"/>
          <w:color w:val="auto"/>
        </w:rPr>
        <w:t>Our amended and restated bylaws provides that, unless we consent in writing to the selection of an alternative forum, the Court of Chancery of the State of Delaware will be the sole and exclusive forum for: (1) any derivative action or proceeding brought on our behalf;</w:t>
      </w:r>
    </w:p>
    <w:p>
      <w:pPr>
        <w:spacing w:after="0" w:line="2" w:lineRule="exact"/>
        <w:rPr>
          <w:sz w:val="20"/>
          <w:szCs w:val="20"/>
          <w:color w:val="auto"/>
        </w:rPr>
      </w:pPr>
    </w:p>
    <w:p>
      <w:pPr>
        <w:ind w:firstLine="8"/>
        <w:spacing w:after="0" w:line="23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205" w:lineRule="exact"/>
        <w:rPr>
          <w:sz w:val="20"/>
          <w:szCs w:val="20"/>
          <w:color w:val="auto"/>
        </w:rPr>
      </w:pPr>
    </w:p>
    <w:p>
      <w:pPr>
        <w:ind w:firstLine="342"/>
        <w:spacing w:after="0" w:line="236"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On January 17, 2019, the decision was appealed to the Delaware Supreme Court. While the Delaware Supreme Court recently dismissed the appeal on jurisdictional grounds, we expect that the appeal will be re-filed after the Court of Chancery issues a final judgment. Unless and until the Court of Chancery’s decision is reversed by the Delaware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99" w:lineRule="exact"/>
        <w:rPr>
          <w:sz w:val="20"/>
          <w:szCs w:val="20"/>
          <w:color w:val="auto"/>
        </w:rPr>
      </w:pPr>
    </w:p>
    <w:p>
      <w:pPr>
        <w:jc w:val="both"/>
        <w:ind w:right="80" w:firstLine="342"/>
        <w:spacing w:after="0" w:line="257" w:lineRule="auto"/>
        <w:rPr>
          <w:sz w:val="20"/>
          <w:szCs w:val="20"/>
          <w:color w:val="auto"/>
        </w:rPr>
      </w:pPr>
      <w:r>
        <w:rPr>
          <w:rFonts w:ascii="Arial" w:cs="Arial" w:eastAsia="Arial" w:hAnsi="Arial"/>
          <w:sz w:val="17"/>
          <w:szCs w:val="17"/>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16" w:lineRule="exact"/>
        <w:rPr>
          <w:sz w:val="20"/>
          <w:szCs w:val="20"/>
          <w:color w:val="auto"/>
        </w:rPr>
      </w:pPr>
    </w:p>
    <w:p>
      <w:pPr>
        <w:ind w:left="800" w:right="180" w:hanging="454"/>
        <w:spacing w:after="0" w:line="218" w:lineRule="auto"/>
        <w:tabs>
          <w:tab w:leader="none" w:pos="80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27" w:lineRule="exact"/>
        <w:rPr>
          <w:rFonts w:ascii="MS PGothic" w:cs="MS PGothic" w:eastAsia="MS PGothic" w:hAnsi="MS PGothic"/>
          <w:sz w:val="25"/>
          <w:szCs w:val="25"/>
          <w:color w:val="auto"/>
          <w:vertAlign w:val="superscript"/>
        </w:rPr>
      </w:pPr>
    </w:p>
    <w:p>
      <w:pPr>
        <w:ind w:left="800" w:right="140" w:hanging="454"/>
        <w:spacing w:after="0" w:line="226" w:lineRule="auto"/>
        <w:tabs>
          <w:tab w:leader="none" w:pos="80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7" w:lineRule="exact"/>
        <w:rPr>
          <w:rFonts w:ascii="MS PGothic" w:cs="MS PGothic" w:eastAsia="MS PGothic" w:hAnsi="MS PGothic"/>
          <w:sz w:val="25"/>
          <w:szCs w:val="25"/>
          <w:color w:val="auto"/>
          <w:vertAlign w:val="superscript"/>
        </w:rPr>
      </w:pPr>
    </w:p>
    <w:p>
      <w:pPr>
        <w:ind w:left="800" w:right="200" w:hanging="454"/>
        <w:spacing w:after="0" w:line="223" w:lineRule="auto"/>
        <w:tabs>
          <w:tab w:leader="none" w:pos="80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a business combination to include:</w:t>
      </w:r>
    </w:p>
    <w:p>
      <w:pPr>
        <w:spacing w:after="0" w:line="203" w:lineRule="exact"/>
        <w:rPr>
          <w:sz w:val="20"/>
          <w:szCs w:val="20"/>
          <w:color w:val="auto"/>
        </w:rPr>
      </w:pPr>
    </w:p>
    <w:p>
      <w:pPr>
        <w:ind w:left="800" w:hanging="454"/>
        <w:spacing w:after="0"/>
        <w:tabs>
          <w:tab w:leader="none" w:pos="80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merger or consolidation involving the corporation and the interested stockholder;</w:t>
      </w:r>
    </w:p>
    <w:p>
      <w:pPr>
        <w:spacing w:after="0" w:line="26" w:lineRule="exact"/>
        <w:rPr>
          <w:rFonts w:ascii="MS PGothic" w:cs="MS PGothic" w:eastAsia="MS PGothic" w:hAnsi="MS PGothic"/>
          <w:sz w:val="25"/>
          <w:szCs w:val="25"/>
          <w:color w:val="auto"/>
          <w:vertAlign w:val="superscript"/>
        </w:rPr>
      </w:pPr>
    </w:p>
    <w:p>
      <w:pPr>
        <w:ind w:left="800" w:right="800" w:hanging="454"/>
        <w:spacing w:after="0" w:line="218" w:lineRule="auto"/>
        <w:tabs>
          <w:tab w:leader="none" w:pos="80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27" w:lineRule="exact"/>
        <w:rPr>
          <w:rFonts w:ascii="MS PGothic" w:cs="MS PGothic" w:eastAsia="MS PGothic" w:hAnsi="MS PGothic"/>
          <w:sz w:val="25"/>
          <w:szCs w:val="25"/>
          <w:color w:val="auto"/>
          <w:vertAlign w:val="superscript"/>
        </w:rPr>
      </w:pPr>
    </w:p>
    <w:p>
      <w:pPr>
        <w:ind w:left="800" w:right="120" w:hanging="454"/>
        <w:spacing w:after="0" w:line="218" w:lineRule="auto"/>
        <w:tabs>
          <w:tab w:leader="none" w:pos="80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27" w:lineRule="exact"/>
        <w:rPr>
          <w:rFonts w:ascii="MS PGothic" w:cs="MS PGothic" w:eastAsia="MS PGothic" w:hAnsi="MS PGothic"/>
          <w:sz w:val="25"/>
          <w:szCs w:val="25"/>
          <w:color w:val="auto"/>
          <w:vertAlign w:val="superscript"/>
        </w:rPr>
      </w:pPr>
    </w:p>
    <w:p>
      <w:pPr>
        <w:ind w:left="800" w:right="200" w:hanging="454"/>
        <w:spacing w:after="0" w:line="218" w:lineRule="auto"/>
        <w:tabs>
          <w:tab w:leader="none" w:pos="80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7" w:lineRule="exact"/>
        <w:rPr>
          <w:rFonts w:ascii="MS PGothic" w:cs="MS PGothic" w:eastAsia="MS PGothic" w:hAnsi="MS PGothic"/>
          <w:sz w:val="25"/>
          <w:szCs w:val="25"/>
          <w:color w:val="auto"/>
          <w:vertAlign w:val="superscript"/>
        </w:rPr>
      </w:pPr>
    </w:p>
    <w:p>
      <w:pPr>
        <w:ind w:left="800" w:right="660" w:hanging="454"/>
        <w:spacing w:after="0" w:line="218" w:lineRule="auto"/>
        <w:tabs>
          <w:tab w:leader="none" w:pos="80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3" w:lineRule="exact"/>
        <w:rPr>
          <w:sz w:val="20"/>
          <w:szCs w:val="20"/>
          <w:color w:val="auto"/>
        </w:rPr>
      </w:pPr>
    </w:p>
    <w:p>
      <w:pPr>
        <w:ind w:firstLine="342"/>
        <w:spacing w:after="0" w:line="246"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firstLine="342"/>
        <w:spacing w:after="0" w:line="24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SA-27</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right="120" w:firstLine="342"/>
        <w:spacing w:after="0" w:line="238" w:lineRule="auto"/>
        <w:rPr>
          <w:sz w:val="20"/>
          <w:szCs w:val="20"/>
          <w:color w:val="auto"/>
        </w:rPr>
      </w:pPr>
      <w:r>
        <w:rPr>
          <w:rFonts w:ascii="Arial" w:cs="Arial" w:eastAsia="Arial" w:hAnsi="Arial"/>
          <w:sz w:val="18"/>
          <w:szCs w:val="18"/>
          <w:color w:val="auto"/>
        </w:rPr>
        <w:t>We have entered into a sales agreement with Cowen, under which we may issue and sell from time to time up to $ 50,000,000 of our common stock through Cowen as our sales agent. Sales of our common stock, if any, will be made at market prices by any method that is deemed to be an “at the market” offering as defined in Rule 415 under the Securities Act, including sales made directly on The Nasdaq Global Select Market or any other trading market for our common stock. If authorized by us in writing, Cowen may purchase shares of our common stock as principal.</w:t>
      </w:r>
    </w:p>
    <w:p>
      <w:pPr>
        <w:spacing w:after="0" w:line="203" w:lineRule="exact"/>
        <w:rPr>
          <w:sz w:val="20"/>
          <w:szCs w:val="20"/>
          <w:color w:val="auto"/>
        </w:rPr>
      </w:pPr>
    </w:p>
    <w:p>
      <w:pPr>
        <w:ind w:right="40" w:firstLine="342"/>
        <w:spacing w:after="0" w:line="236" w:lineRule="auto"/>
        <w:rPr>
          <w:sz w:val="20"/>
          <w:szCs w:val="20"/>
          <w:color w:val="auto"/>
        </w:rPr>
      </w:pPr>
      <w:r>
        <w:rPr>
          <w:rFonts w:ascii="Arial" w:cs="Arial" w:eastAsia="Arial" w:hAnsi="Arial"/>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We and Cowen each have the right, by giving written notice as specified in the sales agreement, to terminate the sales agreement in either party’s sole discretion at any time.</w:t>
      </w:r>
    </w:p>
    <w:p>
      <w:pPr>
        <w:spacing w:after="0" w:line="208"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The aggregate compensation payable to Cowen as sales agent equals 3.0% of the gross sales price of the shares sold through Cowen pursuant to the sales agreement. We have also agreed to reimburse Cowen up to $ 50,000 of Cowen’s actual outside legal expenses incurred by Cowen in connection with this offering, and for certain other expenses, including Cowen’s FINRA counsel fees in an amount up to $10,000. We estimate that the total expenses of the offering payable by us, excluding commissions payable to Cowen under the sales agreement, will be approximately $250,000.</w:t>
      </w:r>
    </w:p>
    <w:p>
      <w:pPr>
        <w:spacing w:after="0" w:line="203" w:lineRule="exact"/>
        <w:rPr>
          <w:sz w:val="20"/>
          <w:szCs w:val="20"/>
          <w:color w:val="auto"/>
        </w:rPr>
      </w:pPr>
    </w:p>
    <w:p>
      <w:pPr>
        <w:ind w:right="520" w:firstLine="342"/>
        <w:spacing w:after="0" w:line="246"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97" w:lineRule="exact"/>
        <w:rPr>
          <w:sz w:val="20"/>
          <w:szCs w:val="20"/>
          <w:color w:val="auto"/>
        </w:rPr>
      </w:pPr>
    </w:p>
    <w:p>
      <w:pPr>
        <w:ind w:right="320" w:firstLine="342"/>
        <w:spacing w:after="0" w:line="239" w:lineRule="auto"/>
        <w:rPr>
          <w:sz w:val="20"/>
          <w:szCs w:val="20"/>
          <w:color w:val="auto"/>
        </w:rPr>
      </w:pPr>
      <w:r>
        <w:rPr>
          <w:rFonts w:ascii="Arial" w:cs="Arial" w:eastAsia="Arial" w:hAnsi="Arial"/>
          <w:sz w:val="18"/>
          <w:szCs w:val="18"/>
          <w:color w:val="auto"/>
        </w:rPr>
        <w:t>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202" w:lineRule="exact"/>
        <w:rPr>
          <w:sz w:val="20"/>
          <w:szCs w:val="20"/>
          <w:color w:val="auto"/>
        </w:rPr>
      </w:pPr>
    </w:p>
    <w:p>
      <w:pPr>
        <w:ind w:right="140" w:firstLine="342"/>
        <w:spacing w:after="0" w:line="246" w:lineRule="auto"/>
        <w:rPr>
          <w:sz w:val="20"/>
          <w:szCs w:val="20"/>
          <w:color w:val="auto"/>
        </w:rPr>
      </w:pPr>
      <w:r>
        <w:rPr>
          <w:rFonts w:ascii="Arial" w:cs="Arial" w:eastAsia="Arial" w:hAnsi="Arial"/>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97" w:lineRule="exact"/>
        <w:rPr>
          <w:sz w:val="20"/>
          <w:szCs w:val="20"/>
          <w:color w:val="auto"/>
        </w:rPr>
      </w:pPr>
    </w:p>
    <w:p>
      <w:pPr>
        <w:ind w:right="40" w:firstLine="342"/>
        <w:spacing w:after="0"/>
        <w:rPr>
          <w:sz w:val="20"/>
          <w:szCs w:val="20"/>
          <w:color w:val="auto"/>
        </w:rPr>
      </w:pPr>
      <w:r>
        <w:rPr>
          <w:rFonts w:ascii="Arial" w:cs="Arial" w:eastAsia="Arial" w:hAnsi="Arial"/>
          <w:sz w:val="18"/>
          <w:szCs w:val="18"/>
          <w:color w:val="auto"/>
        </w:rPr>
        <w:t>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203" w:lineRule="exact"/>
        <w:rPr>
          <w:sz w:val="20"/>
          <w:szCs w:val="20"/>
          <w:color w:val="auto"/>
        </w:rPr>
      </w:pPr>
    </w:p>
    <w:p>
      <w:pPr>
        <w:ind w:firstLine="342"/>
        <w:spacing w:after="0" w:line="239" w:lineRule="auto"/>
        <w:rPr>
          <w:sz w:val="20"/>
          <w:szCs w:val="20"/>
          <w:color w:val="auto"/>
        </w:rPr>
      </w:pPr>
      <w:r>
        <w:rPr>
          <w:rFonts w:ascii="Arial" w:cs="Arial" w:eastAsia="Arial" w:hAnsi="Arial"/>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 that stabilizes our common stock.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342"/>
        <w:spacing w:after="0" w:line="246" w:lineRule="auto"/>
        <w:rPr>
          <w:sz w:val="20"/>
          <w:szCs w:val="20"/>
          <w:color w:val="auto"/>
        </w:rPr>
      </w:pPr>
      <w:r>
        <w:rPr>
          <w:rFonts w:ascii="Arial" w:cs="Arial" w:eastAsia="Arial" w:hAnsi="Arial"/>
          <w:sz w:val="18"/>
          <w:szCs w:val="18"/>
          <w:color w:val="auto"/>
        </w:rPr>
        <w:t>Our common stock is listed on The Nasdaq Global Select Market and trades under the symbol “AVRO.” The transfer agent of our common stock is Computershare Trust Company, N.A.</w:t>
      </w:r>
    </w:p>
    <w:p>
      <w:pPr>
        <w:spacing w:after="0" w:line="197" w:lineRule="exact"/>
        <w:rPr>
          <w:sz w:val="20"/>
          <w:szCs w:val="20"/>
          <w:color w:val="auto"/>
        </w:rPr>
      </w:pPr>
    </w:p>
    <w:p>
      <w:pPr>
        <w:ind w:right="20" w:firstLine="342"/>
        <w:spacing w:after="0" w:line="246"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SA-29</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right="120" w:firstLine="342"/>
        <w:spacing w:after="0"/>
        <w:rPr>
          <w:sz w:val="20"/>
          <w:szCs w:val="20"/>
          <w:color w:val="auto"/>
        </w:rPr>
      </w:pPr>
      <w:r>
        <w:rPr>
          <w:rFonts w:ascii="Arial" w:cs="Arial" w:eastAsia="Arial" w:hAnsi="Arial"/>
          <w:sz w:val="18"/>
          <w:szCs w:val="18"/>
          <w:color w:val="auto"/>
        </w:rPr>
        <w:t>Certain legal matters in connection with this offering and the validity of the securities offered by this prospectus will be passed upon for us by Goodwin Procter LLP, Boston, MA. Cowen and Company, LLC is being represented in connection with this offering by Ropes &amp; Gray LLP, Boston, Massachusetts.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right="80" w:firstLine="342"/>
        <w:spacing w:after="0" w:line="237" w:lineRule="auto"/>
        <w:rPr>
          <w:sz w:val="20"/>
          <w:szCs w:val="20"/>
          <w:color w:val="auto"/>
        </w:rPr>
      </w:pPr>
      <w:r>
        <w:rPr>
          <w:rFonts w:ascii="Arial" w:cs="Arial" w:eastAsia="Arial" w:hAnsi="Arial"/>
          <w:sz w:val="18"/>
          <w:szCs w:val="18"/>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firstLine="342"/>
        <w:spacing w:after="0" w:line="238" w:lineRule="auto"/>
        <w:rPr>
          <w:sz w:val="20"/>
          <w:szCs w:val="20"/>
          <w:color w:val="auto"/>
        </w:rPr>
      </w:pPr>
      <w:r>
        <w:rPr>
          <w:rFonts w:ascii="Arial" w:cs="Arial" w:eastAsia="Arial" w:hAnsi="Arial"/>
          <w:sz w:val="18"/>
          <w:szCs w:val="18"/>
          <w:color w:val="auto"/>
        </w:rPr>
        <w:t>This prospectus is part of a registration statement on Form S-3 that we have filed with the SEC.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 Certain information in the registration statement has been omitted from this prospectus in accordance with the rules of the SEC.</w:t>
      </w:r>
    </w:p>
    <w:p>
      <w:pPr>
        <w:spacing w:after="0" w:line="203" w:lineRule="exact"/>
        <w:rPr>
          <w:sz w:val="20"/>
          <w:szCs w:val="20"/>
          <w:color w:val="auto"/>
        </w:rPr>
      </w:pPr>
    </w:p>
    <w:p>
      <w:pPr>
        <w:ind w:right="20" w:firstLine="342"/>
        <w:spacing w:after="0" w:line="238" w:lineRule="auto"/>
        <w:rPr>
          <w:sz w:val="20"/>
          <w:szCs w:val="20"/>
          <w:color w:val="auto"/>
        </w:rPr>
      </w:pPr>
      <w:r>
        <w:rPr>
          <w:rFonts w:ascii="Arial" w:cs="Arial" w:eastAsia="Arial" w:hAnsi="Arial"/>
          <w:sz w:val="18"/>
          <w:szCs w:val="18"/>
          <w:color w:val="auto"/>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Written requests for such copies should be directed to Investor Relations, AVROBIO, Inc., One Kendall Square, Building 300, Suite 201, Cambridge, Massachusetts 02139, and our website is located at www.avrobio.com.</w:t>
      </w:r>
    </w:p>
    <w:p>
      <w:pPr>
        <w:spacing w:after="0" w:line="203" w:lineRule="exact"/>
        <w:rPr>
          <w:sz w:val="20"/>
          <w:szCs w:val="20"/>
          <w:color w:val="auto"/>
        </w:rPr>
      </w:pPr>
    </w:p>
    <w:p>
      <w:pPr>
        <w:ind w:right="360" w:firstLine="342"/>
        <w:spacing w:after="0" w:line="237" w:lineRule="auto"/>
        <w:rPr>
          <w:sz w:val="20"/>
          <w:szCs w:val="20"/>
          <w:color w:val="auto"/>
        </w:rPr>
      </w:pPr>
      <w:r>
        <w:rPr>
          <w:rFonts w:ascii="Arial" w:cs="Arial" w:eastAsia="Arial" w:hAnsi="Arial"/>
          <w:sz w:val="18"/>
          <w:szCs w:val="18"/>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Information contained on our website is not incorporated by reference into this prospectus and, therefore, is not part of this prospectus or any accompanying prospectus supplement.</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SA-30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right="60" w:firstLine="342"/>
        <w:spacing w:after="0" w:line="237"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this prospectus, except as to any portion of any future report or document that is not deemed filed under such provisions, until we sell all of the securities:</w:t>
      </w:r>
    </w:p>
    <w:p>
      <w:pPr>
        <w:spacing w:after="0" w:line="196" w:lineRule="exact"/>
        <w:rPr>
          <w:sz w:val="20"/>
          <w:szCs w:val="20"/>
          <w:color w:val="auto"/>
        </w:rPr>
      </w:pPr>
    </w:p>
    <w:p>
      <w:pPr>
        <w:ind w:left="800" w:hanging="45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26" w:lineRule="exact"/>
        <w:rPr>
          <w:rFonts w:ascii="Arial" w:cs="Arial" w:eastAsia="Arial" w:hAnsi="Arial"/>
          <w:sz w:val="18"/>
          <w:szCs w:val="18"/>
          <w:color w:val="auto"/>
        </w:rPr>
      </w:pPr>
    </w:p>
    <w:p>
      <w:pPr>
        <w:ind w:left="800" w:hanging="454"/>
        <w:spacing w:after="0" w:line="223"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61">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2" w:lineRule="exact"/>
        <w:rPr>
          <w:rFonts w:ascii="Arial" w:cs="Arial" w:eastAsia="Arial" w:hAnsi="Arial"/>
          <w:sz w:val="18"/>
          <w:szCs w:val="18"/>
          <w:color w:val="auto"/>
        </w:rPr>
      </w:pPr>
    </w:p>
    <w:p>
      <w:pPr>
        <w:ind w:left="800" w:hanging="454"/>
        <w:spacing w:after="0" w:line="230"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26" w:lineRule="exact"/>
        <w:rPr>
          <w:rFonts w:ascii="Arial" w:cs="Arial" w:eastAsia="Arial" w:hAnsi="Arial"/>
          <w:sz w:val="18"/>
          <w:szCs w:val="18"/>
          <w:color w:val="auto"/>
        </w:rPr>
      </w:pPr>
    </w:p>
    <w:p>
      <w:pPr>
        <w:ind w:left="800" w:right="260" w:hanging="454"/>
        <w:spacing w:after="0" w:line="223" w:lineRule="auto"/>
        <w:tabs>
          <w:tab w:leader="none" w:pos="800" w:val="left"/>
        </w:tabs>
        <w:numPr>
          <w:ilvl w:val="0"/>
          <w:numId w:val="50"/>
        </w:numPr>
        <w:rPr>
          <w:rFonts w:ascii="Arial" w:cs="Arial" w:eastAsia="Arial" w:hAnsi="Arial"/>
          <w:sz w:val="18"/>
          <w:szCs w:val="18"/>
          <w:color w:val="000000"/>
        </w:rPr>
      </w:pPr>
      <w:r>
        <w:rPr>
          <w:rFonts w:ascii="Arial" w:cs="Arial" w:eastAsia="Arial" w:hAnsi="Arial"/>
          <w:sz w:val="18"/>
          <w:szCs w:val="18"/>
          <w:color w:val="auto"/>
        </w:rPr>
        <w:t xml:space="preserve">our Current Report on Form 8-K filed with the SEC on </w:t>
      </w:r>
      <w:hyperlink r:id="rId63">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our Current Report on Form 8-K/A filed with the SEC on </w:t>
      </w:r>
      <w:hyperlink r:id="rId64">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 Current Reports on Form 8-K filed with the SEC on</w:t>
      </w:r>
      <w:r>
        <w:rPr>
          <w:rFonts w:ascii="Arial" w:cs="Arial" w:eastAsia="Arial" w:hAnsi="Arial"/>
          <w:sz w:val="18"/>
          <w:szCs w:val="18"/>
          <w:color w:val="0000EE"/>
        </w:rPr>
        <w:t xml:space="preserve"> </w:t>
      </w:r>
      <w:hyperlink r:id="rId65">
        <w:r>
          <w:rPr>
            <w:rFonts w:ascii="Arial" w:cs="Arial" w:eastAsia="Arial" w:hAnsi="Arial"/>
            <w:sz w:val="18"/>
            <w:szCs w:val="18"/>
            <w:u w:val="single" w:color="auto"/>
            <w:color w:val="0000EE"/>
          </w:rPr>
          <w:t>January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6">
        <w:r>
          <w:rPr>
            <w:rFonts w:ascii="Arial" w:cs="Arial" w:eastAsia="Arial" w:hAnsi="Arial"/>
            <w:sz w:val="18"/>
            <w:szCs w:val="18"/>
            <w:u w:val="single" w:color="auto"/>
            <w:color w:val="0000EE"/>
          </w:rPr>
          <w:t>February 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April 29, 2019</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and </w:t>
      </w:r>
      <w:hyperlink r:id="rId68">
        <w:r>
          <w:rPr>
            <w:rFonts w:ascii="Arial" w:cs="Arial" w:eastAsia="Arial" w:hAnsi="Arial"/>
            <w:sz w:val="18"/>
            <w:szCs w:val="18"/>
            <w:u w:val="single" w:color="auto"/>
            <w:color w:val="0000EE"/>
          </w:rPr>
          <w:t>June 12, 2019</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(in each case, except for information contained therein which is furnished rather than filed); and</w:t>
      </w:r>
    </w:p>
    <w:p>
      <w:pPr>
        <w:spacing w:after="0" w:line="28" w:lineRule="exact"/>
        <w:rPr>
          <w:rFonts w:ascii="Arial" w:cs="Arial" w:eastAsia="Arial" w:hAnsi="Arial"/>
          <w:sz w:val="18"/>
          <w:szCs w:val="18"/>
          <w:color w:val="000000"/>
        </w:rPr>
      </w:pPr>
    </w:p>
    <w:p>
      <w:pPr>
        <w:ind w:left="800" w:right="580" w:hanging="454"/>
        <w:spacing w:after="0" w:line="21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203" w:lineRule="exact"/>
        <w:rPr>
          <w:rFonts w:ascii="Arial" w:cs="Arial" w:eastAsia="Arial" w:hAnsi="Arial"/>
          <w:sz w:val="18"/>
          <w:szCs w:val="18"/>
          <w:color w:val="0000EE"/>
        </w:rPr>
      </w:pPr>
    </w:p>
    <w:p>
      <w:pPr>
        <w:ind w:right="200" w:firstLine="342"/>
        <w:spacing w:after="0" w:line="246" w:lineRule="auto"/>
        <w:rPr>
          <w:sz w:val="20"/>
          <w:szCs w:val="20"/>
          <w:color w:val="auto"/>
        </w:rPr>
      </w:pPr>
      <w:r>
        <w:rPr>
          <w:rFonts w:ascii="Arial" w:cs="Arial" w:eastAsia="Arial" w:hAnsi="Arial"/>
          <w:sz w:val="18"/>
          <w:szCs w:val="18"/>
          <w:color w:val="auto"/>
        </w:rPr>
        <w:t>We incorporate by reference any future filings made with the SEC under Sections 13(a), 13(c), 14 or 15(d) of the Exchange Act between the date of this prospectus and the termination of the offering.</w:t>
      </w:r>
    </w:p>
    <w:p>
      <w:pPr>
        <w:spacing w:after="0" w:line="197" w:lineRule="exact"/>
        <w:rPr>
          <w:rFonts w:ascii="Arial" w:cs="Arial" w:eastAsia="Arial" w:hAnsi="Arial"/>
          <w:sz w:val="18"/>
          <w:szCs w:val="18"/>
          <w:color w:val="0000EE"/>
        </w:rPr>
      </w:pPr>
    </w:p>
    <w:p>
      <w:pPr>
        <w:ind w:right="60" w:firstLine="342"/>
        <w:spacing w:after="0"/>
        <w:rPr>
          <w:sz w:val="20"/>
          <w:szCs w:val="20"/>
          <w:color w:val="auto"/>
        </w:rPr>
      </w:pPr>
      <w:r>
        <w:rPr>
          <w:rFonts w:ascii="Arial" w:cs="Arial" w:eastAsia="Arial" w:hAnsi="Arial"/>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203" w:lineRule="exact"/>
        <w:rPr>
          <w:rFonts w:ascii="Arial" w:cs="Arial" w:eastAsia="Arial" w:hAnsi="Arial"/>
          <w:sz w:val="18"/>
          <w:szCs w:val="18"/>
          <w:color w:val="0000EE"/>
        </w:rPr>
      </w:pPr>
    </w:p>
    <w:p>
      <w:pPr>
        <w:ind w:right="80" w:firstLine="342"/>
        <w:spacing w:after="0" w:line="237" w:lineRule="auto"/>
        <w:rPr>
          <w:sz w:val="20"/>
          <w:szCs w:val="20"/>
          <w:color w:val="auto"/>
        </w:rPr>
      </w:pPr>
      <w:r>
        <w:rPr>
          <w:rFonts w:ascii="Arial" w:cs="Arial" w:eastAsia="Arial" w:hAnsi="Arial"/>
          <w:sz w:val="18"/>
          <w:szCs w:val="18"/>
          <w:color w:val="auto"/>
        </w:rPr>
        <w:t>Any statement contained in a document that is incorporated by reference will be modified or superseded for all purposes to the extent that a statement contained in this prospectus, or in any other document that is subsequently filed with the SEC and incorporated by reference into this prospectus, modifies or is contrary to that previous statement. Any statement so modified or superseded will not be deemed a part of this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in any documents previously incorporated by reference have been modified or superseded.</w:t>
      </w:r>
    </w:p>
    <w:p>
      <w:pPr>
        <w:spacing w:after="0" w:line="205" w:lineRule="exact"/>
        <w:rPr>
          <w:rFonts w:ascii="Arial" w:cs="Arial" w:eastAsia="Arial" w:hAnsi="Arial"/>
          <w:sz w:val="18"/>
          <w:szCs w:val="18"/>
          <w:color w:val="0000EE"/>
        </w:rPr>
      </w:pPr>
    </w:p>
    <w:p>
      <w:pPr>
        <w:ind w:right="60" w:firstLine="342"/>
        <w:spacing w:after="0" w:line="238"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135"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SA-31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342"/>
        <w:spacing w:after="0" w:line="246"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97" w:lineRule="exact"/>
        <w:rPr>
          <w:sz w:val="20"/>
          <w:szCs w:val="20"/>
          <w:color w:val="auto"/>
        </w:rPr>
      </w:pPr>
    </w:p>
    <w:p>
      <w:pPr>
        <w:jc w:val="both"/>
        <w:ind w:right="200" w:firstLine="342"/>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SA-32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439"/>
        <w:spacing w:after="0"/>
        <w:rPr>
          <w:sz w:val="20"/>
          <w:szCs w:val="20"/>
          <w:color w:val="auto"/>
        </w:rPr>
      </w:pPr>
      <w:r>
        <w:rPr>
          <w:rFonts w:ascii="Arial" w:cs="Arial" w:eastAsia="Arial" w:hAnsi="Arial"/>
          <w:sz w:val="25"/>
          <w:szCs w:val="25"/>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25400</wp:posOffset>
            </wp:positionV>
            <wp:extent cx="2195195" cy="557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21951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29"/>
          <w:szCs w:val="29"/>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250825</wp:posOffset>
            </wp:positionV>
            <wp:extent cx="18783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expenses payable by AVROBIO, Inc. (the “Registrant” or the “Company”) in connection with the issuance and distribution of the securities being registered (other than underwriting discounts and commissions, if any) are set forth below. Each item listed is estimated, except for the Securities and Exchange Commission (the “SEC”) registration fee.</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24,240</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FINRA filing fee</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30,500</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Transfer agent and trustee fees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4"/>
        </w:trPr>
        <w:tc>
          <w:tcPr>
            <w:tcW w:w="6300" w:type="dxa"/>
            <w:vAlign w:val="bottom"/>
            <w:gridSpan w:val="2"/>
          </w:tcPr>
          <w:p>
            <w:pPr>
              <w:ind w:left="178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337"/>
        </w:trPr>
        <w:tc>
          <w:tcPr>
            <w:tcW w:w="6300" w:type="dxa"/>
            <w:vAlign w:val="bottom"/>
            <w:gridSpan w:val="2"/>
          </w:tcPr>
          <w:p>
            <w:pPr>
              <w:spacing w:after="0"/>
              <w:rPr>
                <w:sz w:val="20"/>
                <w:szCs w:val="20"/>
                <w:color w:val="auto"/>
              </w:rPr>
            </w:pPr>
            <w:r>
              <w:rPr>
                <w:rFonts w:ascii="Arial" w:cs="Arial" w:eastAsia="Arial" w:hAnsi="Arial"/>
                <w:sz w:val="18"/>
                <w:szCs w:val="18"/>
                <w:color w:val="auto"/>
              </w:rPr>
              <w:t>*  Estimated expenses not presently known</w:t>
            </w: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7" w:lineRule="exact"/>
        <w:rPr>
          <w:sz w:val="20"/>
          <w:szCs w:val="20"/>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060" w:right="4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540" w:hanging="316"/>
        <w:spacing w:after="0" w:line="264"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provide that we will indemnify each of our directors and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5"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16"/>
          </w:tcPr>
          <w:p>
            <w:pPr>
              <w:ind w:left="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8"/>
              </w:rPr>
              <w:t>Exhibit</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gridSpan w:val="1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No.</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8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1.1*</w:t>
            </w:r>
          </w:p>
        </w:tc>
        <w:tc>
          <w:tcPr>
            <w:tcW w:w="9740" w:type="dxa"/>
            <w:vAlign w:val="bottom"/>
            <w:gridSpan w:val="22"/>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24"/>
                <w:szCs w:val="24"/>
                <w:color w:val="auto"/>
              </w:rPr>
            </w:pPr>
          </w:p>
        </w:tc>
        <w:tc>
          <w:tcPr>
            <w:tcW w:w="70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Sales Agreement dated July 1, 2019 by and among the Registrant and Cowen and Company, LLC</w:t>
            </w:r>
          </w:p>
        </w:tc>
        <w:tc>
          <w:tcPr>
            <w:tcW w:w="2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8860" w:type="dxa"/>
            <w:vAlign w:val="bottom"/>
            <w:tcBorders>
              <w:bottom w:val="single" w:sz="8" w:color="0000EE"/>
            </w:tcBorders>
            <w:gridSpan w:val="17"/>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Fourth Amended and Restated Certificate of Incorporation of the Registrant, filed as Exhibit 3.3 to the Registrant’s Second</w:t>
              </w:r>
            </w:hyperlink>
          </w:p>
        </w:tc>
        <w:tc>
          <w:tcPr>
            <w:tcW w:w="8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740" w:type="dxa"/>
            <w:vAlign w:val="bottom"/>
            <w:gridSpan w:val="22"/>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Amendment to the Registration Statement on Form S-1 filed on June 11, 2018 (File No. 333-225213) and incorporated herein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1">
              <w:r>
                <w:rPr>
                  <w:rFonts w:ascii="Arial" w:cs="Arial" w:eastAsia="Arial" w:hAnsi="Arial"/>
                  <w:sz w:val="18"/>
                  <w:szCs w:val="18"/>
                  <w:color w:val="0000EE"/>
                  <w:w w:val="86"/>
                </w:rPr>
                <w:t>reference</w:t>
              </w:r>
            </w:hyperlink>
          </w:p>
        </w:tc>
        <w:tc>
          <w:tcPr>
            <w:tcW w:w="8600" w:type="dxa"/>
            <w:vAlign w:val="bottom"/>
            <w:tcBorders>
              <w:top w:val="single" w:sz="8" w:color="0000EE"/>
            </w:tcBorders>
            <w:gridSpan w:val="18"/>
          </w:tcPr>
          <w:p>
            <w:pPr>
              <w:spacing w:after="0"/>
              <w:rPr>
                <w:sz w:val="17"/>
                <w:szCs w:val="17"/>
                <w:color w:val="auto"/>
              </w:rPr>
            </w:pPr>
          </w:p>
        </w:tc>
        <w:tc>
          <w:tcPr>
            <w:tcW w:w="4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4"/>
                <w:szCs w:val="24"/>
                <w:color w:val="auto"/>
              </w:rPr>
            </w:pPr>
          </w:p>
        </w:tc>
        <w:tc>
          <w:tcPr>
            <w:tcW w:w="9740" w:type="dxa"/>
            <w:vAlign w:val="bottom"/>
            <w:tcBorders>
              <w:bottom w:val="single" w:sz="8" w:color="0000EE"/>
            </w:tcBorders>
            <w:gridSpan w:val="22"/>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Amended and Restated By-laws, filed as Exhibit 3.5 to the Registrant’s Second Amendment to the Registration Statement on Form S-1</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740" w:type="dxa"/>
            <w:vAlign w:val="bottom"/>
            <w:gridSpan w:val="2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filed on June 11, 2018 (File No. 333-225213) and incorporated herein by reference</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9020" w:type="dxa"/>
            <w:vAlign w:val="bottom"/>
            <w:tcBorders>
              <w:bottom w:val="single" w:sz="8" w:color="0000EE"/>
            </w:tcBorders>
            <w:gridSpan w:val="18"/>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Form of Specimen Common Stock Certificate, filed as Exhibit 4.1 to the Registrant’s Second Amendment to the Registration</w:t>
              </w:r>
            </w:hyperlink>
          </w:p>
        </w:tc>
        <w:tc>
          <w:tcPr>
            <w:tcW w:w="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740" w:type="dxa"/>
            <w:vAlign w:val="bottom"/>
            <w:gridSpan w:val="22"/>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Statement on Form S-1 filed on June 11, 2018 (File No. 333-225213) and incorporated herein by reference</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80" w:type="dxa"/>
            <w:vAlign w:val="bottom"/>
          </w:tcPr>
          <w:p>
            <w:pPr>
              <w:spacing w:after="0"/>
              <w:rPr>
                <w:sz w:val="24"/>
                <w:szCs w:val="24"/>
                <w:color w:val="auto"/>
              </w:rPr>
            </w:pPr>
          </w:p>
        </w:tc>
        <w:tc>
          <w:tcPr>
            <w:tcW w:w="9480" w:type="dxa"/>
            <w:vAlign w:val="bottom"/>
            <w:tcBorders>
              <w:bottom w:val="single" w:sz="8" w:color="0000EE"/>
            </w:tcBorders>
            <w:gridSpan w:val="20"/>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Second Amended and Restated Investors’ Rights Agreement among the Registrant and certain of its stockholders, dated January 9,</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5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2018, filed as Exhibit 4.2 to the Registrant’s Registration Statement on Form S-1 filed on May 25, 2018 (File No. 333-225213) and</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incorporated herein by reference</w:t>
              </w:r>
            </w:hyperlink>
          </w:p>
        </w:tc>
        <w:tc>
          <w:tcPr>
            <w:tcW w:w="7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4"/>
                <w:szCs w:val="24"/>
                <w:color w:val="auto"/>
              </w:rPr>
            </w:pPr>
          </w:p>
        </w:tc>
        <w:tc>
          <w:tcPr>
            <w:tcW w:w="63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Form of Senior Indenture between the Registrant and one or more trustees to be named.</w:t>
            </w:r>
          </w:p>
        </w:tc>
        <w:tc>
          <w:tcPr>
            <w:tcW w:w="3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9740" w:type="dxa"/>
            <w:vAlign w:val="bottom"/>
            <w:gridSpan w:val="22"/>
          </w:tcPr>
          <w:p>
            <w:pPr>
              <w:spacing w:after="0"/>
              <w:rPr>
                <w:sz w:val="20"/>
                <w:szCs w:val="20"/>
                <w:color w:val="auto"/>
              </w:rPr>
            </w:pPr>
            <w:r>
              <w:rPr>
                <w:rFonts w:ascii="Arial" w:cs="Arial" w:eastAsia="Arial" w:hAnsi="Arial"/>
                <w:sz w:val="18"/>
                <w:szCs w:val="18"/>
                <w:color w:val="0000EE"/>
              </w:rPr>
              <w:t>Form of Subordinated Indenture between the Registrant and one or more trustees to be named.</w:t>
            </w:r>
          </w:p>
        </w:tc>
        <w:tc>
          <w:tcPr>
            <w:tcW w:w="0" w:type="dxa"/>
            <w:vAlign w:val="bottom"/>
          </w:tcPr>
          <w:p>
            <w:pPr>
              <w:spacing w:after="0"/>
              <w:rPr>
                <w:sz w:val="1"/>
                <w:szCs w:val="1"/>
                <w:color w:val="auto"/>
              </w:rPr>
            </w:pPr>
          </w:p>
        </w:tc>
      </w:tr>
      <w:tr>
        <w:trPr>
          <w:trHeight w:val="345"/>
        </w:trPr>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4.5*</w:t>
            </w:r>
          </w:p>
        </w:tc>
        <w:tc>
          <w:tcPr>
            <w:tcW w:w="680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Form of Certificate of Designations</w:t>
            </w:r>
          </w:p>
        </w:tc>
        <w:tc>
          <w:tcPr>
            <w:tcW w:w="29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4.6*</w:t>
            </w:r>
          </w:p>
        </w:tc>
        <w:tc>
          <w:tcPr>
            <w:tcW w:w="9740" w:type="dxa"/>
            <w:vAlign w:val="bottom"/>
            <w:gridSpan w:val="22"/>
          </w:tcPr>
          <w:p>
            <w:pPr>
              <w:spacing w:after="0"/>
              <w:rPr>
                <w:sz w:val="20"/>
                <w:szCs w:val="20"/>
                <w:color w:val="auto"/>
              </w:rPr>
            </w:pPr>
            <w:r>
              <w:rPr>
                <w:rFonts w:ascii="Arial" w:cs="Arial" w:eastAsia="Arial" w:hAnsi="Arial"/>
                <w:sz w:val="18"/>
                <w:szCs w:val="18"/>
                <w:color w:val="auto"/>
              </w:rPr>
              <w:t>Form of Warrant Agreements</w:t>
            </w:r>
          </w:p>
        </w:tc>
        <w:tc>
          <w:tcPr>
            <w:tcW w:w="0" w:type="dxa"/>
            <w:vAlign w:val="bottom"/>
          </w:tcPr>
          <w:p>
            <w:pPr>
              <w:spacing w:after="0"/>
              <w:rPr>
                <w:sz w:val="1"/>
                <w:szCs w:val="1"/>
                <w:color w:val="auto"/>
              </w:rPr>
            </w:pPr>
          </w:p>
        </w:tc>
      </w:tr>
      <w:tr>
        <w:trPr>
          <w:trHeight w:val="324"/>
        </w:trPr>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4.7*</w:t>
            </w:r>
          </w:p>
        </w:tc>
        <w:tc>
          <w:tcPr>
            <w:tcW w:w="9740" w:type="dxa"/>
            <w:vAlign w:val="bottom"/>
            <w:gridSpan w:val="22"/>
          </w:tcPr>
          <w:p>
            <w:pPr>
              <w:spacing w:after="0"/>
              <w:rPr>
                <w:sz w:val="20"/>
                <w:szCs w:val="20"/>
                <w:color w:val="auto"/>
              </w:rPr>
            </w:pPr>
            <w:r>
              <w:rPr>
                <w:rFonts w:ascii="Arial" w:cs="Arial" w:eastAsia="Arial" w:hAnsi="Arial"/>
                <w:sz w:val="18"/>
                <w:szCs w:val="18"/>
                <w:color w:val="auto"/>
              </w:rPr>
              <w:t>Form of Unit Agreement and Unit Certificate</w:t>
            </w:r>
          </w:p>
        </w:tc>
        <w:tc>
          <w:tcPr>
            <w:tcW w:w="0" w:type="dxa"/>
            <w:vAlign w:val="bottom"/>
          </w:tcPr>
          <w:p>
            <w:pPr>
              <w:spacing w:after="0"/>
              <w:rPr>
                <w:sz w:val="1"/>
                <w:szCs w:val="1"/>
                <w:color w:val="auto"/>
              </w:rPr>
            </w:pPr>
          </w:p>
        </w:tc>
      </w:tr>
      <w:tr>
        <w:trPr>
          <w:trHeight w:val="324"/>
        </w:trPr>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4.8*</w:t>
            </w:r>
          </w:p>
        </w:tc>
        <w:tc>
          <w:tcPr>
            <w:tcW w:w="9740" w:type="dxa"/>
            <w:vAlign w:val="bottom"/>
            <w:gridSpan w:val="22"/>
          </w:tcPr>
          <w:p>
            <w:pPr>
              <w:spacing w:after="0"/>
              <w:rPr>
                <w:sz w:val="20"/>
                <w:szCs w:val="20"/>
                <w:color w:val="auto"/>
              </w:rPr>
            </w:pPr>
            <w:r>
              <w:rPr>
                <w:rFonts w:ascii="Arial" w:cs="Arial" w:eastAsia="Arial" w:hAnsi="Arial"/>
                <w:sz w:val="18"/>
                <w:szCs w:val="18"/>
                <w:color w:val="auto"/>
              </w:rPr>
              <w:t>Form of Preferred Stock Certificate</w:t>
            </w:r>
          </w:p>
        </w:tc>
        <w:tc>
          <w:tcPr>
            <w:tcW w:w="0" w:type="dxa"/>
            <w:vAlign w:val="bottom"/>
          </w:tcPr>
          <w:p>
            <w:pPr>
              <w:spacing w:after="0"/>
              <w:rPr>
                <w:sz w:val="1"/>
                <w:szCs w:val="1"/>
                <w:color w:val="auto"/>
              </w:rPr>
            </w:pPr>
          </w:p>
        </w:tc>
      </w:tr>
      <w:tr>
        <w:trPr>
          <w:trHeight w:val="28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80" w:type="dxa"/>
            <w:vAlign w:val="bottom"/>
          </w:tcPr>
          <w:p>
            <w:pPr>
              <w:spacing w:after="0"/>
              <w:rPr>
                <w:sz w:val="24"/>
                <w:szCs w:val="24"/>
                <w:color w:val="auto"/>
              </w:rPr>
            </w:pPr>
          </w:p>
        </w:tc>
        <w:tc>
          <w:tcPr>
            <w:tcW w:w="9740" w:type="dxa"/>
            <w:vAlign w:val="bottom"/>
            <w:gridSpan w:val="22"/>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31">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80" w:type="dxa"/>
            <w:vAlign w:val="bottom"/>
          </w:tcPr>
          <w:p>
            <w:pPr>
              <w:spacing w:after="0"/>
              <w:rPr>
                <w:sz w:val="24"/>
                <w:szCs w:val="24"/>
                <w:color w:val="auto"/>
              </w:rPr>
            </w:pPr>
          </w:p>
        </w:tc>
        <w:tc>
          <w:tcPr>
            <w:tcW w:w="2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Opinion of Goodwin Procter LLP</w:t>
            </w:r>
          </w:p>
        </w:tc>
        <w:tc>
          <w:tcPr>
            <w:tcW w:w="73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880" w:type="dxa"/>
            <w:vAlign w:val="bottom"/>
          </w:tcPr>
          <w:p>
            <w:pPr>
              <w:spacing w:after="0"/>
              <w:rPr>
                <w:sz w:val="24"/>
                <w:szCs w:val="24"/>
                <w:color w:val="auto"/>
              </w:rPr>
            </w:pPr>
          </w:p>
        </w:tc>
        <w:tc>
          <w:tcPr>
            <w:tcW w:w="9740" w:type="dxa"/>
            <w:vAlign w:val="bottom"/>
            <w:gridSpan w:val="22"/>
          </w:tcPr>
          <w:p>
            <w:pPr>
              <w:spacing w:after="0"/>
              <w:rPr>
                <w:sz w:val="20"/>
                <w:szCs w:val="20"/>
                <w:color w:val="auto"/>
              </w:rPr>
            </w:pPr>
            <w:r>
              <w:rPr>
                <w:rFonts w:ascii="Arial" w:cs="Arial" w:eastAsia="Arial" w:hAnsi="Arial"/>
                <w:sz w:val="18"/>
                <w:szCs w:val="18"/>
                <w:color w:val="0000EE"/>
              </w:rPr>
              <w:t>Opinion of Goodwin Procter LLP relating to the sales agreement prospectus</w:t>
            </w: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880" w:type="dxa"/>
            <w:vAlign w:val="bottom"/>
          </w:tcPr>
          <w:p>
            <w:pPr>
              <w:spacing w:after="0"/>
              <w:rPr>
                <w:sz w:val="24"/>
                <w:szCs w:val="24"/>
                <w:color w:val="auto"/>
              </w:rPr>
            </w:pPr>
          </w:p>
        </w:tc>
        <w:tc>
          <w:tcPr>
            <w:tcW w:w="54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Consent of Ernst &amp; Young LLP</w:t>
            </w:r>
          </w:p>
        </w:tc>
        <w:tc>
          <w:tcPr>
            <w:tcW w:w="4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tcBorders>
              <w:right w:val="single" w:sz="8" w:color="0000EE"/>
            </w:tcBorders>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23.2</w:t>
            </w:r>
          </w:p>
        </w:tc>
        <w:tc>
          <w:tcPr>
            <w:tcW w:w="880" w:type="dxa"/>
            <w:vAlign w:val="bottom"/>
          </w:tcPr>
          <w:p>
            <w:pPr>
              <w:spacing w:after="0"/>
              <w:rPr>
                <w:sz w:val="24"/>
                <w:szCs w:val="24"/>
                <w:color w:val="auto"/>
              </w:rPr>
            </w:pPr>
          </w:p>
        </w:tc>
        <w:tc>
          <w:tcPr>
            <w:tcW w:w="42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3"/>
              </w:rPr>
              <w:t>Consent of Goodwin Procter LLP (included in Exhibit 5.1)</w:t>
            </w:r>
          </w:p>
        </w:tc>
        <w:tc>
          <w:tcPr>
            <w:tcW w:w="54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23.3</w:t>
            </w:r>
          </w:p>
        </w:tc>
        <w:tc>
          <w:tcPr>
            <w:tcW w:w="880" w:type="dxa"/>
            <w:vAlign w:val="bottom"/>
          </w:tcPr>
          <w:p>
            <w:pPr>
              <w:spacing w:after="0"/>
              <w:rPr>
                <w:sz w:val="24"/>
                <w:szCs w:val="24"/>
                <w:color w:val="auto"/>
              </w:rPr>
            </w:pPr>
          </w:p>
        </w:tc>
        <w:tc>
          <w:tcPr>
            <w:tcW w:w="42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3"/>
              </w:rPr>
              <w:t>Consent of Goodwin Procter LLP (included in Exhibit 5.2)</w:t>
            </w:r>
          </w:p>
        </w:tc>
        <w:tc>
          <w:tcPr>
            <w:tcW w:w="54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gridSpan w:val="2"/>
          </w:tcPr>
          <w:p>
            <w:pPr>
              <w:jc w:val="right"/>
              <w:spacing w:after="0"/>
              <w:rPr>
                <w:sz w:val="20"/>
                <w:szCs w:val="20"/>
                <w:color w:val="auto"/>
              </w:rPr>
            </w:pPr>
            <w:r>
              <w:rPr>
                <w:rFonts w:ascii="Arial" w:cs="Arial" w:eastAsia="Arial" w:hAnsi="Arial"/>
                <w:sz w:val="18"/>
                <w:szCs w:val="18"/>
                <w:color w:val="auto"/>
                <w:w w:val="85"/>
              </w:rPr>
              <w:t>24.1</w:t>
            </w:r>
          </w:p>
        </w:tc>
        <w:tc>
          <w:tcPr>
            <w:tcW w:w="880" w:type="dxa"/>
            <w:vAlign w:val="bottom"/>
          </w:tcPr>
          <w:p>
            <w:pPr>
              <w:spacing w:after="0"/>
              <w:rPr>
                <w:sz w:val="24"/>
                <w:szCs w:val="24"/>
                <w:color w:val="auto"/>
              </w:rPr>
            </w:pPr>
          </w:p>
        </w:tc>
        <w:tc>
          <w:tcPr>
            <w:tcW w:w="58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Power of Attorney (included on the signature page to this registration statement)</w:t>
              </w:r>
            </w:hyperlink>
          </w:p>
        </w:tc>
        <w:tc>
          <w:tcPr>
            <w:tcW w:w="39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40" w:type="dxa"/>
            <w:vAlign w:val="bottom"/>
            <w:gridSpan w:val="3"/>
          </w:tcPr>
          <w:p>
            <w:pPr>
              <w:jc w:val="right"/>
              <w:ind w:right="740"/>
              <w:spacing w:after="0"/>
              <w:rPr>
                <w:sz w:val="20"/>
                <w:szCs w:val="20"/>
                <w:color w:val="auto"/>
              </w:rPr>
            </w:pPr>
            <w:r>
              <w:rPr>
                <w:rFonts w:ascii="Arial" w:cs="Arial" w:eastAsia="Arial" w:hAnsi="Arial"/>
                <w:sz w:val="18"/>
                <w:szCs w:val="18"/>
                <w:color w:val="auto"/>
                <w:w w:val="97"/>
              </w:rPr>
              <w:t>25.1**</w:t>
            </w:r>
          </w:p>
        </w:tc>
        <w:tc>
          <w:tcPr>
            <w:tcW w:w="9740" w:type="dxa"/>
            <w:vAlign w:val="bottom"/>
            <w:gridSpan w:val="22"/>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c>
          <w:tcPr>
            <w:tcW w:w="0" w:type="dxa"/>
            <w:vAlign w:val="bottom"/>
          </w:tcPr>
          <w:p>
            <w:pPr>
              <w:spacing w:after="0"/>
              <w:rPr>
                <w:sz w:val="1"/>
                <w:szCs w:val="1"/>
                <w:color w:val="auto"/>
              </w:rPr>
            </w:pPr>
          </w:p>
        </w:tc>
      </w:tr>
      <w:tr>
        <w:trPr>
          <w:trHeight w:val="324"/>
        </w:trPr>
        <w:tc>
          <w:tcPr>
            <w:tcW w:w="1240" w:type="dxa"/>
            <w:vAlign w:val="bottom"/>
            <w:gridSpan w:val="3"/>
          </w:tcPr>
          <w:p>
            <w:pPr>
              <w:jc w:val="right"/>
              <w:ind w:right="740"/>
              <w:spacing w:after="0"/>
              <w:rPr>
                <w:sz w:val="20"/>
                <w:szCs w:val="20"/>
                <w:color w:val="auto"/>
              </w:rPr>
            </w:pPr>
            <w:r>
              <w:rPr>
                <w:rFonts w:ascii="Arial" w:cs="Arial" w:eastAsia="Arial" w:hAnsi="Arial"/>
                <w:sz w:val="18"/>
                <w:szCs w:val="18"/>
                <w:color w:val="auto"/>
                <w:w w:val="97"/>
              </w:rPr>
              <w:t>25.2**</w:t>
            </w:r>
          </w:p>
        </w:tc>
        <w:tc>
          <w:tcPr>
            <w:tcW w:w="9740" w:type="dxa"/>
            <w:vAlign w:val="bottom"/>
            <w:gridSpan w:val="22"/>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520" w:hanging="436"/>
        <w:spacing w:after="0" w:line="258"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 w:lineRule="exact"/>
        <w:rPr>
          <w:sz w:val="20"/>
          <w:szCs w:val="20"/>
          <w:color w:val="auto"/>
        </w:rPr>
      </w:pPr>
    </w:p>
    <w:p>
      <w:pPr>
        <w:ind w:left="5580" w:right="3920" w:hanging="5376"/>
        <w:spacing w:after="0" w:line="433" w:lineRule="auto"/>
        <w:tabs>
          <w:tab w:leader="none" w:pos="6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be filed by amendment pursuant to Section 305(b)(2) of the Trust Indenture Act of 1939. II-3</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60" w:hanging="256"/>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200" w:right="180" w:firstLine="4"/>
        <w:spacing w:after="0" w:line="255" w:lineRule="auto"/>
        <w:tabs>
          <w:tab w:leader="none" w:pos="4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200" w:right="240" w:firstLine="4"/>
        <w:spacing w:after="0" w:line="297" w:lineRule="auto"/>
        <w:tabs>
          <w:tab w:leader="none" w:pos="5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(l)(i), (l)(ii) and (l)(iii)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8" w:lineRule="exact"/>
        <w:rPr>
          <w:sz w:val="20"/>
          <w:szCs w:val="20"/>
          <w:color w:val="auto"/>
        </w:rPr>
      </w:pPr>
    </w:p>
    <w:p>
      <w:pPr>
        <w:ind w:left="200" w:right="60" w:firstLine="4"/>
        <w:spacing w:after="0" w:line="264" w:lineRule="auto"/>
        <w:tabs>
          <w:tab w:leader="none" w:pos="4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200" w:right="20" w:firstLine="4"/>
        <w:spacing w:after="0" w:line="277" w:lineRule="auto"/>
        <w:tabs>
          <w:tab w:leader="none" w:pos="4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60" w:hanging="256"/>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sz w:val="20"/>
          <w:szCs w:val="20"/>
          <w:color w:val="auto"/>
        </w:rPr>
      </w:pPr>
    </w:p>
    <w:p>
      <w:pPr>
        <w:ind w:left="200" w:right="440" w:firstLine="4"/>
        <w:spacing w:after="0" w:line="277" w:lineRule="auto"/>
        <w:tabs>
          <w:tab w:leader="none" w:pos="4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200" w:firstLine="4"/>
        <w:spacing w:after="0" w:line="269" w:lineRule="auto"/>
        <w:tabs>
          <w:tab w:leader="none" w:pos="4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
        <w:spacing w:after="0" w:line="257" w:lineRule="auto"/>
        <w:tabs>
          <w:tab w:leader="none" w:pos="4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420" w:hanging="216"/>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200" w:right="140" w:firstLine="4"/>
        <w:spacing w:after="0" w:line="277" w:lineRule="auto"/>
        <w:tabs>
          <w:tab w:leader="none" w:pos="4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200" w:right="440" w:firstLine="4"/>
        <w:spacing w:after="0" w:line="277" w:lineRule="auto"/>
        <w:tabs>
          <w:tab w:leader="none" w:pos="5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500" w:hanging="296"/>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200" w:firstLine="4"/>
        <w:spacing w:after="0" w:line="257" w:lineRule="auto"/>
        <w:tabs>
          <w:tab w:leader="none" w:pos="4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200" w:right="60" w:firstLine="4"/>
        <w:spacing w:after="0" w:line="271" w:lineRule="auto"/>
        <w:tabs>
          <w:tab w:leader="none" w:pos="4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jc w:val="both"/>
        <w:ind w:left="200" w:right="80" w:firstLine="4"/>
        <w:spacing w:after="0" w:line="312" w:lineRule="auto"/>
        <w:tabs>
          <w:tab w:leader="none" w:pos="4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46" w:lineRule="exact"/>
        <w:rPr>
          <w:rFonts w:ascii="Arial" w:cs="Arial" w:eastAsia="Arial" w:hAnsi="Arial"/>
          <w:sz w:val="16"/>
          <w:szCs w:val="16"/>
          <w:color w:val="auto"/>
        </w:rPr>
      </w:pPr>
    </w:p>
    <w:p>
      <w:pPr>
        <w:ind w:left="200" w:firstLine="4"/>
        <w:spacing w:after="0" w:line="264" w:lineRule="auto"/>
        <w:tabs>
          <w:tab w:leader="none" w:pos="4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and</w:t>
      </w:r>
    </w:p>
    <w:p>
      <w:pPr>
        <w:spacing w:after="0" w:line="181" w:lineRule="exact"/>
        <w:rPr>
          <w:rFonts w:ascii="Arial" w:cs="Arial" w:eastAsia="Arial" w:hAnsi="Arial"/>
          <w:sz w:val="18"/>
          <w:szCs w:val="18"/>
          <w:color w:val="auto"/>
        </w:rPr>
      </w:pPr>
    </w:p>
    <w:p>
      <w:pPr>
        <w:jc w:val="both"/>
        <w:ind w:left="200" w:right="220" w:firstLine="4"/>
        <w:spacing w:after="0" w:line="264" w:lineRule="auto"/>
        <w:tabs>
          <w:tab w:leader="none" w:pos="5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200" w:right="60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the 1st day of July, 2019.</w:t>
      </w:r>
    </w:p>
    <w:p>
      <w:pPr>
        <w:spacing w:after="0" w:line="1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20"/>
        <w:spacing w:after="0"/>
        <w:tabs>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jc w:val="center"/>
        <w:ind w:left="69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jc w:val="center"/>
        <w:ind w:left="6980"/>
        <w:spacing w:after="0"/>
        <w:rPr>
          <w:sz w:val="20"/>
          <w:szCs w:val="20"/>
          <w:color w:val="auto"/>
        </w:rPr>
      </w:pPr>
      <w:r>
        <w:rPr>
          <w:rFonts w:ascii="Arial" w:cs="Arial" w:eastAsia="Arial" w:hAnsi="Arial"/>
          <w:sz w:val="18"/>
          <w:szCs w:val="18"/>
          <w:i w:val="1"/>
          <w:iCs w:val="1"/>
          <w:color w:val="auto"/>
        </w:rPr>
        <w:t>Executive Officer</w:t>
      </w:r>
    </w:p>
    <w:p>
      <w:pPr>
        <w:spacing w:after="0" w:line="21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KNOW ALL BY THESE PRESENTS, that each person whose signature appears below hereby severally constitutes and appoints each of Geoff MacKay and Erik Ostrowski and each of them singly, as such person’s true and lawful attorneys-in-fact and agents,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42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rPr>
              <w:t>DATE</w:t>
            </w:r>
          </w:p>
        </w:tc>
      </w:tr>
      <w:tr>
        <w:trPr>
          <w:trHeight w:val="20"/>
        </w:trPr>
        <w:tc>
          <w:tcPr>
            <w:tcW w:w="2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Geoff MacKay</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President, Chief Executive Officer, and</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Geoff MacKay</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Erik Ostrowski</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Erik Ostrowski</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and Accounting Officer</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Bruce Booth</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Directors</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Bruce Booth, D.Phil.</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Ian T. Clark</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Ian T. Clark</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Phillip B. Donenberg</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Phillip B. Donenberg</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Annalisa Jenkins</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Annalisa Jenkins, M.B.B.S., F.R.C.P</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Christopher Paige</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Christopher Paige, Ph.D.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31"/>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Philip J. Vickers</w:t>
            </w:r>
          </w:p>
        </w:tc>
        <w:tc>
          <w:tcPr>
            <w:tcW w:w="412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color w:val="auto"/>
                <w:w w:val="90"/>
              </w:rPr>
              <w:t>July 1, 2019</w:t>
            </w:r>
          </w:p>
        </w:tc>
      </w:tr>
      <w:tr>
        <w:trPr>
          <w:trHeight w:val="224"/>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Philip J. Vickers, Ph.D.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ectPr>
          <w:pgSz w:w="11900" w:h="16838" w:orient="portrait"/>
          <w:cols w:equalWidth="0" w:num="1">
            <w:col w:w="11200"/>
          </w:cols>
          <w:pgMar w:left="240" w:top="459" w:right="4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July 1,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AVROBIO,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Cowen and Company, LLC (“</w:t>
      </w:r>
      <w:r>
        <w:rPr>
          <w:rFonts w:ascii="Arial" w:cs="Arial" w:eastAsia="Arial" w:hAnsi="Arial"/>
          <w:sz w:val="18"/>
          <w:szCs w:val="18"/>
          <w:b w:val="1"/>
          <w:bCs w:val="1"/>
          <w:u w:val="single" w:color="auto"/>
          <w:color w:val="auto"/>
        </w:rPr>
        <w:t>Cowen</w:t>
      </w:r>
      <w:r>
        <w:rPr>
          <w:rFonts w:ascii="Arial" w:cs="Arial" w:eastAsia="Arial" w:hAnsi="Arial"/>
          <w:sz w:val="18"/>
          <w:szCs w:val="18"/>
          <w:color w:val="auto"/>
        </w:rPr>
        <w:t>”), as follows:</w:t>
      </w:r>
    </w:p>
    <w:p>
      <w:pPr>
        <w:spacing w:after="0" w:line="121" w:lineRule="exact"/>
        <w:rPr>
          <w:sz w:val="20"/>
          <w:szCs w:val="20"/>
          <w:color w:val="auto"/>
        </w:rPr>
      </w:pPr>
    </w:p>
    <w:p>
      <w:pPr>
        <w:ind w:right="20" w:firstLine="444"/>
        <w:spacing w:after="0" w:line="290" w:lineRule="auto"/>
        <w:tabs>
          <w:tab w:leader="none" w:pos="62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Cowen, acting as agent and/or principal, shares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of the Company’s common stock, par value $0.0001 per share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xml:space="preserve">”), having an aggregate offering price of up to $50,000,000. Notwithstanding anything to the contrary contained herein, the parties hereto agree that compliance with the limitation set forth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on the number of shares of Common Stock issued and sold under this Agreement shall be the sole responsibility of the Company, and Cowen shall have no obligation in connection with such compliance. The issuance and sale of Common Stock through Cowen will be effected pursuant to the Registration Statement (as defined below) filed by the Company and declared effective by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although nothing in this Agreement shall be construed as requiring the Company to use the Registration Statement (as defined below) to issue the Common Stock.</w:t>
      </w:r>
    </w:p>
    <w:p>
      <w:pPr>
        <w:spacing w:after="0" w:line="58"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The Company has filed, or will file, in accordance with the provisions of the Securities Act of 1933, as amended, and the rules and regulations thereunder (collectively,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with the Commission a registration statement on Form S-3, including a prospectus relating to the Placement Shares (such prospectus, the “</w:t>
      </w:r>
      <w:r>
        <w:rPr>
          <w:rFonts w:ascii="Arial" w:cs="Arial" w:eastAsia="Arial" w:hAnsi="Arial"/>
          <w:sz w:val="16"/>
          <w:szCs w:val="16"/>
          <w:b w:val="1"/>
          <w:bCs w:val="1"/>
          <w:u w:val="single" w:color="auto"/>
          <w:color w:val="auto"/>
        </w:rPr>
        <w:t>Sales Prospectus</w:t>
      </w:r>
      <w:r>
        <w:rPr>
          <w:rFonts w:ascii="Arial" w:cs="Arial" w:eastAsia="Arial" w:hAnsi="Arial"/>
          <w:sz w:val="16"/>
          <w:szCs w:val="16"/>
          <w:color w:val="auto"/>
        </w:rPr>
        <w:t>”),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Company has furnished to Cowen, for use by Cowen, copies of the Sales Prospectus included as part of such registration statement, as supplemented from time to time by any prospectus supplement, relating to the Placement Shares. Except where the context otherwise requires, such registration statement, as amended when it becomes effective,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w:t>
      </w:r>
    </w:p>
    <w:p>
      <w:pPr>
        <w:sectPr>
          <w:pgSz w:w="11900" w:h="16838" w:orient="portrait"/>
          <w:cols w:equalWidth="0" w:num="1">
            <w:col w:w="11020"/>
          </w:cols>
          <w:pgMar w:left="440" w:top="121" w:right="439" w:bottom="1440" w:gutter="0" w:footer="0" w:header="0"/>
        </w:sectPr>
      </w:pPr>
    </w:p>
    <w:bookmarkStart w:id="80" w:name="page81"/>
    <w:bookmarkEnd w:id="8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pursuant to Rule 430B or 462(b) of the Securities Act, is herein called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The Sales Prospectus, including all documents incorporated therein by reference, included in the Registration Statement, as it may be supplemented by one or more additional prospectus supplements, in the form in which such Sales Prospectus or additional prospectus supplements have most recently been filed by the Company with the Commission pursuant to Rule 424(b) under the Securities Act, together with any “issuer free writing prospectus,” as defined in Rule 433 of the Securities Act regulations (“</w:t>
      </w:r>
      <w:r>
        <w:rPr>
          <w:rFonts w:ascii="Arial" w:cs="Arial" w:eastAsia="Arial" w:hAnsi="Arial"/>
          <w:sz w:val="16"/>
          <w:szCs w:val="16"/>
          <w:b w:val="1"/>
          <w:bCs w:val="1"/>
          <w:u w:val="single" w:color="auto"/>
          <w:color w:val="auto"/>
        </w:rPr>
        <w:t>Rule 433</w:t>
      </w:r>
      <w:r>
        <w:rPr>
          <w:rFonts w:ascii="Arial" w:cs="Arial" w:eastAsia="Arial" w:hAnsi="Arial"/>
          <w:sz w:val="16"/>
          <w:szCs w:val="16"/>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61" w:lineRule="exact"/>
        <w:rPr>
          <w:sz w:val="20"/>
          <w:szCs w:val="20"/>
          <w:color w:val="auto"/>
        </w:rPr>
      </w:pPr>
    </w:p>
    <w:p>
      <w:pPr>
        <w:ind w:firstLine="444"/>
        <w:spacing w:after="0" w:line="284" w:lineRule="auto"/>
        <w:tabs>
          <w:tab w:leader="none" w:pos="621"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Placement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Cowen by email notice (or other method mutually agreed to in writing by the parties)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any minimum price below which sales may not be made, a form of which containing such minimum sales parameters necessary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(with a copy to each of the other individuals from the Company listed on such schedule), and shall be addressed to each of the individuals from Cowen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as such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amended from time to time. The Placement Notice shall be effective upon receipt by Cowen unless and until</w:t>
      </w:r>
    </w:p>
    <w:p>
      <w:pPr>
        <w:spacing w:after="0" w:line="5" w:lineRule="exact"/>
        <w:rPr>
          <w:rFonts w:ascii="Arial" w:cs="Arial" w:eastAsia="Arial" w:hAnsi="Arial"/>
          <w:sz w:val="16"/>
          <w:szCs w:val="16"/>
          <w:color w:val="auto"/>
        </w:rPr>
      </w:pPr>
    </w:p>
    <w:p>
      <w:pPr>
        <w:ind w:firstLine="4"/>
        <w:spacing w:after="0" w:line="268" w:lineRule="auto"/>
        <w:tabs>
          <w:tab w:leader="none" w:pos="2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in accordance with the notice requirements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Cowen declines to accept the terms contained therein for any reason, in its sole discretion, (ii) the entire amount of the Placement Shares thereunder have been sold, (iii) in accordance with the notice requirements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The amount of any discount, commission or other compensation to be paid by the Company to Cowen in connection with the sale of the Placement Shares shall be calculated in accordance with the terms set forth in </w:t>
      </w:r>
      <w:r>
        <w:rPr>
          <w:rFonts w:ascii="Arial" w:cs="Arial" w:eastAsia="Arial" w:hAnsi="Arial"/>
          <w:sz w:val="17"/>
          <w:szCs w:val="17"/>
          <w:b w:val="1"/>
          <w:bCs w:val="1"/>
          <w:u w:val="single" w:color="auto"/>
          <w:color w:val="auto"/>
        </w:rPr>
        <w:t>Schedule 3</w:t>
      </w:r>
      <w:r>
        <w:rPr>
          <w:rFonts w:ascii="Arial" w:cs="Arial" w:eastAsia="Arial" w:hAnsi="Arial"/>
          <w:sz w:val="17"/>
          <w:szCs w:val="17"/>
          <w:b w:val="1"/>
          <w:bCs w:val="1"/>
          <w:color w:val="auto"/>
        </w:rPr>
        <w:t>.</w:t>
      </w:r>
      <w:r>
        <w:rPr>
          <w:rFonts w:ascii="Arial" w:cs="Arial" w:eastAsia="Arial" w:hAnsi="Arial"/>
          <w:sz w:val="17"/>
          <w:szCs w:val="17"/>
          <w:color w:val="auto"/>
        </w:rPr>
        <w:t xml:space="preserve"> It is expressly acknowledged and agreed that neither the Company nor Cowen will have any obligation whatsoever with respect to a Placement or any Placement Shares unless and until the Company delivers a Placement Notice to Cowen and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12" w:lineRule="exact"/>
        <w:rPr>
          <w:rFonts w:ascii="Arial" w:cs="Arial" w:eastAsia="Arial" w:hAnsi="Arial"/>
          <w:sz w:val="17"/>
          <w:szCs w:val="17"/>
          <w:color w:val="auto"/>
        </w:rPr>
      </w:pPr>
    </w:p>
    <w:p>
      <w:pPr>
        <w:ind w:left="5460" w:hanging="96"/>
        <w:spacing w:after="0"/>
        <w:tabs>
          <w:tab w:leader="none" w:pos="54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20"/>
          </w:cols>
          <w:pgMar w:left="440" w:top="270" w:right="439" w:bottom="1440" w:gutter="0" w:footer="0" w:header="0"/>
        </w:sectPr>
      </w:pPr>
    </w:p>
    <w:bookmarkStart w:id="81" w:name="page82"/>
    <w:bookmarkEnd w:id="81"/>
    <w:p>
      <w:pPr>
        <w:ind w:left="-4" w:right="20" w:firstLine="444"/>
        <w:spacing w:after="0" w:line="283" w:lineRule="auto"/>
        <w:tabs>
          <w:tab w:leader="none" w:pos="617"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of Placement Shares by Cowen.</w:t>
      </w:r>
      <w:r>
        <w:rPr>
          <w:rFonts w:ascii="Arial" w:cs="Arial" w:eastAsia="Arial" w:hAnsi="Arial"/>
          <w:sz w:val="16"/>
          <w:szCs w:val="16"/>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Cowen, for the period specified in the Placement Notice, will use its commercially reasonable efforts consistent with its normal trading and sales practices and applicable state and federal laws, rules and regulations and the rules of the Nasdaq Stock Market, LLC. (“</w:t>
      </w:r>
      <w:r>
        <w:rPr>
          <w:rFonts w:ascii="Arial" w:cs="Arial" w:eastAsia="Arial" w:hAnsi="Arial"/>
          <w:sz w:val="16"/>
          <w:szCs w:val="16"/>
          <w:b w:val="1"/>
          <w:bCs w:val="1"/>
          <w:u w:val="single" w:color="auto"/>
          <w:color w:val="auto"/>
        </w:rPr>
        <w:t>Nasdaq</w:t>
      </w:r>
      <w:r>
        <w:rPr>
          <w:rFonts w:ascii="Arial" w:cs="Arial" w:eastAsia="Arial" w:hAnsi="Arial"/>
          <w:sz w:val="16"/>
          <w:szCs w:val="16"/>
          <w:color w:val="auto"/>
        </w:rPr>
        <w:t>”) to sell such Placement Shares up to the amount specified, and otherwise in accordance with the terms of such Placement Notice. Cowen will provide written confirmation to the Company (including by email correspondence to each of the individuals of the Company set forth on Schedule 2,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Cowen may sell Placement Shares by any method permitted by law deemed to be an “at the market” offering as defined in Rule 415 of the Securities Act, including without limitation sales made through Nasdaq or on any other existing trading market for the Common Stock. Cowen shall not purchase Placement Shares for its own account as principal unless expressly authorized to do so by the Company in a Placement Notice. The Company acknowledges and agrees that (i) there can be no assurance that Cowen will be successful in selling Placement Shares, and</w:t>
      </w:r>
    </w:p>
    <w:p>
      <w:pPr>
        <w:spacing w:after="0" w:line="3" w:lineRule="exact"/>
        <w:rPr>
          <w:rFonts w:ascii="Arial" w:cs="Arial" w:eastAsia="Arial" w:hAnsi="Arial"/>
          <w:sz w:val="16"/>
          <w:szCs w:val="16"/>
          <w:color w:val="auto"/>
        </w:rPr>
      </w:pPr>
    </w:p>
    <w:p>
      <w:pPr>
        <w:ind w:left="-4" w:firstLine="4"/>
        <w:spacing w:after="0" w:line="254" w:lineRule="auto"/>
        <w:tabs>
          <w:tab w:leader="none" w:pos="26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Cowen will incur no liability or obligation to the Company or any other person or entity if it does not sell Placement Shares for any reason other than a failure by Cowen to use its commercially reasonable efforts consistent with its normal trading and sales practices to sell such Placement Shares as required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For the purposes hereof, “</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the Company’s Common Stock is purchased and sold on the principal market on which the Common Stock is listed or quoted.</w:t>
      </w:r>
    </w:p>
    <w:p>
      <w:pPr>
        <w:spacing w:after="0" w:line="81" w:lineRule="exact"/>
        <w:rPr>
          <w:rFonts w:ascii="Arial" w:cs="Arial" w:eastAsia="Arial" w:hAnsi="Arial"/>
          <w:sz w:val="18"/>
          <w:szCs w:val="18"/>
          <w:color w:val="auto"/>
        </w:rPr>
      </w:pPr>
    </w:p>
    <w:p>
      <w:pPr>
        <w:ind w:left="616" w:hanging="176"/>
        <w:spacing w:after="0"/>
        <w:tabs>
          <w:tab w:leader="none" w:pos="616"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117" w:lineRule="exact"/>
        <w:rPr>
          <w:sz w:val="20"/>
          <w:szCs w:val="20"/>
          <w:color w:val="auto"/>
        </w:rPr>
      </w:pPr>
    </w:p>
    <w:p>
      <w:pPr>
        <w:ind w:left="-4" w:right="20" w:firstLine="444"/>
        <w:spacing w:after="0" w:line="255" w:lineRule="auto"/>
        <w:tabs>
          <w:tab w:leader="none" w:pos="6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Company or Cowen may, upon notice to the other party in writing (including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suspend any sale of Placement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effective against the other unless it is made to one of the individuals named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hereto, as such schedule may be amended from time to time.</w:t>
      </w:r>
    </w:p>
    <w:p>
      <w:pPr>
        <w:spacing w:after="0" w:line="81" w:lineRule="exact"/>
        <w:rPr>
          <w:rFonts w:ascii="Arial" w:cs="Arial" w:eastAsia="Arial" w:hAnsi="Arial"/>
          <w:sz w:val="18"/>
          <w:szCs w:val="18"/>
          <w:color w:val="auto"/>
        </w:rPr>
      </w:pPr>
    </w:p>
    <w:p>
      <w:pPr>
        <w:jc w:val="both"/>
        <w:ind w:left="-4" w:right="460" w:firstLine="444"/>
        <w:spacing w:after="0" w:line="264" w:lineRule="auto"/>
        <w:tabs>
          <w:tab w:leader="none" w:pos="6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in possession of material non-public information, the Company and Cowen agree that (i) no sale of Placement Shares will take place, (ii) the Company shall not request the sale of any Placement Shares, and (iii) Cowen shall not be obligated to sell or offer to sell any Placement Shares.</w:t>
      </w:r>
    </w:p>
    <w:p>
      <w:pPr>
        <w:spacing w:after="0" w:line="113" w:lineRule="exact"/>
        <w:rPr>
          <w:rFonts w:ascii="Arial" w:cs="Arial" w:eastAsia="Arial" w:hAnsi="Arial"/>
          <w:sz w:val="18"/>
          <w:szCs w:val="18"/>
          <w:color w:val="auto"/>
        </w:rPr>
      </w:pPr>
    </w:p>
    <w:p>
      <w:pPr>
        <w:ind w:left="5456" w:hanging="96"/>
        <w:spacing w:after="0"/>
        <w:tabs>
          <w:tab w:leader="none" w:pos="5456" w:val="left"/>
        </w:tabs>
        <w:numPr>
          <w:ilvl w:val="1"/>
          <w:numId w:val="6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16"/>
          </w:cols>
          <w:pgMar w:left="444" w:top="274" w:right="439" w:bottom="1440" w:gutter="0" w:footer="0" w:header="0"/>
        </w:sectPr>
      </w:pPr>
    </w:p>
    <w:bookmarkStart w:id="82" w:name="page83"/>
    <w:bookmarkEnd w:id="82"/>
    <w:p>
      <w:pPr>
        <w:ind w:left="-444" w:firstLine="444"/>
        <w:spacing w:after="0" w:line="264" w:lineRule="auto"/>
        <w:tabs>
          <w:tab w:leader="none" w:pos="241"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either Cowen or the Company has reason to believe that the exemptive provisions set forth in Rule 101(c)(1) of Regulation M under the Exchange Act are not satisfied with respect to the Common Stock, it shall promptly notify the other party, and Cowen may, at its sole discretion, suspend sales of the Placement Shares under this Agreement.</w:t>
      </w:r>
    </w:p>
    <w:p>
      <w:pPr>
        <w:spacing w:after="0" w:line="73" w:lineRule="exact"/>
        <w:rPr>
          <w:rFonts w:ascii="Arial" w:cs="Arial" w:eastAsia="Arial" w:hAnsi="Arial"/>
          <w:sz w:val="18"/>
          <w:szCs w:val="18"/>
          <w:color w:val="auto"/>
        </w:rPr>
      </w:pPr>
    </w:p>
    <w:p>
      <w:pPr>
        <w:ind w:left="-444" w:right="200" w:firstLine="444"/>
        <w:spacing w:after="0" w:line="259" w:lineRule="auto"/>
        <w:tabs>
          <w:tab w:leader="none" w:pos="2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during any period in which the Registration Statement is not effective under the Securities Act, the Company shall promptly notify Cowen, the Company shall not request the sale of any Placement Shares, and Cowen shall not be obligated to sell or offer to sell any Placement Shares. The requirement to promptly notify Cowen pursuant to this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shall be waived during any period in which no Placement Notice is pending.</w:t>
      </w:r>
    </w:p>
    <w:p>
      <w:pPr>
        <w:spacing w:after="0" w:line="79" w:lineRule="exact"/>
        <w:rPr>
          <w:sz w:val="20"/>
          <w:szCs w:val="20"/>
          <w:color w:val="auto"/>
        </w:rPr>
      </w:pPr>
    </w:p>
    <w:p>
      <w:pPr>
        <w:ind w:left="176" w:hanging="176"/>
        <w:spacing w:after="0"/>
        <w:tabs>
          <w:tab w:leader="none" w:pos="17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Settlement.</w:t>
      </w:r>
    </w:p>
    <w:p>
      <w:pPr>
        <w:spacing w:after="0" w:line="117" w:lineRule="exact"/>
        <w:rPr>
          <w:sz w:val="20"/>
          <w:szCs w:val="20"/>
          <w:color w:val="auto"/>
        </w:rPr>
      </w:pPr>
    </w:p>
    <w:p>
      <w:pPr>
        <w:ind w:left="-444" w:right="120" w:firstLine="444"/>
        <w:spacing w:after="0" w:line="291" w:lineRule="auto"/>
        <w:tabs>
          <w:tab w:leader="none" w:pos="24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color w:val="auto"/>
        </w:rPr>
        <w:t>. Unless otherwise specified in the applicable Placement Notice, settlement for sales of Placement Shares will occur on the second (2</w:t>
      </w:r>
      <w:r>
        <w:rPr>
          <w:rFonts w:ascii="Arial" w:cs="Arial" w:eastAsia="Arial" w:hAnsi="Arial"/>
          <w:sz w:val="13"/>
          <w:szCs w:val="13"/>
          <w:color w:val="auto"/>
        </w:rPr>
        <w:t>nd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b w:val="1"/>
          <w:bCs w:val="1"/>
          <w:u w:val="single" w:color="auto"/>
          <w:color w:val="auto"/>
        </w:rPr>
        <w:t>Settlement Date</w:t>
      </w:r>
      <w:r>
        <w:rPr>
          <w:rFonts w:ascii="Arial" w:cs="Arial" w:eastAsia="Arial" w:hAnsi="Arial"/>
          <w:sz w:val="16"/>
          <w:szCs w:val="16"/>
          <w:color w:val="auto"/>
        </w:rPr>
        <w:t>” and the first such settlement date, the “</w:t>
      </w:r>
      <w:r>
        <w:rPr>
          <w:rFonts w:ascii="Arial" w:cs="Arial" w:eastAsia="Arial" w:hAnsi="Arial"/>
          <w:sz w:val="16"/>
          <w:szCs w:val="16"/>
          <w:b w:val="1"/>
          <w:bCs w:val="1"/>
          <w:u w:val="single" w:color="auto"/>
          <w:color w:val="auto"/>
        </w:rPr>
        <w:t>First Delivery Date</w:t>
      </w:r>
      <w:r>
        <w:rPr>
          <w:rFonts w:ascii="Arial" w:cs="Arial" w:eastAsia="Arial" w:hAnsi="Arial"/>
          <w:sz w:val="16"/>
          <w:szCs w:val="16"/>
          <w:color w:val="auto"/>
        </w:rPr>
        <w:t>”). The amount of proceeds to be delivered to the Company on a Settlement Date against receipt of the Placement Shares sold (the “</w:t>
      </w:r>
      <w:r>
        <w:rPr>
          <w:rFonts w:ascii="Arial" w:cs="Arial" w:eastAsia="Arial" w:hAnsi="Arial"/>
          <w:sz w:val="16"/>
          <w:szCs w:val="16"/>
          <w:b w:val="1"/>
          <w:bCs w:val="1"/>
          <w:u w:val="single" w:color="auto"/>
          <w:color w:val="auto"/>
        </w:rPr>
        <w:t>Net Proceeds</w:t>
      </w:r>
      <w:r>
        <w:rPr>
          <w:rFonts w:ascii="Arial" w:cs="Arial" w:eastAsia="Arial" w:hAnsi="Arial"/>
          <w:sz w:val="16"/>
          <w:szCs w:val="16"/>
          <w:color w:val="auto"/>
        </w:rPr>
        <w:t xml:space="preserve">”) will be equal to the aggregate sales price received by Cowen at which such Placement Shares were sold, after deduction for (i) Cowen’s commission, discount or other compensation for such sales payable by the Company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(ii) any other amounts due and payable by the Company to Cowen hereunder pursuant to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(Expenses) hereof, and (iii) any transaction fees imposed by any governmental or self-regulatory organization in respect of such sales.</w:t>
      </w:r>
    </w:p>
    <w:p>
      <w:pPr>
        <w:spacing w:after="0" w:line="59" w:lineRule="exact"/>
        <w:rPr>
          <w:rFonts w:ascii="Arial" w:cs="Arial" w:eastAsia="Arial" w:hAnsi="Arial"/>
          <w:sz w:val="16"/>
          <w:szCs w:val="16"/>
          <w:color w:val="auto"/>
        </w:rPr>
      </w:pPr>
    </w:p>
    <w:p>
      <w:pPr>
        <w:ind w:left="-444" w:right="80" w:firstLine="444"/>
        <w:spacing w:after="0" w:line="269" w:lineRule="auto"/>
        <w:tabs>
          <w:tab w:leader="none" w:pos="25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Delivery of Placement Shares</w:t>
      </w:r>
      <w:r>
        <w:rPr>
          <w:rFonts w:ascii="Arial" w:cs="Arial" w:eastAsia="Arial" w:hAnsi="Arial"/>
          <w:sz w:val="17"/>
          <w:szCs w:val="17"/>
          <w:color w:val="auto"/>
        </w:rPr>
        <w:t xml:space="preserve">. On or before each Settlement Date, the Company will, or will cause its transfer agent to, electronically transfer the Placement Shares being sold by crediting Cowen’s or its designee’s account (provided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Cowen, the Company agrees that in addition to and in no way limiting the rights and obligations set forth in </w:t>
      </w:r>
      <w:r>
        <w:rPr>
          <w:rFonts w:ascii="Arial" w:cs="Arial" w:eastAsia="Arial" w:hAnsi="Arial"/>
          <w:sz w:val="17"/>
          <w:szCs w:val="17"/>
          <w:u w:val="single" w:color="auto"/>
          <w:color w:val="auto"/>
        </w:rPr>
        <w:t>Section 9(a)</w:t>
      </w:r>
      <w:r>
        <w:rPr>
          <w:rFonts w:ascii="Arial" w:cs="Arial" w:eastAsia="Arial" w:hAnsi="Arial"/>
          <w:sz w:val="17"/>
          <w:szCs w:val="17"/>
          <w:color w:val="auto"/>
        </w:rPr>
        <w:t xml:space="preserve"> (Indemnification and Contribution) hereto, it will (i) hold Cowen harmless against any loss, claim, damage, or reasonable and documented expense (including reasonable and documented legal fees and expenses), as incurred, arising out of or in connection with such default by the Company and (ii) pay to Cowen (without duplication) any commission, discount, or other compensation to which it would otherwise have been entitled absent such default.</w:t>
      </w:r>
    </w:p>
    <w:p>
      <w:pPr>
        <w:spacing w:after="0" w:line="115" w:lineRule="exact"/>
        <w:rPr>
          <w:rFonts w:ascii="Arial" w:cs="Arial" w:eastAsia="Arial" w:hAnsi="Arial"/>
          <w:sz w:val="17"/>
          <w:szCs w:val="17"/>
          <w:color w:val="auto"/>
        </w:rPr>
      </w:pPr>
    </w:p>
    <w:p>
      <w:pPr>
        <w:ind w:left="5016" w:hanging="96"/>
        <w:spacing w:after="0"/>
        <w:tabs>
          <w:tab w:leader="none" w:pos="5016" w:val="left"/>
        </w:tabs>
        <w:numPr>
          <w:ilvl w:val="1"/>
          <w:numId w:val="7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6"/>
          </w:cols>
          <w:pgMar w:left="884" w:top="274" w:right="439" w:bottom="1440" w:gutter="0" w:footer="0" w:header="0"/>
        </w:sectPr>
      </w:pPr>
    </w:p>
    <w:bookmarkStart w:id="83" w:name="page84"/>
    <w:bookmarkEnd w:id="83"/>
    <w:p>
      <w:pPr>
        <w:ind w:left="-444" w:right="60" w:firstLine="444"/>
        <w:spacing w:after="0" w:line="264" w:lineRule="auto"/>
        <w:tabs>
          <w:tab w:leader="none" w:pos="1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of the Company</w:t>
      </w:r>
      <w:r>
        <w:rPr>
          <w:rFonts w:ascii="Arial" w:cs="Arial" w:eastAsia="Arial" w:hAnsi="Arial"/>
          <w:sz w:val="18"/>
          <w:szCs w:val="18"/>
          <w:color w:val="auto"/>
        </w:rPr>
        <w:t xml:space="preserve">. The Company represents and warrants to, and agrees with, Cowen that, unless such representation, warrant or agreement specifies otherwise, as of the date of this Agreement, each Representation Date (as defined in </w:t>
      </w:r>
      <w:r>
        <w:rPr>
          <w:rFonts w:ascii="Arial" w:cs="Arial" w:eastAsia="Arial" w:hAnsi="Arial"/>
          <w:sz w:val="18"/>
          <w:szCs w:val="18"/>
          <w:u w:val="single" w:color="auto"/>
          <w:color w:val="auto"/>
        </w:rPr>
        <w:t>Section 7(m.)</w:t>
      </w:r>
      <w:r>
        <w:rPr>
          <w:rFonts w:ascii="Arial" w:cs="Arial" w:eastAsia="Arial" w:hAnsi="Arial"/>
          <w:sz w:val="18"/>
          <w:szCs w:val="18"/>
          <w:color w:val="auto"/>
        </w:rPr>
        <w:t>), each date on which a Placement Notice is given, and any date on which Placement Shares are sold hereunder:</w:t>
      </w:r>
    </w:p>
    <w:p>
      <w:pPr>
        <w:spacing w:after="0" w:line="73" w:lineRule="exact"/>
        <w:rPr>
          <w:sz w:val="20"/>
          <w:szCs w:val="20"/>
          <w:color w:val="auto"/>
        </w:rPr>
      </w:pPr>
    </w:p>
    <w:p>
      <w:pPr>
        <w:ind w:left="-444" w:right="180" w:firstLine="444"/>
        <w:spacing w:after="0" w:line="293" w:lineRule="auto"/>
        <w:tabs>
          <w:tab w:leader="none" w:pos="241" w:val="left"/>
        </w:tabs>
        <w:numPr>
          <w:ilvl w:val="0"/>
          <w:numId w:val="73"/>
        </w:numPr>
        <w:rPr>
          <w:rFonts w:ascii="Arial" w:cs="Arial" w:eastAsia="Arial" w:hAnsi="Arial"/>
          <w:sz w:val="16"/>
          <w:szCs w:val="16"/>
          <w:color w:val="auto"/>
        </w:rPr>
      </w:pPr>
      <w:r>
        <w:rPr>
          <w:rFonts w:ascii="Arial" w:cs="Arial" w:eastAsia="Arial" w:hAnsi="Arial"/>
          <w:sz w:val="16"/>
          <w:szCs w:val="16"/>
          <w:color w:val="auto"/>
        </w:rPr>
        <w:t>Other than as of the date of this Agreement, the Registration Statement and any Rule 462(b) Registration Statement shall have been declared effective by the Commission under the Securities Act. The Company shall have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Placement Shares hereunder meets the requirements of General Instruction I.B.1 or I.B.6. of Form S-3.</w:t>
      </w:r>
    </w:p>
    <w:p>
      <w:pPr>
        <w:spacing w:after="0" w:line="56" w:lineRule="exact"/>
        <w:rPr>
          <w:rFonts w:ascii="Arial" w:cs="Arial" w:eastAsia="Arial" w:hAnsi="Arial"/>
          <w:sz w:val="16"/>
          <w:szCs w:val="16"/>
          <w:color w:val="auto"/>
        </w:rPr>
      </w:pPr>
    </w:p>
    <w:p>
      <w:pPr>
        <w:ind w:left="-444" w:firstLine="444"/>
        <w:spacing w:after="0" w:line="269" w:lineRule="auto"/>
        <w:tabs>
          <w:tab w:leader="none" w:pos="24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Prospectus when filed with the Commission will comply or complied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will comply or complied and as of each Applicable Time, if any, will comply or complied in all material respects with the Securities Act and did not and, as of each Applicable Time, if any, did not and will not contain any untrue statement of a material fact or omit to state a material fact required to be stated therein or necessary to make the statements therein not misleading. The Prospectus, as amended or supplemented, as of its date, did not and, at each Applicable Time, if any,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Cowen furnished to the Company in writing by Cowen expressly for use therein.</w:t>
      </w:r>
    </w:p>
    <w:p>
      <w:pPr>
        <w:spacing w:after="0" w:line="74" w:lineRule="exact"/>
        <w:rPr>
          <w:rFonts w:ascii="Arial" w:cs="Arial" w:eastAsia="Arial" w:hAnsi="Arial"/>
          <w:sz w:val="17"/>
          <w:szCs w:val="17"/>
          <w:color w:val="auto"/>
        </w:rPr>
      </w:pPr>
    </w:p>
    <w:p>
      <w:pPr>
        <w:jc w:val="both"/>
        <w:ind w:left="-444" w:right="120" w:firstLine="444"/>
        <w:spacing w:after="0" w:line="264" w:lineRule="auto"/>
        <w:tabs>
          <w:tab w:leader="none" w:pos="2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has delivered to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Cowen has reasonably requested.</w:t>
      </w:r>
    </w:p>
    <w:p>
      <w:pPr>
        <w:spacing w:after="0" w:line="73" w:lineRule="exact"/>
        <w:rPr>
          <w:rFonts w:ascii="Arial" w:cs="Arial" w:eastAsia="Arial" w:hAnsi="Arial"/>
          <w:sz w:val="18"/>
          <w:szCs w:val="18"/>
          <w:color w:val="auto"/>
        </w:rPr>
      </w:pPr>
    </w:p>
    <w:p>
      <w:pPr>
        <w:ind w:left="-444" w:right="460" w:firstLine="444"/>
        <w:spacing w:after="0" w:line="277" w:lineRule="auto"/>
        <w:tabs>
          <w:tab w:leader="none" w:pos="2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is an “emerging growth company,” as defined in Section 2(a) of the Securities Act. The Company agrees to notify Cowen promptly upon the Company ceasing to be an emerging growth company.</w:t>
      </w:r>
    </w:p>
    <w:p>
      <w:pPr>
        <w:spacing w:after="0" w:line="62" w:lineRule="exact"/>
        <w:rPr>
          <w:rFonts w:ascii="Arial" w:cs="Arial" w:eastAsia="Arial" w:hAnsi="Arial"/>
          <w:sz w:val="18"/>
          <w:szCs w:val="18"/>
          <w:color w:val="auto"/>
        </w:rPr>
      </w:pPr>
    </w:p>
    <w:p>
      <w:pPr>
        <w:ind w:left="-444" w:right="400" w:firstLine="444"/>
        <w:spacing w:after="0" w:line="277" w:lineRule="auto"/>
        <w:tabs>
          <w:tab w:leader="none" w:pos="2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currently is not an “ineligible issuer,” as defined in Rule 405 of the rules and regulation of the Commission. The Company agrees to notify Cowen promptly upon the Company becoming an “ineligible issuer.”</w:t>
      </w:r>
    </w:p>
    <w:p>
      <w:pPr>
        <w:spacing w:after="0" w:line="102" w:lineRule="exact"/>
        <w:rPr>
          <w:rFonts w:ascii="Arial" w:cs="Arial" w:eastAsia="Arial" w:hAnsi="Arial"/>
          <w:sz w:val="18"/>
          <w:szCs w:val="18"/>
          <w:color w:val="auto"/>
        </w:rPr>
      </w:pPr>
    </w:p>
    <w:p>
      <w:pPr>
        <w:ind w:left="5016" w:hanging="96"/>
        <w:spacing w:after="0"/>
        <w:tabs>
          <w:tab w:leader="none" w:pos="5016" w:val="left"/>
        </w:tabs>
        <w:numPr>
          <w:ilvl w:val="1"/>
          <w:numId w:val="7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36"/>
          </w:cols>
          <w:pgMar w:left="884" w:top="274" w:right="479" w:bottom="1440" w:gutter="0" w:footer="0" w:header="0"/>
        </w:sectPr>
      </w:pPr>
    </w:p>
    <w:bookmarkStart w:id="84" w:name="page85"/>
    <w:bookmarkEnd w:id="84"/>
    <w:p>
      <w:pPr>
        <w:ind w:left="-444" w:right="60" w:firstLine="444"/>
        <w:spacing w:after="0" w:line="308" w:lineRule="auto"/>
        <w:tabs>
          <w:tab w:leader="none" w:pos="218" w:val="left"/>
        </w:tabs>
        <w:numPr>
          <w:ilvl w:val="0"/>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not distributed and will not distribute, prior to the completion of Cowen’s distribution of the Placement Shares, any offering material in connection with the offering and sale of the Placement Shares other than the Prospectus or the Registration Statement.</w:t>
      </w:r>
    </w:p>
    <w:p>
      <w:pPr>
        <w:spacing w:after="0" w:line="38" w:lineRule="exact"/>
        <w:rPr>
          <w:rFonts w:ascii="Arial" w:cs="Arial" w:eastAsia="Arial" w:hAnsi="Arial"/>
          <w:sz w:val="17"/>
          <w:szCs w:val="17"/>
          <w:color w:val="auto"/>
        </w:rPr>
      </w:pPr>
    </w:p>
    <w:p>
      <w:pPr>
        <w:ind w:left="-444" w:right="80" w:firstLine="444"/>
        <w:spacing w:after="0" w:line="259" w:lineRule="auto"/>
        <w:tabs>
          <w:tab w:leader="none" w:pos="2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78" w:lineRule="exact"/>
        <w:rPr>
          <w:rFonts w:ascii="Arial" w:cs="Arial" w:eastAsia="Arial" w:hAnsi="Arial"/>
          <w:sz w:val="18"/>
          <w:szCs w:val="18"/>
          <w:color w:val="auto"/>
        </w:rPr>
      </w:pPr>
    </w:p>
    <w:p>
      <w:pPr>
        <w:ind w:left="-444" w:right="20" w:firstLine="444"/>
        <w:spacing w:after="0" w:line="277" w:lineRule="auto"/>
        <w:tabs>
          <w:tab w:leader="none" w:pos="2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Placement Shares have been duly authorized and are validly issued, fully paid and nonassessable.</w:t>
      </w:r>
    </w:p>
    <w:p>
      <w:pPr>
        <w:spacing w:after="0" w:line="62" w:lineRule="exact"/>
        <w:rPr>
          <w:rFonts w:ascii="Arial" w:cs="Arial" w:eastAsia="Arial" w:hAnsi="Arial"/>
          <w:sz w:val="18"/>
          <w:szCs w:val="18"/>
          <w:color w:val="auto"/>
        </w:rPr>
      </w:pPr>
    </w:p>
    <w:p>
      <w:pPr>
        <w:ind w:left="-444" w:right="20" w:firstLine="444"/>
        <w:spacing w:after="0" w:line="259" w:lineRule="auto"/>
        <w:tabs>
          <w:tab w:leader="none" w:pos="2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Placement Shares to be issued and sold by the Company hereunder have been duly authorized and, when issued and delivered by the Company and paid for as provided herein, will be duly and validly issued, fully paid and nonassessable and will conform in all material respects to the descriptions thereof in the Registration Statement or the Prospectus; and the issuance of the Placement Shares is not subject to any preemptive or similar rights that have not been duly waived or satisfied.</w:t>
      </w:r>
    </w:p>
    <w:p>
      <w:pPr>
        <w:spacing w:after="0" w:line="78" w:lineRule="exact"/>
        <w:rPr>
          <w:rFonts w:ascii="Arial" w:cs="Arial" w:eastAsia="Arial" w:hAnsi="Arial"/>
          <w:sz w:val="18"/>
          <w:szCs w:val="18"/>
          <w:color w:val="auto"/>
        </w:rPr>
      </w:pPr>
    </w:p>
    <w:p>
      <w:pPr>
        <w:ind w:left="-444" w:right="180" w:firstLine="444"/>
        <w:spacing w:after="0" w:line="276" w:lineRule="auto"/>
        <w:tabs>
          <w:tab w:leader="none" w:pos="2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(as defined below), taken as a whole.</w:t>
      </w:r>
    </w:p>
    <w:p>
      <w:pPr>
        <w:spacing w:after="0" w:line="64" w:lineRule="exact"/>
        <w:rPr>
          <w:rFonts w:ascii="Arial" w:cs="Arial" w:eastAsia="Arial" w:hAnsi="Arial"/>
          <w:sz w:val="17"/>
          <w:szCs w:val="17"/>
          <w:color w:val="auto"/>
        </w:rPr>
      </w:pPr>
    </w:p>
    <w:p>
      <w:pPr>
        <w:ind w:left="-444" w:firstLine="444"/>
        <w:spacing w:after="0" w:line="270" w:lineRule="auto"/>
        <w:tabs>
          <w:tab w:leader="none" w:pos="251"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of AVROBIO Inc., a Canadian corporation, AVROBIO Australia Pty Ltd, an Australian company, and AVROBIO Securities Corporation, a Massachusetts corporation (each a “</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and together, the “</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has been duly incorporated, is validly existing as a corporation in good standing under the laws of the jurisdiction of its incorporation, has the corporate power and authority to own or lease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taken as a whole. All of the issued shares of capital stock of each Subsidiary have been duly and validly authorized and issued, are fully paid and non-assessable (to the extent that such concepts are applicable in such jurisdiction) and are owned directly by the Company, free and clear of all liens, encumbrances, equities or claims, other than as disclosed in the Prospectus.</w:t>
      </w:r>
    </w:p>
    <w:p>
      <w:pPr>
        <w:spacing w:after="0" w:line="73" w:lineRule="exact"/>
        <w:rPr>
          <w:rFonts w:ascii="Arial" w:cs="Arial" w:eastAsia="Arial" w:hAnsi="Arial"/>
          <w:sz w:val="17"/>
          <w:szCs w:val="17"/>
          <w:color w:val="auto"/>
        </w:rPr>
      </w:pPr>
    </w:p>
    <w:p>
      <w:pPr>
        <w:ind w:left="216" w:hanging="216"/>
        <w:spacing w:after="0"/>
        <w:tabs>
          <w:tab w:leader="none" w:pos="2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the Prospectus.</w:t>
      </w:r>
    </w:p>
    <w:p>
      <w:pPr>
        <w:spacing w:after="0" w:line="157" w:lineRule="exact"/>
        <w:rPr>
          <w:rFonts w:ascii="Arial" w:cs="Arial" w:eastAsia="Arial" w:hAnsi="Arial"/>
          <w:sz w:val="18"/>
          <w:szCs w:val="18"/>
          <w:color w:val="auto"/>
        </w:rPr>
      </w:pPr>
    </w:p>
    <w:p>
      <w:pPr>
        <w:ind w:left="5016" w:hanging="96"/>
        <w:spacing w:after="0"/>
        <w:tabs>
          <w:tab w:leader="none" w:pos="5016" w:val="left"/>
        </w:tabs>
        <w:numPr>
          <w:ilvl w:val="1"/>
          <w:numId w:val="7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56"/>
          </w:cols>
          <w:pgMar w:left="884" w:top="274" w:right="459" w:bottom="1440" w:gutter="0" w:footer="0" w:header="0"/>
        </w:sectPr>
      </w:pPr>
    </w:p>
    <w:bookmarkStart w:id="85" w:name="page86"/>
    <w:bookmarkEnd w:id="85"/>
    <w:p>
      <w:pPr>
        <w:ind w:left="-444" w:firstLine="444"/>
        <w:spacing w:after="0" w:line="253" w:lineRule="auto"/>
        <w:tabs>
          <w:tab w:leader="none" w:pos="298"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Subsidiary that is material to the Company and the Subsidiaries, taken as a whole, or (iv) any judgment, order or decree of any governmental body, agency or court having jurisdiction over the Company or the Subsidiaries, except, in the case of clauses (i), (iii) and (iv), as would not, individually or in the aggregate, reasonably be expected to have a material adverse effect on the Company and its Subsidiaries,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 or The Nasdaq Global Select Market (the “</w:t>
      </w:r>
      <w:r>
        <w:rPr>
          <w:rFonts w:ascii="Arial" w:cs="Arial" w:eastAsia="Arial" w:hAnsi="Arial"/>
          <w:sz w:val="18"/>
          <w:szCs w:val="18"/>
          <w:b w:val="1"/>
          <w:bCs w:val="1"/>
          <w:u w:val="single" w:color="auto"/>
          <w:color w:val="auto"/>
        </w:rPr>
        <w:t>Exchange</w:t>
      </w:r>
      <w:r>
        <w:rPr>
          <w:rFonts w:ascii="Arial" w:cs="Arial" w:eastAsia="Arial" w:hAnsi="Arial"/>
          <w:sz w:val="18"/>
          <w:szCs w:val="18"/>
          <w:color w:val="auto"/>
        </w:rPr>
        <w:t>”) in connection with the offer and sale of the Placement Shares.</w:t>
      </w:r>
    </w:p>
    <w:p>
      <w:pPr>
        <w:spacing w:after="0" w:line="86" w:lineRule="exact"/>
        <w:rPr>
          <w:rFonts w:ascii="Arial" w:cs="Arial" w:eastAsia="Arial" w:hAnsi="Arial"/>
          <w:sz w:val="18"/>
          <w:szCs w:val="18"/>
          <w:color w:val="auto"/>
        </w:rPr>
      </w:pPr>
    </w:p>
    <w:p>
      <w:pPr>
        <w:ind w:left="-444" w:right="80" w:firstLine="444"/>
        <w:spacing w:after="0" w:line="312" w:lineRule="auto"/>
        <w:tabs>
          <w:tab w:leader="none" w:pos="24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that, singly or in the aggregate, would reasonably be expected to result in a material adverse change in the condition, financial or otherwise, or in the earnings, business, prospects or operations of the Company and the Subsidiaries, taken as a whole, from that set forth in the Prospectus (any such change is called a “</w:t>
      </w:r>
      <w:r>
        <w:rPr>
          <w:rFonts w:ascii="Arial" w:cs="Arial" w:eastAsia="Arial" w:hAnsi="Arial"/>
          <w:sz w:val="16"/>
          <w:szCs w:val="16"/>
          <w:b w:val="1"/>
          <w:bCs w:val="1"/>
          <w:u w:val="single" w:color="auto"/>
          <w:color w:val="auto"/>
        </w:rPr>
        <w:t>Material Adverse Change</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44" w:right="60" w:firstLine="444"/>
        <w:spacing w:after="0" w:line="291" w:lineRule="auto"/>
        <w:tabs>
          <w:tab w:leader="none" w:pos="24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knowledge of the Company, threatened to which the Company or any Subsidiary is a party or to which any of the properties of the Company or any Subsidiary is subject (i) other than proceedings accurately described in all material respects in the Prospectus and proceedings that would not reasonably be expected to have a material adverse effect on the Company and the Subsidiaries, taken as a whole, or on the power or ability of the Company to perform its obligations under this Agreement or to consummate the transactions contemplated by the Prospectus or (ii) that are required to be described in the Registration Statement or the Prospectus and are not so described in all material respects.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59" w:lineRule="exact"/>
        <w:rPr>
          <w:rFonts w:ascii="Arial" w:cs="Arial" w:eastAsia="Arial" w:hAnsi="Arial"/>
          <w:sz w:val="16"/>
          <w:szCs w:val="16"/>
          <w:color w:val="auto"/>
        </w:rPr>
      </w:pPr>
    </w:p>
    <w:p>
      <w:pPr>
        <w:jc w:val="both"/>
        <w:ind w:left="-444" w:right="360" w:firstLine="444"/>
        <w:spacing w:after="0" w:line="264" w:lineRule="auto"/>
        <w:tabs>
          <w:tab w:leader="none" w:pos="2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Placement Shares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444" w:right="100" w:firstLine="444"/>
        <w:spacing w:after="0" w:line="255" w:lineRule="auto"/>
        <w:tabs>
          <w:tab w:leader="none" w:pos="2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and the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the Subsidiaries, taken as a whole.</w:t>
      </w:r>
    </w:p>
    <w:p>
      <w:pPr>
        <w:spacing w:after="0" w:line="121" w:lineRule="exact"/>
        <w:rPr>
          <w:rFonts w:ascii="Arial" w:cs="Arial" w:eastAsia="Arial" w:hAnsi="Arial"/>
          <w:sz w:val="18"/>
          <w:szCs w:val="18"/>
          <w:color w:val="auto"/>
        </w:rPr>
      </w:pPr>
    </w:p>
    <w:p>
      <w:pPr>
        <w:ind w:left="5016" w:hanging="96"/>
        <w:spacing w:after="0"/>
        <w:tabs>
          <w:tab w:leader="none" w:pos="50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556"/>
          </w:cols>
          <w:pgMar w:left="884" w:top="274" w:right="459" w:bottom="1440" w:gutter="0" w:footer="0" w:header="0"/>
        </w:sectPr>
      </w:pPr>
    </w:p>
    <w:bookmarkStart w:id="86" w:name="page87"/>
    <w:bookmarkEnd w:id="86"/>
    <w:p>
      <w:pPr>
        <w:jc w:val="both"/>
        <w:ind w:left="-444" w:right="480" w:firstLine="444"/>
        <w:spacing w:after="0" w:line="259" w:lineRule="auto"/>
        <w:tabs>
          <w:tab w:leader="none" w:pos="218"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the Subsidiaries, taken as a whole.</w:t>
      </w:r>
    </w:p>
    <w:p>
      <w:pPr>
        <w:spacing w:after="0" w:line="78" w:lineRule="exact"/>
        <w:rPr>
          <w:rFonts w:ascii="Arial" w:cs="Arial" w:eastAsia="Arial" w:hAnsi="Arial"/>
          <w:sz w:val="18"/>
          <w:szCs w:val="18"/>
          <w:color w:val="auto"/>
        </w:rPr>
      </w:pPr>
    </w:p>
    <w:p>
      <w:pPr>
        <w:ind w:left="-444" w:right="120" w:firstLine="444"/>
        <w:spacing w:after="0" w:line="259" w:lineRule="auto"/>
        <w:tabs>
          <w:tab w:leader="none" w:pos="2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described in the Prospectus or as have been waived with respect to the Registration Statement,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w:t>
      </w:r>
    </w:p>
    <w:p>
      <w:pPr>
        <w:spacing w:after="0" w:line="78" w:lineRule="exact"/>
        <w:rPr>
          <w:rFonts w:ascii="Arial" w:cs="Arial" w:eastAsia="Arial" w:hAnsi="Arial"/>
          <w:sz w:val="18"/>
          <w:szCs w:val="18"/>
          <w:color w:val="auto"/>
        </w:rPr>
      </w:pPr>
    </w:p>
    <w:p>
      <w:pPr>
        <w:ind w:left="-444" w:right="40" w:firstLine="444"/>
        <w:spacing w:after="0" w:line="269" w:lineRule="auto"/>
        <w:tabs>
          <w:tab w:leader="none" w:pos="2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Neither the Company nor the Subsidiaries or the Company’s controlled affiliates, nor any director, officer or employee thereof, nor, to the Company’s knowledge, any agent or representative of the Company, the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Neither the Company nor the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4" w:lineRule="exact"/>
        <w:rPr>
          <w:rFonts w:ascii="Arial" w:cs="Arial" w:eastAsia="Arial" w:hAnsi="Arial"/>
          <w:sz w:val="17"/>
          <w:szCs w:val="17"/>
          <w:color w:val="auto"/>
        </w:rPr>
      </w:pPr>
    </w:p>
    <w:p>
      <w:pPr>
        <w:ind w:left="-444" w:firstLine="444"/>
        <w:spacing w:after="0" w:line="291" w:lineRule="auto"/>
        <w:tabs>
          <w:tab w:leader="none" w:pos="24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operations of the Company and the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any Subsidiary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u w:val="single" w:color="auto"/>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Subsidiary with respect to the Anti-Money Laundering Laws is pending or, to the knowledge of the Company, threatened.</w:t>
      </w:r>
    </w:p>
    <w:p>
      <w:pPr>
        <w:spacing w:after="0" w:line="99" w:lineRule="exact"/>
        <w:rPr>
          <w:rFonts w:ascii="Arial" w:cs="Arial" w:eastAsia="Arial" w:hAnsi="Arial"/>
          <w:sz w:val="16"/>
          <w:szCs w:val="16"/>
          <w:color w:val="auto"/>
        </w:rPr>
      </w:pPr>
    </w:p>
    <w:p>
      <w:pPr>
        <w:ind w:left="5016" w:hanging="96"/>
        <w:spacing w:after="0"/>
        <w:tabs>
          <w:tab w:leader="none" w:pos="5016" w:val="left"/>
        </w:tabs>
        <w:numPr>
          <w:ilvl w:val="1"/>
          <w:numId w:val="7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76"/>
          </w:cols>
          <w:pgMar w:left="884" w:top="274" w:right="439" w:bottom="1440" w:gutter="0" w:footer="0" w:header="0"/>
        </w:sectPr>
      </w:pPr>
    </w:p>
    <w:bookmarkStart w:id="87" w:name="page88"/>
    <w:bookmarkEnd w:id="87"/>
    <w:p>
      <w:pPr>
        <w:jc w:val="both"/>
        <w:ind w:left="-444" w:right="40" w:firstLine="444"/>
        <w:spacing w:after="0" w:line="342" w:lineRule="auto"/>
        <w:tabs>
          <w:tab w:leader="none" w:pos="251"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None of the Company, the Subsidiaries or any director, officer or employee thereof, or, to the Company’s knowledge, any agent, affiliate or representative of the Company or any Subsidiary, is an individual or entity (“</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that is, or is owned or controlled by one or more Persons that are:</w:t>
      </w:r>
    </w:p>
    <w:p>
      <w:pPr>
        <w:spacing w:after="0" w:line="15" w:lineRule="exact"/>
        <w:rPr>
          <w:rFonts w:ascii="Arial" w:cs="Arial" w:eastAsia="Arial" w:hAnsi="Arial"/>
          <w:sz w:val="16"/>
          <w:szCs w:val="16"/>
          <w:color w:val="auto"/>
        </w:rPr>
      </w:pPr>
    </w:p>
    <w:p>
      <w:pPr>
        <w:ind w:left="436" w:right="280" w:firstLine="5"/>
        <w:spacing w:after="0" w:line="264" w:lineRule="auto"/>
        <w:tabs>
          <w:tab w:leader="none" w:pos="7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u w:val="single" w:color="auto"/>
          <w:color w:val="auto"/>
        </w:rPr>
        <w:t>Sanctions</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436" w:right="60" w:firstLine="5"/>
        <w:spacing w:after="0" w:line="277" w:lineRule="auto"/>
        <w:tabs>
          <w:tab w:leader="none" w:pos="721" w:val="left"/>
        </w:tabs>
        <w:numPr>
          <w:ilvl w:val="1"/>
          <w:numId w:val="77"/>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Sudan and Syria).</w:t>
      </w:r>
    </w:p>
    <w:p>
      <w:pPr>
        <w:spacing w:after="0" w:line="62" w:lineRule="exact"/>
        <w:rPr>
          <w:sz w:val="20"/>
          <w:szCs w:val="20"/>
          <w:color w:val="auto"/>
        </w:rPr>
      </w:pPr>
    </w:p>
    <w:p>
      <w:pPr>
        <w:ind w:left="-444" w:right="460" w:firstLine="885"/>
        <w:spacing w:after="0" w:line="277" w:lineRule="auto"/>
        <w:tabs>
          <w:tab w:leader="none" w:pos="70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direct or indirect subsidiary, joint venture partner or other Person:</w:t>
      </w:r>
    </w:p>
    <w:p>
      <w:pPr>
        <w:spacing w:after="0" w:line="62" w:lineRule="exact"/>
        <w:rPr>
          <w:sz w:val="20"/>
          <w:szCs w:val="20"/>
          <w:color w:val="auto"/>
        </w:rPr>
      </w:pPr>
    </w:p>
    <w:p>
      <w:pPr>
        <w:ind w:left="436" w:right="360" w:firstLine="5"/>
        <w:spacing w:after="0" w:line="277" w:lineRule="auto"/>
        <w:tabs>
          <w:tab w:leader="none" w:pos="73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436" w:firstLine="5"/>
        <w:spacing w:after="0" w:line="277" w:lineRule="auto"/>
        <w:tabs>
          <w:tab w:leader="none" w:pos="7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sz w:val="20"/>
          <w:szCs w:val="20"/>
          <w:color w:val="auto"/>
        </w:rPr>
      </w:pPr>
    </w:p>
    <w:p>
      <w:pPr>
        <w:ind w:left="-444" w:right="260" w:firstLine="885"/>
        <w:spacing w:after="0" w:line="342" w:lineRule="auto"/>
        <w:tabs>
          <w:tab w:leader="none" w:pos="752"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and the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5" w:lineRule="exact"/>
        <w:rPr>
          <w:rFonts w:ascii="Arial" w:cs="Arial" w:eastAsia="Arial" w:hAnsi="Arial"/>
          <w:sz w:val="16"/>
          <w:szCs w:val="16"/>
          <w:color w:val="auto"/>
        </w:rPr>
      </w:pPr>
    </w:p>
    <w:p>
      <w:pPr>
        <w:ind w:left="-444" w:firstLine="444"/>
        <w:spacing w:after="0" w:line="272" w:lineRule="auto"/>
        <w:tabs>
          <w:tab w:leader="none" w:pos="291"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and the Prospectus, (i) the Company and the Subsidiaries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equity compensation plans or agreements, as applicable, described in the Prospectus), nor declared, paid or otherwise made any dividend or distribution of any kind on its capital stock other than ordinary and customary dividends; and (iii) there has not been any material change in the capital stock, short-term debt or long-term debt of the Company and the Subsidiaries, except in each case as described in each of the Registration Statement and the Prospectus, respectively.</w:t>
      </w:r>
    </w:p>
    <w:p>
      <w:pPr>
        <w:spacing w:after="0" w:line="69" w:lineRule="exact"/>
        <w:rPr>
          <w:rFonts w:ascii="Arial" w:cs="Arial" w:eastAsia="Arial" w:hAnsi="Arial"/>
          <w:sz w:val="17"/>
          <w:szCs w:val="17"/>
          <w:color w:val="auto"/>
        </w:rPr>
      </w:pPr>
    </w:p>
    <w:p>
      <w:pPr>
        <w:ind w:left="-444" w:right="400" w:firstLine="444"/>
        <w:spacing w:after="0" w:line="259" w:lineRule="auto"/>
        <w:tabs>
          <w:tab w:leader="none" w:pos="2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and the Subsidiaries do not own any real property. The Company and the Subsidiaries have good and marketable title to all personal property owned by them which is material to the business of the Company and the Subsidiaries, in each case free and clear of all liens, encumbrances and defects except such as are described in the Prospectus or such as do not materially affect the value of such property and do not interfere with the use made and proposed</w:t>
      </w:r>
    </w:p>
    <w:p>
      <w:pPr>
        <w:spacing w:after="0" w:line="119" w:lineRule="exact"/>
        <w:rPr>
          <w:rFonts w:ascii="Arial" w:cs="Arial" w:eastAsia="Arial" w:hAnsi="Arial"/>
          <w:sz w:val="18"/>
          <w:szCs w:val="18"/>
          <w:color w:val="auto"/>
        </w:rPr>
      </w:pPr>
    </w:p>
    <w:p>
      <w:pPr>
        <w:ind w:left="5016" w:hanging="96"/>
        <w:spacing w:after="0"/>
        <w:tabs>
          <w:tab w:leader="none" w:pos="5016" w:val="left"/>
        </w:tabs>
        <w:numPr>
          <w:ilvl w:val="2"/>
          <w:numId w:val="8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76"/>
          </w:cols>
          <w:pgMar w:left="884" w:top="274" w:right="439" w:bottom="1440" w:gutter="0" w:footer="0" w:header="0"/>
        </w:sectPr>
      </w:pPr>
    </w:p>
    <w:bookmarkStart w:id="88" w:name="page89"/>
    <w:bookmarkEnd w:id="8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made of such property by the Company and the Subsidiaries. Any real property and buildings held under lease by the Company or any Subsidiary are held by them, as applicable, under valid, subsisting and, to the Company’s knowledge, enforceable leases with such exceptions as are not material and do not materially interfere with the use made and proposed to be made of such property and buildings by the Company and the Subsidiaries, in each case except as described in the Prospectus.</w:t>
      </w:r>
    </w:p>
    <w:p>
      <w:pPr>
        <w:spacing w:after="0" w:line="79" w:lineRule="exact"/>
        <w:rPr>
          <w:sz w:val="20"/>
          <w:szCs w:val="20"/>
          <w:color w:val="auto"/>
        </w:rPr>
      </w:pPr>
    </w:p>
    <w:p>
      <w:pPr>
        <w:ind w:firstLine="444"/>
        <w:spacing w:after="0" w:line="284" w:lineRule="auto"/>
        <w:tabs>
          <w:tab w:leader="none" w:pos="692"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Company and the Subsidiaries have valid, binding and enforceable rights or licenses under all patents, patent applications, patent rights, licenses, inventions, copyrights, know-how (including trade secrets and other unpatented and/or unpatentable proprietary or confidential information, systems or procedures), trademarks, service marks, trade names and other intellectual property used in or necessary for the conduct of the business of the Company and the Subsidiaries in the manner described in the Prospectus (collectively, the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except as enforceability of any licenses may be limited by bankruptcy and other similar laws affecting the rights of creditors generally and general principles of equity. To the knowledge of the Company, the patents, trademarks and copyrights, if any, included within the Intellectual Property are valid, enforceable and subsisting, other than as disclosed in the Prospectus. (i) Except as disclosed in the Prospectus, neither the Company nor any Subsidiary is obligated to pay a material royalty, grant a license to or provide other material consideration to any third party in connection with the Intellectual Property;</w:t>
      </w:r>
    </w:p>
    <w:p>
      <w:pPr>
        <w:spacing w:after="0" w:line="1" w:lineRule="exact"/>
        <w:rPr>
          <w:rFonts w:ascii="Arial" w:cs="Arial" w:eastAsia="Arial" w:hAnsi="Arial"/>
          <w:sz w:val="16"/>
          <w:szCs w:val="16"/>
          <w:color w:val="auto"/>
        </w:rPr>
      </w:pPr>
    </w:p>
    <w:p>
      <w:pPr>
        <w:ind w:right="40" w:firstLine="4"/>
        <w:spacing w:after="0" w:line="285" w:lineRule="auto"/>
        <w:tabs>
          <w:tab w:leader="none" w:pos="265"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neither the Company nor any Subsidiary has received any notice of any claim of infringement, misappropriation of or conflict with asserted rights of others with respect to any of the Company’s or any Subsidiary’s product candidates, processes or Intellectual Property; (iii) no action, suit, claim or other proceeding is pending or, to the knowledge of the Company, is threatened, challenging the Company’s or any Subsidiary’s rights in or to any Intellectual Property or challenging the validity, enforceability or scope of any Intellectual Property; (iv) except as disclosed in the Prospectus, none of the development, manufacture, sale or use of any of the discoveries, inventions, product candidates or processes of the Company referred to in the Prospectus do or will infringe or violate any right or issued patent claim of any third party in any material respect; (v) no third party has any ownership right in or to any Intellectual Property that is owned by the Company other than any co-owner of any patent constituting Intellectual Property who is listed on the records of the U.S. Patent and Trademark Office and any co-owner of any patent application constituting Intellectual Property who is named in such patent application; (vi) except as disclosed in the Prospectus or as would not, singly or in the aggregate, have a material adverse effect on the Company and the Subsidiaries, taken as a whole, the Intellectual Property owned by the Company or any Subsidiary is free and clear of all liens or encumbrances; (vii) none of the technology employed by the Company or any Subsidiary in the conduct of the business in the manner described in the Prospectus has been obtained or is being used by the Company or any Subsidiary in material violation of any contractual obligation binding on the Company or, to the knowledge of the Company, upon any of its officers, consultants, directors or employees and (viii) the Company has taken reasonable measures to protect its confidential information and trade secrets and to maintain and safeguard the Intellectual Property.</w:t>
      </w:r>
    </w:p>
    <w:p>
      <w:pPr>
        <w:spacing w:after="0" w:line="60" w:lineRule="exact"/>
        <w:rPr>
          <w:rFonts w:ascii="Arial" w:cs="Arial" w:eastAsia="Arial" w:hAnsi="Arial"/>
          <w:sz w:val="16"/>
          <w:szCs w:val="16"/>
          <w:color w:val="auto"/>
        </w:rPr>
      </w:pPr>
    </w:p>
    <w:p>
      <w:pPr>
        <w:ind w:right="160" w:firstLine="444"/>
        <w:spacing w:after="0" w:line="277" w:lineRule="auto"/>
        <w:tabs>
          <w:tab w:leader="none" w:pos="682"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the knowledge of the Company, all patent and patent applications licensed to the Company or any Subsidiary have been duly and properly filed, prosecuted and maintained in all material respects.</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20"/>
          </w:cols>
          <w:pgMar w:left="440" w:top="274" w:right="439" w:bottom="1440" w:gutter="0" w:footer="0" w:header="0"/>
        </w:sectPr>
      </w:pPr>
    </w:p>
    <w:bookmarkStart w:id="89" w:name="page90"/>
    <w:bookmarkEnd w:id="89"/>
    <w:p>
      <w:pPr>
        <w:ind w:left="-444" w:firstLine="444"/>
        <w:spacing w:after="0" w:line="284" w:lineRule="auto"/>
        <w:tabs>
          <w:tab w:leader="none" w:pos="318"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Subsidiaries have operated and currently are in compliance in all material respects with all applicable laws, rules and regulations of the jurisdictions in which they are conducting business. The Company and each Subsidiary (i) is and at all times has been in material compliance with all statutes, rules or regulations applicable to the ownership, testing, development, manufacture, packaging, processing, use, distribution, marketing, labeling, promotion, sale, offer for sale, storage, import, export or disposal of any product candidate under development, manufactured or distributed by the Company (“</w:t>
      </w:r>
      <w:r>
        <w:rPr>
          <w:rFonts w:ascii="Arial" w:cs="Arial" w:eastAsia="Arial" w:hAnsi="Arial"/>
          <w:sz w:val="16"/>
          <w:szCs w:val="16"/>
          <w:b w:val="1"/>
          <w:bCs w:val="1"/>
          <w:u w:val="single" w:color="auto"/>
          <w:color w:val="auto"/>
        </w:rPr>
        <w:t>Applicable Laws</w:t>
      </w:r>
      <w:r>
        <w:rPr>
          <w:rFonts w:ascii="Arial" w:cs="Arial" w:eastAsia="Arial" w:hAnsi="Arial"/>
          <w:sz w:val="16"/>
          <w:szCs w:val="16"/>
          <w:color w:val="auto"/>
        </w:rPr>
        <w:t>”); (ii) has not received any FDA Form 483, notice of adverse finding, warning letter, untitled letter or other written correspondence or notice from the U.S. Food and Drug Administration (the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Applicable Laws to conduct the Company’s business as described in the Prospectus (“</w:t>
      </w:r>
      <w:r>
        <w:rPr>
          <w:rFonts w:ascii="Arial" w:cs="Arial" w:eastAsia="Arial" w:hAnsi="Arial"/>
          <w:sz w:val="16"/>
          <w:szCs w:val="16"/>
          <w:b w:val="1"/>
          <w:bCs w:val="1"/>
          <w:u w:val="single" w:color="auto"/>
          <w:color w:val="auto"/>
        </w:rPr>
        <w:t>Authorizations</w:t>
      </w:r>
      <w:r>
        <w:rPr>
          <w:rFonts w:ascii="Arial" w:cs="Arial" w:eastAsia="Arial" w:hAnsi="Arial"/>
          <w:sz w:val="16"/>
          <w:szCs w:val="16"/>
          <w:color w:val="auto"/>
        </w:rPr>
        <w:t>”); (iii) possesses all material Authorizations and such Authorizations are valid and in full force and effect and neither the Company nor any Subsidiary is in material violation of any such Authorizations; (iv) has not received notice of any pending or completed claim, action, suit, proceeding, hearing, enforcement, investigation, arbitration or other action from the FDA or any other federal, state, local or foreign governmental or regulatory authority or third party alleging that any product candidate operation or activity is in material violation of any Applicable Laws or Authorizations and the Company has no knowledge that the FDA or any other federal, state, local or foreign governmental or regulatory authority or third party is considering any such claim, litigation, arbitration, action, suit, investigation or proceeding; (v) has not received notice that the FDA or any other federal, state, local or foreign governmental or regulatory authority has taken, is taking or intends to take action to limit, suspend, modify or revoke any material Authorizations and has no knowledge that the FDA or any other federal, state, local or foreign governmental or regulatory authority is considering such action; (vi) has filed, obtained, maintained or submitted all material reports, documents, forms, notices, applications, records, claims, submissions and supplements or amendments as required by any Applicable Laws or Authorizations and all such reports, documents, forms, notices, applications, records, claims, submissions and supplements or amendments were materially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“dear doctor” letter or other notice or action relating to the alleged lack of safety or efficacy of any product candidate or any alleged product candidate defect or violation and, to the Company’s knowledge, no third party has initiated, conducted or intends to initiate any such notice or action.</w:t>
      </w:r>
    </w:p>
    <w:p>
      <w:pPr>
        <w:spacing w:after="0" w:line="70" w:lineRule="exact"/>
        <w:rPr>
          <w:rFonts w:ascii="Arial" w:cs="Arial" w:eastAsia="Arial" w:hAnsi="Arial"/>
          <w:sz w:val="16"/>
          <w:szCs w:val="16"/>
          <w:color w:val="auto"/>
        </w:rPr>
      </w:pPr>
    </w:p>
    <w:p>
      <w:pPr>
        <w:ind w:left="-444" w:firstLine="444"/>
        <w:spacing w:after="0" w:line="255" w:lineRule="auto"/>
        <w:tabs>
          <w:tab w:leader="none" w:pos="33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studies, tests and preclinical and clinical trials conducted by the Company that are described in the Registration Statement and the Prospectus and, to the Company’s knowledge, those studies, tests and preclinical and clinical trials conducted on behalf of the Company, were and, if still pending, are being conducted in all material respects in accordance with experimental protocols, procedures and controls pursuant to accepted professional scientific standards and all Applicable Laws and Authorizations, including, without limitation, the Federal Food, Drug and Cosmetic Act and the rules and regulations promulgated thereunder. The descriptions of the results of such studies, tests and trials contained in the Registration Statement and the Prospectus are accurate and complete and fairly present the data derived from such studies, tests and trials in all material respects. The Company is not aware of any studies, tests or</w:t>
      </w:r>
    </w:p>
    <w:p>
      <w:pPr>
        <w:spacing w:after="0" w:line="121" w:lineRule="exact"/>
        <w:rPr>
          <w:rFonts w:ascii="Arial" w:cs="Arial" w:eastAsia="Arial" w:hAnsi="Arial"/>
          <w:sz w:val="18"/>
          <w:szCs w:val="18"/>
          <w:color w:val="auto"/>
        </w:rPr>
      </w:pPr>
    </w:p>
    <w:p>
      <w:pPr>
        <w:ind w:left="4976" w:hanging="98"/>
        <w:spacing w:after="0"/>
        <w:tabs>
          <w:tab w:leader="none" w:pos="4976" w:val="left"/>
        </w:tabs>
        <w:numPr>
          <w:ilvl w:val="1"/>
          <w:numId w:val="8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556"/>
          </w:cols>
          <w:pgMar w:left="884" w:top="274" w:right="459" w:bottom="1440" w:gutter="0" w:footer="0" w:header="0"/>
        </w:sectPr>
      </w:pPr>
    </w:p>
    <w:bookmarkStart w:id="90" w:name="page91"/>
    <w:bookmarkEnd w:id="9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trials, the results of which the Company believes are materially inconsistent with the study, test or trial results described or referred to in the Registration Statement and the Prospectus when viewed in the context in which such results are described and the clinical state of development. The Company has not received any notices or written correspondence from the FDA or any other federal, state, local or foreign governmental or regulatory authority requiring the termination, suspension or material modification of any studies, tests or preclinical or clinical trials conducted by or on behalf of the Company.</w:t>
      </w:r>
    </w:p>
    <w:p>
      <w:pPr>
        <w:spacing w:after="0" w:line="80" w:lineRule="exact"/>
        <w:rPr>
          <w:sz w:val="20"/>
          <w:szCs w:val="20"/>
          <w:color w:val="auto"/>
        </w:rPr>
      </w:pPr>
    </w:p>
    <w:p>
      <w:pPr>
        <w:ind w:right="60" w:firstLine="444"/>
        <w:spacing w:after="0" w:line="290" w:lineRule="auto"/>
        <w:tabs>
          <w:tab w:leader="none" w:pos="7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and each Subsidiary has filed and received approval of all Authorizations issued by, and have made all declarations and filings with, the FDA or any other federal, state, local or foreign governmental or regulatory authority that are necessary for the ownership or lease of their respective properties or the conduct of their respective businesses as described in the Prospectus, or to permit all clinical and nonclinical studies and trials conducted by or on behalf of the Company or any Subsidiary, including, without limitation, all necessary FDA and applicable foreign regulatory agency approvals. The Company and each Subsidiary is in compliance with and are not in violation of, or in default under, any such Authorization. To the knowledge of the Company, no event has occurred which allows, or after notice or lapse of time would allow, revocation, termination or modification of any Authorization or result in any other material impairment of the rights of the holder of any Authorization and the Company does not have any reason to believe that any Authorization will not be renewed in the ordinary course. All Authorizations are in full force and effect.</w:t>
      </w:r>
    </w:p>
    <w:p>
      <w:pPr>
        <w:spacing w:after="0" w:line="58" w:lineRule="exact"/>
        <w:rPr>
          <w:rFonts w:ascii="Arial" w:cs="Arial" w:eastAsia="Arial" w:hAnsi="Arial"/>
          <w:sz w:val="16"/>
          <w:szCs w:val="16"/>
          <w:color w:val="auto"/>
        </w:rPr>
      </w:pPr>
    </w:p>
    <w:p>
      <w:pPr>
        <w:ind w:right="40" w:firstLine="444"/>
        <w:spacing w:after="0" w:line="259" w:lineRule="auto"/>
        <w:tabs>
          <w:tab w:leader="none" w:pos="7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of its officers, directors or managing employees (as defined in 42 U.S.C. § 1320a-5(b)) is or has been excluded, suspended or debarred from participation in any state or federal health care program, or made subject to any pending or, to the Company’s knowledge, threatened or contemplated action which could reasonably be expected to result in such exclusion, suspension or debarment.</w:t>
      </w:r>
    </w:p>
    <w:p>
      <w:pPr>
        <w:spacing w:after="0" w:line="78" w:lineRule="exact"/>
        <w:rPr>
          <w:rFonts w:ascii="Arial" w:cs="Arial" w:eastAsia="Arial" w:hAnsi="Arial"/>
          <w:sz w:val="18"/>
          <w:szCs w:val="18"/>
          <w:color w:val="auto"/>
        </w:rPr>
      </w:pPr>
    </w:p>
    <w:p>
      <w:pPr>
        <w:ind w:right="440" w:firstLine="444"/>
        <w:spacing w:after="0" w:line="308" w:lineRule="auto"/>
        <w:tabs>
          <w:tab w:leader="none" w:pos="76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the knowledge of the Company, the manufacturing facilities and operations of its suppliers are operated in compliance in all material respects with all Applicable Laws.</w:t>
      </w:r>
    </w:p>
    <w:p>
      <w:pPr>
        <w:spacing w:after="0" w:line="38" w:lineRule="exact"/>
        <w:rPr>
          <w:rFonts w:ascii="Arial" w:cs="Arial" w:eastAsia="Arial" w:hAnsi="Arial"/>
          <w:sz w:val="17"/>
          <w:szCs w:val="17"/>
          <w:color w:val="auto"/>
        </w:rPr>
      </w:pPr>
    </w:p>
    <w:p>
      <w:pPr>
        <w:ind w:right="240" w:firstLine="444"/>
        <w:spacing w:after="0" w:line="277" w:lineRule="auto"/>
        <w:tabs>
          <w:tab w:leader="none" w:pos="722"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None of the Company’s or any Subsidiary’s product candidates have received marketing approval from the FDA or any other federal, state, local or foreign governmental or regulatory authority.</w:t>
      </w:r>
    </w:p>
    <w:p>
      <w:pPr>
        <w:spacing w:after="0" w:line="62" w:lineRule="exact"/>
        <w:rPr>
          <w:rFonts w:ascii="Arial" w:cs="Arial" w:eastAsia="Arial" w:hAnsi="Arial"/>
          <w:sz w:val="18"/>
          <w:szCs w:val="18"/>
          <w:color w:val="auto"/>
        </w:rPr>
      </w:pPr>
    </w:p>
    <w:p>
      <w:pPr>
        <w:ind w:right="60" w:firstLine="444"/>
        <w:spacing w:after="0" w:line="312" w:lineRule="auto"/>
        <w:tabs>
          <w:tab w:leader="none" w:pos="786"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or any Subsidiary exists, except as described in the Prospectus, or, to the knowledge of the Company, is imminent. The Company is not aware of any existing, threatened or imminent labor disturbance by the employees of any of its principal suppliers, manufacturers or contractors that could have a material adverse effect on the Company and the Subsidiaries, taken as a whole.</w:t>
      </w:r>
    </w:p>
    <w:p>
      <w:pPr>
        <w:spacing w:after="0" w:line="38" w:lineRule="exact"/>
        <w:rPr>
          <w:rFonts w:ascii="Arial" w:cs="Arial" w:eastAsia="Arial" w:hAnsi="Arial"/>
          <w:sz w:val="16"/>
          <w:szCs w:val="16"/>
          <w:color w:val="auto"/>
        </w:rPr>
      </w:pPr>
    </w:p>
    <w:p>
      <w:pPr>
        <w:ind w:right="60" w:firstLine="444"/>
        <w:spacing w:after="0" w:line="255" w:lineRule="auto"/>
        <w:tabs>
          <w:tab w:leader="none" w:pos="7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(i) as described in the Prospectus or (ii) as would not, singly or in the aggregate, have, or reasonably be expected to have, a material adverse effect on the Company and the Subsidiaries, taken as a whole, each employee benefit plan, within the meaning of Section 3(3) of the Employee Retirement Income Security Act of 1974, as amended (“</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that the Company or any member of its “Controlled Group” (defined as any organization which is under common control with the Company within the meaning of Section 414 of the Internal Revenue Code of 1986, as amended (the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sponsors or maintains has been maintained in compliance with its terms and the requirements of any applicable statutes, orders, rules and regulations, including but not limited to ERISA and the Code.</w:t>
      </w:r>
    </w:p>
    <w:p>
      <w:pPr>
        <w:spacing w:after="0" w:line="125" w:lineRule="exact"/>
        <w:rPr>
          <w:rFonts w:ascii="Arial" w:cs="Arial" w:eastAsia="Arial" w:hAnsi="Arial"/>
          <w:sz w:val="18"/>
          <w:szCs w:val="18"/>
          <w:color w:val="auto"/>
        </w:rPr>
      </w:pPr>
    </w:p>
    <w:p>
      <w:pPr>
        <w:ind w:left="5420" w:hanging="101"/>
        <w:spacing w:after="0"/>
        <w:tabs>
          <w:tab w:leader="none" w:pos="54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274" w:right="459" w:bottom="1440" w:gutter="0" w:footer="0" w:header="0"/>
        </w:sectPr>
      </w:pPr>
    </w:p>
    <w:bookmarkStart w:id="91" w:name="page92"/>
    <w:bookmarkEnd w:id="91"/>
    <w:p>
      <w:pPr>
        <w:ind w:left="-444" w:firstLine="444"/>
        <w:spacing w:after="0" w:line="273" w:lineRule="auto"/>
        <w:tabs>
          <w:tab w:leader="none" w:pos="258" w:val="left"/>
        </w:tabs>
        <w:numPr>
          <w:ilvl w:val="0"/>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each Subsidiary is insured by insurers of recognized financial responsibility against such losses and risks and in such amounts as, in the Company’s reasonable judgment, are prudent and customary in the businesses in which they are engaged. Neither the Company nor any Subsidiary has been refused any insurance coverage sought or applied for.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the Subsidiaries, taken as a whole, except as described in the Prospectus.</w:t>
      </w:r>
    </w:p>
    <w:p>
      <w:pPr>
        <w:spacing w:after="0" w:line="70" w:lineRule="exact"/>
        <w:rPr>
          <w:rFonts w:ascii="Arial" w:cs="Arial" w:eastAsia="Arial" w:hAnsi="Arial"/>
          <w:sz w:val="17"/>
          <w:szCs w:val="17"/>
          <w:color w:val="auto"/>
        </w:rPr>
      </w:pPr>
    </w:p>
    <w:p>
      <w:pPr>
        <w:ind w:left="-444" w:right="180" w:firstLine="444"/>
        <w:spacing w:after="0" w:line="293" w:lineRule="auto"/>
        <w:tabs>
          <w:tab w:leader="none" w:pos="25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and the Subsidiaries possess all certificates, authorizations and permits issued by the appropriate federal, state or foreign regulatory authorities necessary to conduct their respective businesses, except where the failure to possess such certificates, authorizations or permits, individually or in the aggregate, would not reasonably be expected to have a material adverse effect on the Company and the Subsidiaries, taken as a whole, and neither the Company nor any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the Subsidiaries, taken as a whole, except as described in the Prospectus.</w:t>
      </w:r>
    </w:p>
    <w:p>
      <w:pPr>
        <w:spacing w:after="0" w:line="56" w:lineRule="exact"/>
        <w:rPr>
          <w:rFonts w:ascii="Arial" w:cs="Arial" w:eastAsia="Arial" w:hAnsi="Arial"/>
          <w:sz w:val="16"/>
          <w:szCs w:val="16"/>
          <w:color w:val="auto"/>
        </w:rPr>
      </w:pPr>
    </w:p>
    <w:p>
      <w:pPr>
        <w:ind w:left="-444" w:right="360" w:firstLine="444"/>
        <w:spacing w:after="0" w:line="264" w:lineRule="auto"/>
        <w:tabs>
          <w:tab w:leader="none" w:pos="3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Ernst &amp; Young LLP, which has certified certain financial statements of the Company and the Subsidiaries, is an independent public accountant as required by the Securities Act and the rules and regulations of the Commission thereunder and the rules and regulations of the Public Company Accounting Oversight Board (United States).</w:t>
      </w:r>
    </w:p>
    <w:p>
      <w:pPr>
        <w:spacing w:after="0" w:line="73" w:lineRule="exact"/>
        <w:rPr>
          <w:rFonts w:ascii="Arial" w:cs="Arial" w:eastAsia="Arial" w:hAnsi="Arial"/>
          <w:sz w:val="18"/>
          <w:szCs w:val="18"/>
          <w:color w:val="auto"/>
        </w:rPr>
      </w:pPr>
    </w:p>
    <w:p>
      <w:pPr>
        <w:ind w:left="-444" w:firstLine="444"/>
        <w:spacing w:after="0" w:line="287" w:lineRule="auto"/>
        <w:tabs>
          <w:tab w:leader="none" w:pos="25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included or incorporated by reference in the Registration Statement and the Prospectus, together with the related notes, present fairly in all material respects the financial position of the Company and its consolidated Subsidiaries at the dates indicated therein and, in the case of the statements of operations, stockholders’ equity and cash flows of the Company and its consolidated Subsidiaries, for the periods specified therein. The consolidated financial statements of the Company included or incorporated by reference in the Registration Statement and the Prospectus comply in all material respects with the applicable requirements of the Securities Act and have been prepared in conformity with U.S. generally accepted accounting principles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historical or pro forma financial statements or supporting schedules are required to be included or incorporated by reference in the Registration Statement or the Prospectus under the Securities Act and the rules and regulations of the Commission thereunder. To the extent included or incorporated by reference in the Registration Statement or the Prospectus, the pro forma financial information and the related notes thereto included or incorporated by reference therein have been prepared in accordance with the applicable requirements of the Securities Act and comply with Regulation G of the Securities Exchange Act</w:t>
      </w:r>
    </w:p>
    <w:p>
      <w:pPr>
        <w:spacing w:after="0" w:line="101" w:lineRule="exact"/>
        <w:rPr>
          <w:rFonts w:ascii="Arial" w:cs="Arial" w:eastAsia="Arial" w:hAnsi="Arial"/>
          <w:sz w:val="16"/>
          <w:szCs w:val="16"/>
          <w:color w:val="auto"/>
        </w:rPr>
      </w:pPr>
    </w:p>
    <w:p>
      <w:pPr>
        <w:ind w:left="4976" w:hanging="101"/>
        <w:spacing w:after="0"/>
        <w:tabs>
          <w:tab w:leader="none" w:pos="49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516"/>
          </w:cols>
          <w:pgMar w:left="884" w:top="274" w:right="499" w:bottom="1440" w:gutter="0" w:footer="0" w:header="0"/>
        </w:sectPr>
      </w:pPr>
    </w:p>
    <w:bookmarkStart w:id="92" w:name="page93"/>
    <w:bookmarkEnd w:id="92"/>
    <w:p>
      <w:pPr>
        <w:ind w:right="8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1934, as amended (the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and Item 10 of Regulation S-K of the Securities Act, to the extent applicable, and the assumptions underlying such pro forma financial information are reasonable and are set forth in the Registration Statement and the Prospectus in all material respects. All other information regarding the financial condition or results of operations of the Company or the Subsidiaries included or incorporated by reference in the Registration Statement or the Prospectus has been derived from the accounting records of the Company and its consolidated Subsidiaries and presents fairly in all material respects the information shown thereby.</w:t>
      </w:r>
    </w:p>
    <w:p>
      <w:pPr>
        <w:spacing w:after="0" w:line="80" w:lineRule="exact"/>
        <w:rPr>
          <w:sz w:val="20"/>
          <w:szCs w:val="20"/>
          <w:color w:val="auto"/>
        </w:rPr>
      </w:pPr>
    </w:p>
    <w:p>
      <w:pPr>
        <w:ind w:left="880" w:hanging="436"/>
        <w:spacing w:after="0"/>
        <w:tabs>
          <w:tab w:leader="none" w:pos="8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Company and each Subsidiary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firstLine="4"/>
        <w:spacing w:after="0" w:line="287" w:lineRule="auto"/>
        <w:tabs>
          <w:tab w:leader="none" w:pos="2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in all material respects. Except as described in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62" w:lineRule="exact"/>
        <w:rPr>
          <w:rFonts w:ascii="Arial" w:cs="Arial" w:eastAsia="Arial" w:hAnsi="Arial"/>
          <w:sz w:val="16"/>
          <w:szCs w:val="16"/>
          <w:color w:val="auto"/>
        </w:rPr>
      </w:pPr>
    </w:p>
    <w:p>
      <w:pPr>
        <w:ind w:right="40" w:firstLine="444"/>
        <w:spacing w:after="0" w:line="257" w:lineRule="auto"/>
        <w:tabs>
          <w:tab w:leader="none" w:pos="786"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as disclosed in the Prospectus,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 The Company has conducted evaluations of the effectiveness of its disclosure controls and procedures as required by Rule 13a-15 of the Exchange Act.</w:t>
      </w:r>
    </w:p>
    <w:p>
      <w:pPr>
        <w:spacing w:after="0" w:line="80" w:lineRule="exact"/>
        <w:rPr>
          <w:rFonts w:ascii="Arial" w:cs="Arial" w:eastAsia="Arial" w:hAnsi="Arial"/>
          <w:sz w:val="18"/>
          <w:szCs w:val="18"/>
          <w:color w:val="auto"/>
        </w:rPr>
      </w:pPr>
    </w:p>
    <w:p>
      <w:pPr>
        <w:ind w:right="60" w:firstLine="444"/>
        <w:spacing w:after="0" w:line="259" w:lineRule="auto"/>
        <w:tabs>
          <w:tab w:leader="none" w:pos="786"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as described in the Prospectus, the Company has not sold, issued or distributed any shares of Common Stock during the six-month period preceding the date hereof, including any sales pursuant to Rule 144A under, or Regulations D or S of, the Securities Act, other than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100" w:firstLine="444"/>
        <w:spacing w:after="0" w:line="277" w:lineRule="auto"/>
        <w:tabs>
          <w:tab w:leader="none" w:pos="78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knowledge of the Company, neither the Company nor any Subsidiary has any securities rated by any “nationally recognized statistical rating organization,” as such term is defined in Section 3(a)(62) of the Exchange Act.</w:t>
      </w:r>
    </w:p>
    <w:p>
      <w:pPr>
        <w:spacing w:after="0" w:line="62" w:lineRule="exact"/>
        <w:rPr>
          <w:rFonts w:ascii="Arial" w:cs="Arial" w:eastAsia="Arial" w:hAnsi="Arial"/>
          <w:sz w:val="18"/>
          <w:szCs w:val="18"/>
          <w:color w:val="auto"/>
        </w:rPr>
      </w:pPr>
    </w:p>
    <w:p>
      <w:pPr>
        <w:ind w:firstLine="444"/>
        <w:spacing w:after="0" w:line="259" w:lineRule="auto"/>
        <w:tabs>
          <w:tab w:leader="none" w:pos="78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and each Subsidiary has filed all federal, state, local and foreign tax returns required to be filed by them through 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have a material</w:t>
      </w:r>
    </w:p>
    <w:p>
      <w:pPr>
        <w:spacing w:after="0" w:line="119" w:lineRule="exact"/>
        <w:rPr>
          <w:rFonts w:ascii="Arial" w:cs="Arial" w:eastAsia="Arial" w:hAnsi="Arial"/>
          <w:sz w:val="18"/>
          <w:szCs w:val="18"/>
          <w:color w:val="auto"/>
        </w:rPr>
      </w:pPr>
    </w:p>
    <w:p>
      <w:pPr>
        <w:ind w:left="5420" w:hanging="101"/>
        <w:spacing w:after="0"/>
        <w:tabs>
          <w:tab w:leader="none" w:pos="5420" w:val="left"/>
        </w:tabs>
        <w:numPr>
          <w:ilvl w:val="2"/>
          <w:numId w:val="88"/>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20"/>
          </w:cols>
          <w:pgMar w:left="440" w:top="270" w:right="439" w:bottom="1440" w:gutter="0" w:footer="0" w:header="0"/>
        </w:sectPr>
      </w:pPr>
    </w:p>
    <w:bookmarkStart w:id="93" w:name="page94"/>
    <w:bookmarkEnd w:id="93"/>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adverse effect, or, except as currently being contested in good faith and for which reserves required by GAAP have been created in the financial statements of the Company), and no tax deficiency has been determined adversely to the Company or any Subsidiary which has had (nor does the Company nor any Subsidiary have any notice or knowledge of any tax deficiency which could reasonably be expected to be determined adversely to the Company or the Subsidiaries and which could reasonably be expected to have) a material adverse effect.</w:t>
      </w:r>
    </w:p>
    <w:p>
      <w:pPr>
        <w:spacing w:after="0" w:line="63" w:lineRule="exact"/>
        <w:rPr>
          <w:sz w:val="20"/>
          <w:szCs w:val="20"/>
          <w:color w:val="auto"/>
        </w:rPr>
      </w:pPr>
    </w:p>
    <w:p>
      <w:pPr>
        <w:ind w:right="160" w:firstLine="444"/>
        <w:spacing w:after="0" w:line="257" w:lineRule="auto"/>
        <w:tabs>
          <w:tab w:leader="none" w:pos="72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and each Subsidiary has complied, and are presently in compliance, with its cybersecurity and privacy policies, to the extent such policies exist, and the Company’s and each Subsidiary’s (as applicable) obligations to third-parties that have been specifically identified and expressly agreed to in writing by the Company (and each Subsidiary, as applicable) regarding the collection, use, transfer, storage, protection, disposal and disclosure by the Company and each Subsidiary of personally identifiable information, except to the extent that the failure to do so would not reasonably be expected to have a material adverse effect.</w:t>
      </w:r>
    </w:p>
    <w:p>
      <w:pPr>
        <w:spacing w:after="0" w:line="80" w:lineRule="exact"/>
        <w:rPr>
          <w:rFonts w:ascii="Arial" w:cs="Arial" w:eastAsia="Arial" w:hAnsi="Arial"/>
          <w:sz w:val="18"/>
          <w:szCs w:val="18"/>
          <w:color w:val="auto"/>
        </w:rPr>
      </w:pPr>
    </w:p>
    <w:p>
      <w:pPr>
        <w:ind w:right="180" w:firstLine="444"/>
        <w:spacing w:after="0" w:line="286" w:lineRule="auto"/>
        <w:tabs>
          <w:tab w:leader="none" w:pos="742"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57" w:lineRule="exact"/>
        <w:rPr>
          <w:rFonts w:ascii="Arial" w:cs="Arial" w:eastAsia="Arial" w:hAnsi="Arial"/>
          <w:sz w:val="17"/>
          <w:szCs w:val="17"/>
          <w:color w:val="auto"/>
        </w:rPr>
      </w:pPr>
    </w:p>
    <w:p>
      <w:pPr>
        <w:ind w:firstLine="444"/>
        <w:spacing w:after="0" w:line="257" w:lineRule="auto"/>
        <w:tabs>
          <w:tab w:leader="none" w:pos="7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is subject to and in compliance in all material respects with the reporting requirements of Section 13 or Section 15(d) of the Exchange Act. The Common Stock is registered pursuant to Section 12(b) or 12(g) of the Exchange Act and is listed on the Exchange,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pacing w:after="0" w:line="80" w:lineRule="exact"/>
        <w:rPr>
          <w:rFonts w:ascii="Arial" w:cs="Arial" w:eastAsia="Arial" w:hAnsi="Arial"/>
          <w:sz w:val="18"/>
          <w:szCs w:val="18"/>
          <w:color w:val="auto"/>
        </w:rPr>
      </w:pPr>
    </w:p>
    <w:p>
      <w:pPr>
        <w:ind w:right="120" w:firstLine="444"/>
        <w:spacing w:after="0" w:line="277" w:lineRule="auto"/>
        <w:tabs>
          <w:tab w:leader="none" w:pos="7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than the Subsidiaries, the Company, directly or indirectly, owns no capital stock or other equity or ownership or proprietary interest in any corporation, partnership, association, trust or other entity.</w:t>
      </w:r>
    </w:p>
    <w:p>
      <w:pPr>
        <w:spacing w:after="0" w:line="62" w:lineRule="exact"/>
        <w:rPr>
          <w:rFonts w:ascii="Arial" w:cs="Arial" w:eastAsia="Arial" w:hAnsi="Arial"/>
          <w:sz w:val="18"/>
          <w:szCs w:val="18"/>
          <w:color w:val="auto"/>
        </w:rPr>
      </w:pPr>
    </w:p>
    <w:p>
      <w:pPr>
        <w:ind w:right="40" w:firstLine="444"/>
        <w:spacing w:after="0" w:line="277" w:lineRule="auto"/>
        <w:tabs>
          <w:tab w:leader="none" w:pos="7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for Cowen, there is no broker, finder or other party that is entitled to receive from the Company any brokerage or finder’s fee or other fee or commission as a result of the sale of Placement Shares pursuant to this Agreement.</w:t>
      </w:r>
    </w:p>
    <w:p>
      <w:pPr>
        <w:spacing w:after="0" w:line="62" w:lineRule="exact"/>
        <w:rPr>
          <w:rFonts w:ascii="Arial" w:cs="Arial" w:eastAsia="Arial" w:hAnsi="Arial"/>
          <w:sz w:val="18"/>
          <w:szCs w:val="18"/>
          <w:color w:val="auto"/>
        </w:rPr>
      </w:pPr>
    </w:p>
    <w:p>
      <w:pPr>
        <w:ind w:right="80" w:firstLine="444"/>
        <w:spacing w:after="0" w:line="308" w:lineRule="auto"/>
        <w:tabs>
          <w:tab w:leader="none" w:pos="862"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38" w:lineRule="exact"/>
        <w:rPr>
          <w:rFonts w:ascii="Arial" w:cs="Arial" w:eastAsia="Arial" w:hAnsi="Arial"/>
          <w:sz w:val="17"/>
          <w:szCs w:val="17"/>
          <w:color w:val="auto"/>
        </w:rPr>
      </w:pPr>
    </w:p>
    <w:p>
      <w:pPr>
        <w:ind w:right="40" w:firstLine="444"/>
        <w:spacing w:after="0" w:line="257" w:lineRule="auto"/>
        <w:tabs>
          <w:tab w:leader="none" w:pos="78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each Applicable Time,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20" w:lineRule="exact"/>
        <w:rPr>
          <w:rFonts w:ascii="Arial" w:cs="Arial" w:eastAsia="Arial" w:hAnsi="Arial"/>
          <w:sz w:val="18"/>
          <w:szCs w:val="18"/>
          <w:color w:val="auto"/>
        </w:rPr>
      </w:pPr>
    </w:p>
    <w:p>
      <w:pPr>
        <w:ind w:left="5420" w:hanging="101"/>
        <w:spacing w:after="0"/>
        <w:tabs>
          <w:tab w:leader="none" w:pos="5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00"/>
          </w:cols>
          <w:pgMar w:left="440" w:top="274" w:right="459" w:bottom="1440" w:gutter="0" w:footer="0" w:header="0"/>
        </w:sectPr>
      </w:pPr>
    </w:p>
    <w:bookmarkStart w:id="94" w:name="page95"/>
    <w:bookmarkEnd w:id="94"/>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signed by an officer of the Company and delivered to Cowen or to counsel for Cowen shall be deemed to be a representation and warranty by the Company to Cowen as to the matters set forth therein.</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The Company acknowledges that Cowen and, for purposes of the opinions to be delivered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counsel to the Company and counsel to Cowen, will rely upon the accuracy and truthfulness of the foregoing representations and hereby consents to such reliance.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Cowen that:</w:t>
      </w:r>
    </w:p>
    <w:p>
      <w:pPr>
        <w:spacing w:after="0" w:line="117" w:lineRule="exact"/>
        <w:rPr>
          <w:sz w:val="20"/>
          <w:szCs w:val="20"/>
          <w:color w:val="auto"/>
        </w:rPr>
      </w:pPr>
    </w:p>
    <w:p>
      <w:pPr>
        <w:ind w:firstLine="444"/>
        <w:spacing w:after="0" w:line="284" w:lineRule="auto"/>
        <w:tabs>
          <w:tab w:leader="none" w:pos="68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any period in which a Prospectus relating to any Placement Shares is required to be delivered by Cowen under the Securities Act (including in circumstances where such requirement may be satisfied pursuant to Rule 172 under the Securities Act), (i) the Company will notify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Cowen’s reasonable request, any amendments or supplements to the Registration Statement or Prospectus that, in Cowen’s reasonable opinion, may be necessary or advisable in connection with the distribution of the Placement Shares by Cowen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Cowen to make such request shall not relieve the Company of any obligation or liability hereunder, or affect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Cowen within a reasonable period of time before the filing and Cowen has not reasonably objected in writing thereto within two (2)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failure of Cowen to make such objection shall not relieve the Company of any obligation or liability hereunder, or affect Cowen’s right to rely on the representations and warranties made by the Company in this Agreement, (B) the Company has no obligation to provide Cowen any advance copy of such filing or to provide Cowen an opportunity to object to such filing if the filing does not name Cowen and does not relate to the transaction herein provided, and (C) the only remedy Cowen shall have with respect to the failure by the Company to provide Cowen with such copy of the filing of such amendment or supplement despite Cowen’s objection shall be to cease making sales under this Agreement) and the Company will furnish to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Cowen if at any time the Registration Statement shall no longer be effective as a result of the passage of time pursuant to Rule 415 under the Securities Act or otherwise. Prior to the initial sale of any Placement Shares, the Company shall file a final Prospectus pursuant to Rule 424(b) relating to the Placement Shares.</w:t>
      </w:r>
    </w:p>
    <w:p>
      <w:pPr>
        <w:spacing w:after="0" w:line="111" w:lineRule="exact"/>
        <w:rPr>
          <w:rFonts w:ascii="Arial" w:cs="Arial" w:eastAsia="Arial" w:hAnsi="Arial"/>
          <w:sz w:val="16"/>
          <w:szCs w:val="16"/>
          <w:color w:val="auto"/>
        </w:rPr>
      </w:pPr>
    </w:p>
    <w:p>
      <w:pPr>
        <w:ind w:left="5420" w:hanging="101"/>
        <w:spacing w:after="0"/>
        <w:tabs>
          <w:tab w:leader="none" w:pos="54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20"/>
          </w:cols>
          <w:pgMar w:left="440" w:top="274" w:right="439" w:bottom="1440" w:gutter="0" w:footer="0" w:header="0"/>
        </w:sectPr>
      </w:pPr>
    </w:p>
    <w:bookmarkStart w:id="95" w:name="page96"/>
    <w:bookmarkEnd w:id="95"/>
    <w:p>
      <w:pPr>
        <w:ind w:left="-444" w:firstLine="444"/>
        <w:spacing w:after="0" w:line="257" w:lineRule="auto"/>
        <w:tabs>
          <w:tab w:leader="none" w:pos="25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Commission Stop Orders</w:t>
      </w:r>
      <w:r>
        <w:rPr>
          <w:rFonts w:ascii="Arial" w:cs="Arial" w:eastAsia="Arial" w:hAnsi="Arial"/>
          <w:sz w:val="18"/>
          <w:szCs w:val="18"/>
          <w:color w:val="auto"/>
        </w:rPr>
        <w:t>. The Company will advise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80" w:lineRule="exact"/>
        <w:rPr>
          <w:rFonts w:ascii="Arial" w:cs="Arial" w:eastAsia="Arial" w:hAnsi="Arial"/>
          <w:sz w:val="18"/>
          <w:szCs w:val="18"/>
          <w:color w:val="auto"/>
        </w:rPr>
      </w:pPr>
    </w:p>
    <w:p>
      <w:pPr>
        <w:ind w:left="-444" w:right="120" w:firstLine="444"/>
        <w:spacing w:after="0" w:line="269" w:lineRule="auto"/>
        <w:tabs>
          <w:tab w:leader="none" w:pos="241"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Delivery of Prospectus; Subsequent Changes</w:t>
      </w:r>
      <w:r>
        <w:rPr>
          <w:rFonts w:ascii="Arial" w:cs="Arial" w:eastAsia="Arial" w:hAnsi="Arial"/>
          <w:sz w:val="17"/>
          <w:szCs w:val="17"/>
          <w:color w:val="auto"/>
        </w:rPr>
        <w:t>. During any period in which a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Cowen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74" w:lineRule="exact"/>
        <w:rPr>
          <w:rFonts w:ascii="Arial" w:cs="Arial" w:eastAsia="Arial" w:hAnsi="Arial"/>
          <w:sz w:val="17"/>
          <w:szCs w:val="17"/>
          <w:color w:val="auto"/>
        </w:rPr>
      </w:pPr>
    </w:p>
    <w:p>
      <w:pPr>
        <w:ind w:left="-444" w:right="40" w:firstLine="444"/>
        <w:spacing w:after="0" w:line="293" w:lineRule="auto"/>
        <w:tabs>
          <w:tab w:leader="none" w:pos="25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Listing of Placement Shares</w:t>
      </w:r>
      <w:r>
        <w:rPr>
          <w:rFonts w:ascii="Arial" w:cs="Arial" w:eastAsia="Arial" w:hAnsi="Arial"/>
          <w:sz w:val="16"/>
          <w:szCs w:val="16"/>
          <w:color w:val="auto"/>
        </w:rPr>
        <w:t xml:space="preserve">. During any period in which the Prospectus relating to the Placement Shares is required to be delivered by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Cowen reasonably designates and to continue such qualifications in effect so long as required for the distribution of the Placement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in connection therewith to qualify as a foreign corporation or dealer in securities or file a general consent to service of process in any jurisdiction.</w:t>
      </w:r>
    </w:p>
    <w:p>
      <w:pPr>
        <w:spacing w:after="0" w:line="56" w:lineRule="exact"/>
        <w:rPr>
          <w:rFonts w:ascii="Arial" w:cs="Arial" w:eastAsia="Arial" w:hAnsi="Arial"/>
          <w:sz w:val="16"/>
          <w:szCs w:val="16"/>
          <w:color w:val="auto"/>
        </w:rPr>
      </w:pPr>
    </w:p>
    <w:p>
      <w:pPr>
        <w:ind w:left="-444" w:right="20" w:firstLine="444"/>
        <w:spacing w:after="0" w:line="254" w:lineRule="auto"/>
        <w:tabs>
          <w:tab w:leader="none" w:pos="24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Delivery of Registration Statement and Prospectus</w:t>
      </w:r>
      <w:r>
        <w:rPr>
          <w:rFonts w:ascii="Arial" w:cs="Arial" w:eastAsia="Arial" w:hAnsi="Arial"/>
          <w:sz w:val="18"/>
          <w:szCs w:val="18"/>
          <w:color w:val="auto"/>
        </w:rPr>
        <w:t xml:space="preserve">. The Company will furnish to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Cowen may from time to time reasonably request and, at Cowen’s request, will also furnish copies of the Prospectus to each exchange or market on which sales of the Placement Shares may be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furnish any document (other than the Prospectus) to Cowen to the extent such document is available on EDGAR.</w:t>
      </w:r>
    </w:p>
    <w:p>
      <w:pPr>
        <w:spacing w:after="0" w:line="124" w:lineRule="exact"/>
        <w:rPr>
          <w:rFonts w:ascii="Arial" w:cs="Arial" w:eastAsia="Arial" w:hAnsi="Arial"/>
          <w:sz w:val="18"/>
          <w:szCs w:val="18"/>
          <w:color w:val="auto"/>
        </w:rPr>
      </w:pPr>
    </w:p>
    <w:p>
      <w:pPr>
        <w:ind w:left="4976" w:hanging="101"/>
        <w:spacing w:after="0"/>
        <w:tabs>
          <w:tab w:leader="none" w:pos="4976" w:val="left"/>
        </w:tabs>
        <w:numPr>
          <w:ilvl w:val="1"/>
          <w:numId w:val="91"/>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576"/>
          </w:cols>
          <w:pgMar w:left="884" w:top="274" w:right="439" w:bottom="1440" w:gutter="0" w:footer="0" w:header="0"/>
        </w:sectPr>
      </w:pPr>
    </w:p>
    <w:bookmarkStart w:id="96" w:name="page97"/>
    <w:bookmarkEnd w:id="96"/>
    <w:p>
      <w:pPr>
        <w:ind w:left="-444" w:firstLine="444"/>
        <w:spacing w:after="0" w:line="312" w:lineRule="auto"/>
        <w:tabs>
          <w:tab w:leader="none" w:pos="22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Statement</w:t>
      </w:r>
      <w:r>
        <w:rPr>
          <w:rFonts w:ascii="Arial" w:cs="Arial" w:eastAsia="Arial" w:hAnsi="Arial"/>
          <w:sz w:val="16"/>
          <w:szCs w:val="16"/>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which requirement may be satisfied by publicly filing the required information on EDGAR.</w:t>
      </w:r>
    </w:p>
    <w:p>
      <w:pPr>
        <w:spacing w:after="0" w:line="38" w:lineRule="exact"/>
        <w:rPr>
          <w:rFonts w:ascii="Arial" w:cs="Arial" w:eastAsia="Arial" w:hAnsi="Arial"/>
          <w:sz w:val="16"/>
          <w:szCs w:val="16"/>
          <w:color w:val="auto"/>
        </w:rPr>
      </w:pPr>
    </w:p>
    <w:p>
      <w:pPr>
        <w:ind w:left="-444" w:right="80" w:firstLine="444"/>
        <w:spacing w:after="0" w:line="287" w:lineRule="auto"/>
        <w:tabs>
          <w:tab w:leader="none" w:pos="25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Company, whether or not the transactions contemplated hereunder are consummated or this Agreement is terminated, in accordance with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of this Agreement, including filing fees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fees or disbursements of counsel for Cowen in connection therewith shall be paid by Cowen except as set forth in (vii) below), (iv) the printing and delivery to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Cowen’s outside counsel for filings with the FINRA Corporate Financing Department, such legal expense reimbursement not to exceed $10,000 in the aggregate and (viii) the reasonable fees and disbursements of Cowen’s counsel in an amount not to exceed $50,000 in the aggregate.</w:t>
      </w:r>
    </w:p>
    <w:p>
      <w:pPr>
        <w:spacing w:after="0" w:line="64" w:lineRule="exact"/>
        <w:rPr>
          <w:rFonts w:ascii="Arial" w:cs="Arial" w:eastAsia="Arial" w:hAnsi="Arial"/>
          <w:sz w:val="16"/>
          <w:szCs w:val="16"/>
          <w:color w:val="auto"/>
        </w:rPr>
      </w:pPr>
    </w:p>
    <w:p>
      <w:pPr>
        <w:ind w:left="256" w:hanging="256"/>
        <w:spacing w:after="0"/>
        <w:tabs>
          <w:tab w:leader="none" w:pos="256" w:val="left"/>
        </w:tabs>
        <w:numPr>
          <w:ilvl w:val="0"/>
          <w:numId w:val="92"/>
        </w:numPr>
        <w:rPr>
          <w:rFonts w:ascii="Arial" w:cs="Arial" w:eastAsia="Arial" w:hAnsi="Arial"/>
          <w:sz w:val="17"/>
          <w:szCs w:val="17"/>
          <w:color w:val="auto"/>
        </w:rPr>
      </w:pPr>
      <w:r>
        <w:rPr>
          <w:rFonts w:ascii="Arial" w:cs="Arial" w:eastAsia="Arial" w:hAnsi="Arial"/>
          <w:sz w:val="17"/>
          <w:szCs w:val="17"/>
          <w:color w:val="auto"/>
        </w:rPr>
        <w:t>Use of Proceeds. The Company will use the Net Proceeds as described in the Prospectus in the section entitled “Use of Proceeds.”</w:t>
      </w:r>
    </w:p>
    <w:p>
      <w:pPr>
        <w:spacing w:after="0" w:line="128" w:lineRule="exact"/>
        <w:rPr>
          <w:rFonts w:ascii="Arial" w:cs="Arial" w:eastAsia="Arial" w:hAnsi="Arial"/>
          <w:sz w:val="17"/>
          <w:szCs w:val="17"/>
          <w:color w:val="auto"/>
        </w:rPr>
      </w:pPr>
    </w:p>
    <w:p>
      <w:pPr>
        <w:ind w:left="-444" w:right="20" w:firstLine="444"/>
        <w:spacing w:after="0" w:line="269" w:lineRule="auto"/>
        <w:tabs>
          <w:tab w:leader="none" w:pos="21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Notice of Other Sales</w:t>
      </w:r>
      <w:r>
        <w:rPr>
          <w:rFonts w:ascii="Arial" w:cs="Arial" w:eastAsia="Arial" w:hAnsi="Arial"/>
          <w:sz w:val="17"/>
          <w:szCs w:val="17"/>
          <w:color w:val="auto"/>
        </w:rPr>
        <w:t xml:space="preserve">. During the pendency of any Placement Notice given hereunder, and for three (3) trading days following the termination of any Placement Notice given hereunder, the Company shall provide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17"/>
          <w:szCs w:val="17"/>
          <w:i w:val="1"/>
          <w:iCs w:val="1"/>
          <w:color w:val="auto"/>
        </w:rPr>
        <w:t>provided</w:t>
      </w:r>
      <w:r>
        <w:rPr>
          <w:rFonts w:ascii="Arial" w:cs="Arial" w:eastAsia="Arial" w:hAnsi="Arial"/>
          <w:sz w:val="17"/>
          <w:szCs w:val="17"/>
          <w:color w:val="auto"/>
        </w:rPr>
        <w:t>, that such notice shall not be required in connection with (i) the issuance, grant or sale of Common Stock, options to purchase shares of Common Stock or Common Stock issuable upon the exercise of options or other equity awards pursuant to any stock option, stock bonus or other stock plan or arrangement described in the Prospectus or pursuant to any qualifying inducement award under Nasdaq rules,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Cowen in advance, (iv) the issuance or sale of any shares of common stock issuable upon the exchange, conversion or redemption of securities or the exercise of warrants, options or other rights in effect or outstanding, or (v) the issuance or sale of shares of Common Stock, or securities convertible into or exercisable for Common Stock, offered and sold in a privately negotiated</w:t>
      </w:r>
    </w:p>
    <w:p>
      <w:pPr>
        <w:spacing w:after="0" w:line="112" w:lineRule="exact"/>
        <w:rPr>
          <w:rFonts w:ascii="Arial" w:cs="Arial" w:eastAsia="Arial" w:hAnsi="Arial"/>
          <w:sz w:val="17"/>
          <w:szCs w:val="17"/>
          <w:color w:val="auto"/>
        </w:rPr>
      </w:pPr>
    </w:p>
    <w:p>
      <w:pPr>
        <w:ind w:left="4976" w:hanging="101"/>
        <w:spacing w:after="0"/>
        <w:tabs>
          <w:tab w:leader="none" w:pos="4976" w:val="left"/>
        </w:tabs>
        <w:numPr>
          <w:ilvl w:val="1"/>
          <w:numId w:val="92"/>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-1957070</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0576"/>
          </w:cols>
          <w:pgMar w:left="884" w:top="274" w:right="439" w:bottom="1440" w:gutter="0" w:footer="0" w:header="0"/>
        </w:sectPr>
      </w:pPr>
    </w:p>
    <w:bookmarkStart w:id="97" w:name="page98"/>
    <w:bookmarkEnd w:id="97"/>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to vendors, customers, investors, strategic partners or potential strategic partners, collaborators, joint venturers, equipment leasing providers, financial institutions or other lenders in connection with debt arrangements, or in connection with a merger, acquisition or similar activities, and otherwise conducted in a manner so as not to be integrated with the offering of Common Stock hereby. For avoidance of doubt, nothing herein shall be construed to restrict the Company’s ability, or require the Company to provide notice to Cowen, to file a registration statement with the Commission.</w:t>
      </w:r>
    </w:p>
    <w:p>
      <w:pPr>
        <w:spacing w:after="0" w:line="46" w:lineRule="exact"/>
        <w:rPr>
          <w:sz w:val="20"/>
          <w:szCs w:val="20"/>
          <w:color w:val="auto"/>
        </w:rPr>
      </w:pPr>
    </w:p>
    <w:p>
      <w:pPr>
        <w:ind w:firstLine="444"/>
        <w:spacing w:after="0" w:line="312" w:lineRule="auto"/>
        <w:tabs>
          <w:tab w:leader="none" w:pos="655"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Change of Circumstances</w:t>
      </w:r>
      <w:r>
        <w:rPr>
          <w:rFonts w:ascii="Arial" w:cs="Arial" w:eastAsia="Arial" w:hAnsi="Arial"/>
          <w:sz w:val="16"/>
          <w:szCs w:val="16"/>
          <w:color w:val="auto"/>
        </w:rPr>
        <w:t>. The Company will, at any time during a fiscal quarter in which the Company intends to tender a Placement Notice or sell Placement Shares, advise Cowen promptly after it shall have received notice or obtained knowledge thereof, of any information or fact that would alter or affect in any material respect any opinion, certificate, letter or other document provided to Cowen pursuant to this Agreement.</w:t>
      </w:r>
    </w:p>
    <w:p>
      <w:pPr>
        <w:spacing w:after="0" w:line="38" w:lineRule="exact"/>
        <w:rPr>
          <w:rFonts w:ascii="Arial" w:cs="Arial" w:eastAsia="Arial" w:hAnsi="Arial"/>
          <w:sz w:val="16"/>
          <w:szCs w:val="16"/>
          <w:color w:val="auto"/>
        </w:rPr>
      </w:pPr>
    </w:p>
    <w:p>
      <w:pPr>
        <w:ind w:right="120" w:firstLine="444"/>
        <w:spacing w:after="0" w:line="286" w:lineRule="auto"/>
        <w:tabs>
          <w:tab w:leader="none" w:pos="695"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Due Diligence Cooperation</w:t>
      </w:r>
      <w:r>
        <w:rPr>
          <w:rFonts w:ascii="Arial" w:cs="Arial" w:eastAsia="Arial" w:hAnsi="Arial"/>
          <w:sz w:val="17"/>
          <w:szCs w:val="17"/>
          <w:color w:val="auto"/>
        </w:rPr>
        <w:t>. The Company will cooperate with any reasonable due diligence review conducted by Cowen or its agents in connection with the transactions contemplated hereby, including, without limitation, providing information and making available documents and senior corporate officers, during regular business hours and at the Company’s principal offices, as Cowen may reasonably request.</w:t>
      </w:r>
    </w:p>
    <w:p>
      <w:pPr>
        <w:spacing w:after="0" w:line="57" w:lineRule="exact"/>
        <w:rPr>
          <w:rFonts w:ascii="Arial" w:cs="Arial" w:eastAsia="Arial" w:hAnsi="Arial"/>
          <w:sz w:val="17"/>
          <w:szCs w:val="17"/>
          <w:color w:val="auto"/>
        </w:rPr>
      </w:pPr>
    </w:p>
    <w:p>
      <w:pPr>
        <w:ind w:right="20" w:firstLine="444"/>
        <w:spacing w:after="0" w:line="272" w:lineRule="auto"/>
        <w:tabs>
          <w:tab w:leader="none" w:pos="655"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Required Filings Relating to Placement of Placement Shares</w:t>
      </w:r>
      <w:r>
        <w:rPr>
          <w:rFonts w:ascii="Arial" w:cs="Arial" w:eastAsia="Arial" w:hAnsi="Arial"/>
          <w:sz w:val="17"/>
          <w:szCs w:val="17"/>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7"/>
          <w:szCs w:val="17"/>
          <w:b w:val="1"/>
          <w:bCs w:val="1"/>
          <w:u w:val="single" w:color="auto"/>
          <w:color w:val="auto"/>
        </w:rPr>
        <w:t>Filing Date</w:t>
      </w:r>
      <w:r>
        <w:rPr>
          <w:rFonts w:ascii="Arial" w:cs="Arial" w:eastAsia="Arial" w:hAnsi="Arial"/>
          <w:sz w:val="17"/>
          <w:szCs w:val="17"/>
          <w:color w:val="auto"/>
        </w:rPr>
        <w:t xml:space="preserve">”), which prospectus supplement will set forth, within the relevant period, the amount of Placement Shares sold through Cowen, the Net Proceeds to the Company and the compensation payable by the Company to Cowen with respect to such Placement Shares (provided that the Company may satisfy its obligations under this </w:t>
      </w:r>
      <w:r>
        <w:rPr>
          <w:rFonts w:ascii="Arial" w:cs="Arial" w:eastAsia="Arial" w:hAnsi="Arial"/>
          <w:sz w:val="17"/>
          <w:szCs w:val="17"/>
          <w:u w:val="single" w:color="auto"/>
          <w:color w:val="auto"/>
        </w:rPr>
        <w:t>Section 7(l)(i)</w:t>
      </w:r>
      <w:r>
        <w:rPr>
          <w:rFonts w:ascii="Arial" w:cs="Arial" w:eastAsia="Arial" w:hAnsi="Arial"/>
          <w:sz w:val="17"/>
          <w:szCs w:val="17"/>
          <w:color w:val="auto"/>
        </w:rPr>
        <w:t xml:space="preserve"> by effecting a filing in accordance with the Exchange Act with respect to such information), and (ii) deliver such number of copies of each such prospectus supplement to each exchange or market on which such sales were effected as may be required by the rules or regulations of such exchange or market.</w:t>
      </w:r>
    </w:p>
    <w:p>
      <w:pPr>
        <w:spacing w:after="0" w:line="69" w:lineRule="exact"/>
        <w:rPr>
          <w:rFonts w:ascii="Arial" w:cs="Arial" w:eastAsia="Arial" w:hAnsi="Arial"/>
          <w:sz w:val="17"/>
          <w:szCs w:val="17"/>
          <w:color w:val="auto"/>
        </w:rPr>
      </w:pPr>
    </w:p>
    <w:p>
      <w:pPr>
        <w:ind w:right="80" w:firstLine="444"/>
        <w:spacing w:after="0" w:line="284" w:lineRule="auto"/>
        <w:tabs>
          <w:tab w:leader="none" w:pos="745"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Representation Dates; Certificate</w:t>
      </w:r>
      <w:r>
        <w:rPr>
          <w:rFonts w:ascii="Arial" w:cs="Arial" w:eastAsia="Arial" w:hAnsi="Arial"/>
          <w:sz w:val="16"/>
          <w:szCs w:val="16"/>
          <w:color w:val="auto"/>
        </w:rPr>
        <w:t xml:space="preserve">. On or prior to the First Delivery Date and each time the Company (i)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16"/>
          <w:szCs w:val="16"/>
          <w:u w:val="single" w:color="auto"/>
          <w:color w:val="auto"/>
        </w:rPr>
        <w:t>Section 7(l)</w:t>
      </w:r>
      <w:r>
        <w:rPr>
          <w:rFonts w:ascii="Arial" w:cs="Arial" w:eastAsia="Arial" w:hAnsi="Arial"/>
          <w:sz w:val="16"/>
          <w:szCs w:val="16"/>
          <w:color w:val="auto"/>
        </w:rPr>
        <w:t xml:space="preserve"> of this Agreement or filed solely for the purpose of reducing the amount of Placement Shares that may be sold pursuant to this Agreement or suspending the sale of Placement Shares under this Agreement) by means of a post-effective amendment, sticker, or supplement but not by means of incorporation of document(s) by reference to the Registration Statement or the Prospectus relating to the Placement Shares; (ii) files an annual report on Form 10-K under the Exchange Act (the “</w:t>
      </w:r>
      <w:r>
        <w:rPr>
          <w:rFonts w:ascii="Arial" w:cs="Arial" w:eastAsia="Arial" w:hAnsi="Arial"/>
          <w:sz w:val="16"/>
          <w:szCs w:val="16"/>
          <w:b w:val="1"/>
          <w:bCs w:val="1"/>
          <w:u w:val="single" w:color="auto"/>
          <w:color w:val="auto"/>
        </w:rPr>
        <w:t>10-K Representation Date</w:t>
      </w:r>
      <w:r>
        <w:rPr>
          <w:rFonts w:ascii="Arial" w:cs="Arial" w:eastAsia="Arial" w:hAnsi="Arial"/>
          <w:sz w:val="16"/>
          <w:szCs w:val="16"/>
          <w:color w:val="auto"/>
        </w:rPr>
        <w:t>”); (iii) files its quarterly reports on Form</w:t>
      </w:r>
    </w:p>
    <w:p>
      <w:pPr>
        <w:spacing w:after="0" w:line="4" w:lineRule="exact"/>
        <w:rPr>
          <w:rFonts w:ascii="Arial" w:cs="Arial" w:eastAsia="Arial" w:hAnsi="Arial"/>
          <w:sz w:val="16"/>
          <w:szCs w:val="16"/>
          <w:color w:val="auto"/>
        </w:rPr>
      </w:pPr>
    </w:p>
    <w:p>
      <w:pPr>
        <w:ind w:right="200"/>
        <w:spacing w:after="0" w:line="281" w:lineRule="auto"/>
        <w:rPr>
          <w:rFonts w:ascii="Arial" w:cs="Arial" w:eastAsia="Arial" w:hAnsi="Arial"/>
          <w:sz w:val="16"/>
          <w:szCs w:val="16"/>
          <w:color w:val="auto"/>
        </w:rPr>
      </w:pPr>
      <w:r>
        <w:rPr>
          <w:rFonts w:ascii="Arial" w:cs="Arial" w:eastAsia="Arial" w:hAnsi="Arial"/>
          <w:sz w:val="16"/>
          <w:szCs w:val="16"/>
          <w:color w:val="auto"/>
        </w:rPr>
        <w:t>10-Q under the Exchange Act; or (iv) files a current report on Form 8-K containing amended financial information (other than an earnings release and other than information “furnished” pursuant to Items 2.02 or 7.01 of Form 8-K) under the Exchange Act and Cowen reasonably determines that the information contained in such current report on Form 8-K is material (each date of filing of one or more of the documents referred to in clauses</w:t>
      </w:r>
    </w:p>
    <w:p>
      <w:pPr>
        <w:spacing w:after="0" w:line="2" w:lineRule="exact"/>
        <w:rPr>
          <w:rFonts w:ascii="Arial" w:cs="Arial" w:eastAsia="Arial" w:hAnsi="Arial"/>
          <w:sz w:val="16"/>
          <w:szCs w:val="16"/>
          <w:color w:val="auto"/>
        </w:rPr>
      </w:pPr>
    </w:p>
    <w:p>
      <w:pPr>
        <w:ind w:left="220" w:hanging="216"/>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through (iv) shall be a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Representation Date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furnish Cowen with a certificate, in the form attached hereto as </w:t>
      </w:r>
      <w:r>
        <w:rPr>
          <w:rFonts w:ascii="Arial" w:cs="Arial" w:eastAsia="Arial" w:hAnsi="Arial"/>
          <w:sz w:val="17"/>
          <w:szCs w:val="17"/>
          <w:u w:val="single" w:color="auto"/>
          <w:color w:val="auto"/>
        </w:rPr>
        <w:t>Exhibit 7(m)</w:t>
      </w:r>
    </w:p>
    <w:p>
      <w:pPr>
        <w:spacing w:after="0" w:line="154" w:lineRule="exact"/>
        <w:rPr>
          <w:rFonts w:ascii="Arial" w:cs="Arial" w:eastAsia="Arial" w:hAnsi="Arial"/>
          <w:sz w:val="17"/>
          <w:szCs w:val="17"/>
          <w:color w:val="auto"/>
        </w:rPr>
      </w:pPr>
    </w:p>
    <w:p>
      <w:pPr>
        <w:ind w:left="5420" w:hanging="101"/>
        <w:spacing w:after="0"/>
        <w:tabs>
          <w:tab w:leader="none" w:pos="54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20"/>
          </w:cols>
          <w:pgMar w:left="440" w:top="274" w:right="439" w:bottom="1440" w:gutter="0" w:footer="0" w:header="0"/>
        </w:sectPr>
      </w:pPr>
    </w:p>
    <w:bookmarkStart w:id="98" w:name="page99"/>
    <w:bookmarkEnd w:id="9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three (3) Trading Days of any Representation Date, if requested by Cowen. The requirement to provide a certificate under this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Notwithstanding the foregoing, if the Company subsequently decides to sell Placement Shares following a Representation Date when the Company relied on such waiver and did not provide Cowen with a certificate under this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then before the Company delivers the Placement Notice or Cowen sells any Placement Shares, the Company shall provide Cowen with a certificate, in the form attached hereto as </w:t>
      </w:r>
      <w:r>
        <w:rPr>
          <w:rFonts w:ascii="Arial" w:cs="Arial" w:eastAsia="Arial" w:hAnsi="Arial"/>
          <w:sz w:val="17"/>
          <w:szCs w:val="17"/>
          <w:u w:val="single" w:color="auto"/>
          <w:color w:val="auto"/>
        </w:rPr>
        <w:t>Exhibit 7(m)</w:t>
      </w:r>
      <w:r>
        <w:rPr>
          <w:rFonts w:ascii="Arial" w:cs="Arial" w:eastAsia="Arial" w:hAnsi="Arial"/>
          <w:sz w:val="17"/>
          <w:szCs w:val="17"/>
          <w:color w:val="auto"/>
        </w:rPr>
        <w:t>, dated the date of the Placement Notice.</w:t>
      </w:r>
    </w:p>
    <w:p>
      <w:pPr>
        <w:spacing w:after="0" w:line="70" w:lineRule="exact"/>
        <w:rPr>
          <w:sz w:val="20"/>
          <w:szCs w:val="20"/>
          <w:color w:val="auto"/>
        </w:rPr>
      </w:pPr>
    </w:p>
    <w:p>
      <w:pPr>
        <w:ind w:right="20" w:firstLine="444"/>
        <w:spacing w:after="0" w:line="269" w:lineRule="auto"/>
        <w:tabs>
          <w:tab w:leader="none" w:pos="695"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Corporate Legal Opinion</w:t>
      </w:r>
      <w:r>
        <w:rPr>
          <w:rFonts w:ascii="Arial" w:cs="Arial" w:eastAsia="Arial" w:hAnsi="Arial"/>
          <w:sz w:val="17"/>
          <w:szCs w:val="17"/>
          <w:color w:val="auto"/>
        </w:rPr>
        <w:t xml:space="preserve">. On or prior to the First Delivery Date and within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7(m)</w:t>
      </w:r>
      <w:r>
        <w:rPr>
          <w:rFonts w:ascii="Arial" w:cs="Arial" w:eastAsia="Arial" w:hAnsi="Arial"/>
          <w:sz w:val="17"/>
          <w:szCs w:val="17"/>
          <w:color w:val="auto"/>
        </w:rPr>
        <w:t xml:space="preserve"> for which no waiver is applicable, the Company shall cause to be furnished to Cowen a written opinion and negative assurance letter of Goodwin Procter LLP (collectively with Company IP Counsel (as defined below), “</w:t>
      </w:r>
      <w:r>
        <w:rPr>
          <w:rFonts w:ascii="Arial" w:cs="Arial" w:eastAsia="Arial" w:hAnsi="Arial"/>
          <w:sz w:val="17"/>
          <w:szCs w:val="17"/>
          <w:b w:val="1"/>
          <w:bCs w:val="1"/>
          <w:u w:val="single" w:color="auto"/>
          <w:color w:val="auto"/>
        </w:rPr>
        <w:t>Company Counsel</w:t>
      </w:r>
      <w:r>
        <w:rPr>
          <w:rFonts w:ascii="Arial" w:cs="Arial" w:eastAsia="Arial" w:hAnsi="Arial"/>
          <w:sz w:val="17"/>
          <w:szCs w:val="17"/>
          <w:color w:val="auto"/>
        </w:rPr>
        <w:t xml:space="preserve">”), or other counsel reasonably satisfactory to Cowen, in form and substance satisfactory to Cowen and its counsel, dated the date that such certificate is required to be delivered, modified, as necessary, to relate to the Registration Statement and the Prospectus as then amended or supplemented;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be required to furnish to Cowen no more than one opinion or negative assurance letter from Company Counsel per quarter,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lieu of such opinions and negative assurance letters for subsequent Representation Dates, counsel may furnish Cowen with a letter (a “</w:t>
      </w:r>
      <w:r>
        <w:rPr>
          <w:rFonts w:ascii="Arial" w:cs="Arial" w:eastAsia="Arial" w:hAnsi="Arial"/>
          <w:sz w:val="17"/>
          <w:szCs w:val="17"/>
          <w:b w:val="1"/>
          <w:bCs w:val="1"/>
          <w:u w:val="single" w:color="auto"/>
          <w:color w:val="auto"/>
        </w:rPr>
        <w:t>Reliance Letter</w:t>
      </w:r>
      <w:r>
        <w:rPr>
          <w:rFonts w:ascii="Arial" w:cs="Arial" w:eastAsia="Arial" w:hAnsi="Arial"/>
          <w:sz w:val="17"/>
          <w:szCs w:val="17"/>
          <w:color w:val="auto"/>
        </w:rPr>
        <w:t xml:space="preserve">”) to the effect that Cowen may rely on a prior opinion or negative assurance letter delivered under this </w:t>
      </w:r>
      <w:r>
        <w:rPr>
          <w:rFonts w:ascii="Arial" w:cs="Arial" w:eastAsia="Arial" w:hAnsi="Arial"/>
          <w:sz w:val="17"/>
          <w:szCs w:val="17"/>
          <w:u w:val="single" w:color="auto"/>
          <w:color w:val="auto"/>
        </w:rPr>
        <w:t>Section 7(n)</w:t>
      </w:r>
      <w:r>
        <w:rPr>
          <w:rFonts w:ascii="Arial" w:cs="Arial" w:eastAsia="Arial" w:hAnsi="Arial"/>
          <w:sz w:val="17"/>
          <w:szCs w:val="17"/>
          <w:color w:val="auto"/>
        </w:rPr>
        <w:t xml:space="preserve"> to the same extent as if it were dated the date of such Reliance Letter (except that statements in such prior opinion or negative assurance letter shall be deemed to relate to the Registration Statement and the Prospectus as amended or supplemented at such Representation Date).</w:t>
      </w:r>
    </w:p>
    <w:p>
      <w:pPr>
        <w:spacing w:after="0" w:line="74" w:lineRule="exact"/>
        <w:rPr>
          <w:rFonts w:ascii="Arial" w:cs="Arial" w:eastAsia="Arial" w:hAnsi="Arial"/>
          <w:sz w:val="17"/>
          <w:szCs w:val="17"/>
          <w:color w:val="auto"/>
        </w:rPr>
      </w:pPr>
    </w:p>
    <w:p>
      <w:pPr>
        <w:ind w:right="80" w:firstLine="444"/>
        <w:spacing w:after="0" w:line="289"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Intellectual Property Opinion</w:t>
      </w:r>
      <w:r>
        <w:rPr>
          <w:rFonts w:ascii="Arial" w:cs="Arial" w:eastAsia="Arial" w:hAnsi="Arial"/>
          <w:sz w:val="16"/>
          <w:szCs w:val="16"/>
          <w:color w:val="auto"/>
        </w:rPr>
        <w:t xml:space="preserve">. On or prior to the First Delivery Date and within three (3) Trading Days of each 10-K Representation Date with respect to which the Company is obligated to deliver a certificate in the form attached hereto as </w:t>
      </w:r>
      <w:r>
        <w:rPr>
          <w:rFonts w:ascii="Arial" w:cs="Arial" w:eastAsia="Arial" w:hAnsi="Arial"/>
          <w:sz w:val="16"/>
          <w:szCs w:val="16"/>
          <w:u w:val="single" w:color="auto"/>
          <w:color w:val="auto"/>
        </w:rPr>
        <w:t>Exhibit 7(m)</w:t>
      </w:r>
      <w:r>
        <w:rPr>
          <w:rFonts w:ascii="Arial" w:cs="Arial" w:eastAsia="Arial" w:hAnsi="Arial"/>
          <w:sz w:val="16"/>
          <w:szCs w:val="16"/>
          <w:color w:val="auto"/>
        </w:rPr>
        <w:t xml:space="preserve"> for which no waiver is applicable, the Company shall cause to be furnished to Cowen a written opinion and negative assurance letter of Clark + Elbing LLP (“</w:t>
      </w:r>
      <w:r>
        <w:rPr>
          <w:rFonts w:ascii="Arial" w:cs="Arial" w:eastAsia="Arial" w:hAnsi="Arial"/>
          <w:sz w:val="16"/>
          <w:szCs w:val="16"/>
          <w:b w:val="1"/>
          <w:bCs w:val="1"/>
          <w:u w:val="single" w:color="auto"/>
          <w:color w:val="auto"/>
        </w:rPr>
        <w:t>Company IP Counsel</w:t>
      </w:r>
      <w:r>
        <w:rPr>
          <w:rFonts w:ascii="Arial" w:cs="Arial" w:eastAsia="Arial" w:hAnsi="Arial"/>
          <w:sz w:val="16"/>
          <w:szCs w:val="16"/>
          <w:color w:val="auto"/>
        </w:rPr>
        <w:t xml:space="preserve">”), or other counsel reasonably satisfactory to Cowen, in form and substance satisfactory to Cowen and its counsel, with respect to intellectual property matters, dated the date that such certificate is required to be delivered, modified, as necessary, to relate to the 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lieu of such opinions and negative assurance letters for subsequent 10-K Representation Dates, counsel may furnish Cowen with a Reliance Letter to the effect that Cowen may rely on a prior opinion or negative assurance letter delivered under this </w:t>
      </w:r>
      <w:r>
        <w:rPr>
          <w:rFonts w:ascii="Arial" w:cs="Arial" w:eastAsia="Arial" w:hAnsi="Arial"/>
          <w:sz w:val="16"/>
          <w:szCs w:val="16"/>
          <w:u w:val="single" w:color="auto"/>
          <w:color w:val="auto"/>
        </w:rPr>
        <w:t>Section 7(o)</w:t>
      </w:r>
      <w:r>
        <w:rPr>
          <w:rFonts w:ascii="Arial" w:cs="Arial" w:eastAsia="Arial" w:hAnsi="Arial"/>
          <w:sz w:val="16"/>
          <w:szCs w:val="16"/>
          <w:color w:val="auto"/>
        </w:rPr>
        <w:t xml:space="preserve"> to the same extent as if it were dated the date of such Reliance Letter (except that statements in such prior opinion or negative assurance letter shall be deemed to relate to the Registration Statement and the Prospectus as amended or supplemented at such Representation Date).</w:t>
      </w:r>
    </w:p>
    <w:p>
      <w:pPr>
        <w:spacing w:after="0" w:line="99" w:lineRule="exact"/>
        <w:rPr>
          <w:rFonts w:ascii="Arial" w:cs="Arial" w:eastAsia="Arial" w:hAnsi="Arial"/>
          <w:sz w:val="16"/>
          <w:szCs w:val="16"/>
          <w:color w:val="auto"/>
        </w:rPr>
      </w:pPr>
    </w:p>
    <w:p>
      <w:pPr>
        <w:ind w:left="5420" w:hanging="101"/>
        <w:spacing w:after="0"/>
        <w:tabs>
          <w:tab w:leader="none" w:pos="5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20"/>
          </w:cols>
          <w:pgMar w:left="440" w:top="274" w:right="439" w:bottom="1440" w:gutter="0" w:footer="0" w:header="0"/>
        </w:sectPr>
      </w:pPr>
    </w:p>
    <w:bookmarkStart w:id="99" w:name="page100"/>
    <w:bookmarkEnd w:id="99"/>
    <w:p>
      <w:pPr>
        <w:ind w:left="-444" w:firstLine="444"/>
        <w:spacing w:after="0" w:line="253" w:lineRule="auto"/>
        <w:tabs>
          <w:tab w:leader="none" w:pos="25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Comfort Letter</w:t>
      </w:r>
      <w:r>
        <w:rPr>
          <w:rFonts w:ascii="Arial" w:cs="Arial" w:eastAsia="Arial" w:hAnsi="Arial"/>
          <w:sz w:val="18"/>
          <w:szCs w:val="18"/>
          <w:color w:val="auto"/>
        </w:rPr>
        <w:t xml:space="preserve">. On or prior to the First Delivery Date and within three (3) Trading Days of each Representation Date with respect to which the Company is obligated to deliver a certificate in the form attached hereto as </w:t>
      </w:r>
      <w:r>
        <w:rPr>
          <w:rFonts w:ascii="Arial" w:cs="Arial" w:eastAsia="Arial" w:hAnsi="Arial"/>
          <w:sz w:val="18"/>
          <w:szCs w:val="18"/>
          <w:u w:val="single" w:color="auto"/>
          <w:color w:val="auto"/>
        </w:rPr>
        <w:t>Exhibit 7(m)</w:t>
      </w:r>
      <w:r>
        <w:rPr>
          <w:rFonts w:ascii="Arial" w:cs="Arial" w:eastAsia="Arial" w:hAnsi="Arial"/>
          <w:sz w:val="18"/>
          <w:szCs w:val="18"/>
          <w:color w:val="auto"/>
        </w:rPr>
        <w:t xml:space="preserve"> for which no waiver is applicable, the Company shall cause its independent accountants to furnish Cowen letters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Comfort Letters</w:t>
      </w:r>
      <w:r>
        <w:rPr>
          <w:rFonts w:ascii="Arial" w:cs="Arial" w:eastAsia="Arial" w:hAnsi="Arial"/>
          <w:sz w:val="18"/>
          <w:szCs w:val="18"/>
          <w:b w:val="1"/>
          <w:bCs w:val="1"/>
          <w:color w:val="auto"/>
        </w:rPr>
        <w:t>”</w:t>
      </w:r>
      <w:r>
        <w:rPr>
          <w:rFonts w:ascii="Arial" w:cs="Arial" w:eastAsia="Arial" w:hAnsi="Arial"/>
          <w:sz w:val="18"/>
          <w:szCs w:val="18"/>
          <w:color w:val="auto"/>
        </w:rPr>
        <w:t xml:space="preserve">), dated the date the Comfort Letter is delivered, in form and substance reasonably satisfactory to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Cowen in connection with registered public offerings (the first such letter,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Initial Comfort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Letter</w:t>
      </w:r>
      <w:r>
        <w:rPr>
          <w:rFonts w:ascii="Arial" w:cs="Arial" w:eastAsia="Arial" w:hAnsi="Arial"/>
          <w:sz w:val="18"/>
          <w:szCs w:val="18"/>
          <w:b w:val="1"/>
          <w:bCs w:val="1"/>
          <w:color w:val="auto"/>
        </w:rPr>
        <w:t>”</w:t>
      </w:r>
      <w:r>
        <w:rPr>
          <w:rFonts w:ascii="Arial" w:cs="Arial" w:eastAsia="Arial" w:hAnsi="Arial"/>
          <w:sz w:val="18"/>
          <w:szCs w:val="18"/>
          <w:color w:val="auto"/>
        </w:rPr>
        <w:t>) and (iii) updating the Initial Comfort Letter with any information that would have been included in the Initial Comfort Letter had it been given</w:t>
      </w:r>
      <w:r>
        <w:rPr>
          <w:rFonts w:ascii="Arial" w:cs="Arial" w:eastAsia="Arial" w:hAnsi="Arial"/>
          <w:sz w:val="18"/>
          <w:szCs w:val="18"/>
          <w:b w:val="1"/>
          <w:bCs w:val="1"/>
          <w:color w:val="auto"/>
        </w:rPr>
        <w:t xml:space="preserve"> </w:t>
      </w:r>
      <w:r>
        <w:rPr>
          <w:rFonts w:ascii="Arial" w:cs="Arial" w:eastAsia="Arial" w:hAnsi="Arial"/>
          <w:sz w:val="18"/>
          <w:szCs w:val="18"/>
          <w:color w:val="auto"/>
        </w:rPr>
        <w:t>on such date and modified as necessary to relate to the Registration Statement and the Prospectus, as amended and supplemented to the date of such letter.</w:t>
      </w:r>
    </w:p>
    <w:p>
      <w:pPr>
        <w:spacing w:after="0" w:line="89" w:lineRule="exact"/>
        <w:rPr>
          <w:rFonts w:ascii="Arial" w:cs="Arial" w:eastAsia="Arial" w:hAnsi="Arial"/>
          <w:sz w:val="18"/>
          <w:szCs w:val="18"/>
          <w:color w:val="auto"/>
        </w:rPr>
      </w:pPr>
    </w:p>
    <w:p>
      <w:pPr>
        <w:ind w:left="-444" w:right="100" w:firstLine="444"/>
        <w:spacing w:after="0" w:line="257" w:lineRule="auto"/>
        <w:tabs>
          <w:tab w:leader="none" w:pos="25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xml:space="preserve">. The Company will not, directly or indirectly, (i) take any action designed to cause or result in, or that constitutes or would reasonably be expected to constitute, the stabilization or manipulation of the price of any security of the Company to facilitate the sale or resale of the Placement Shares or (ii) sell, bid for, or purchase the Placement Shares, or pay anyone any compensation for soliciting purchases of the Placement Shares other than Cowen;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bid for and purchase shares of its Common Stock in accordance with Rule 10b-18 under the Exchange Act.</w:t>
      </w:r>
    </w:p>
    <w:p>
      <w:pPr>
        <w:spacing w:after="0" w:line="80" w:lineRule="exact"/>
        <w:rPr>
          <w:rFonts w:ascii="Arial" w:cs="Arial" w:eastAsia="Arial" w:hAnsi="Arial"/>
          <w:sz w:val="18"/>
          <w:szCs w:val="18"/>
          <w:color w:val="auto"/>
        </w:rPr>
      </w:pPr>
    </w:p>
    <w:p>
      <w:pPr>
        <w:ind w:left="-444" w:right="20" w:firstLine="444"/>
        <w:spacing w:after="0" w:line="277" w:lineRule="auto"/>
        <w:tabs>
          <w:tab w:leader="none" w:pos="22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62" w:lineRule="exact"/>
        <w:rPr>
          <w:rFonts w:ascii="Arial" w:cs="Arial" w:eastAsia="Arial" w:hAnsi="Arial"/>
          <w:sz w:val="18"/>
          <w:szCs w:val="18"/>
          <w:color w:val="auto"/>
        </w:rPr>
      </w:pPr>
    </w:p>
    <w:p>
      <w:pPr>
        <w:ind w:left="-444" w:right="20" w:firstLine="444"/>
        <w:spacing w:after="0" w:line="297" w:lineRule="auto"/>
        <w:tabs>
          <w:tab w:leader="none" w:pos="23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50" w:lineRule="exact"/>
        <w:rPr>
          <w:rFonts w:ascii="Arial" w:cs="Arial" w:eastAsia="Arial" w:hAnsi="Arial"/>
          <w:sz w:val="16"/>
          <w:szCs w:val="16"/>
          <w:color w:val="auto"/>
        </w:rPr>
      </w:pPr>
    </w:p>
    <w:p>
      <w:pPr>
        <w:ind w:left="-444" w:right="20" w:firstLine="444"/>
        <w:spacing w:after="0" w:line="312" w:lineRule="auto"/>
        <w:tabs>
          <w:tab w:leader="none" w:pos="21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38" w:lineRule="exact"/>
        <w:rPr>
          <w:rFonts w:ascii="Arial" w:cs="Arial" w:eastAsia="Arial" w:hAnsi="Arial"/>
          <w:sz w:val="16"/>
          <w:szCs w:val="16"/>
          <w:color w:val="auto"/>
        </w:rPr>
      </w:pPr>
    </w:p>
    <w:p>
      <w:pPr>
        <w:ind w:left="-444" w:right="40" w:firstLine="444"/>
        <w:spacing w:after="0" w:line="264" w:lineRule="auto"/>
        <w:tabs>
          <w:tab w:leader="none" w:pos="25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73" w:lineRule="exact"/>
        <w:rPr>
          <w:rFonts w:ascii="Arial" w:cs="Arial" w:eastAsia="Arial" w:hAnsi="Arial"/>
          <w:sz w:val="18"/>
          <w:szCs w:val="18"/>
          <w:color w:val="auto"/>
        </w:rPr>
      </w:pPr>
    </w:p>
    <w:p>
      <w:pPr>
        <w:jc w:val="both"/>
        <w:ind w:left="-444" w:right="120" w:firstLine="444"/>
        <w:spacing w:after="0" w:line="302" w:lineRule="auto"/>
        <w:tabs>
          <w:tab w:leader="none" w:pos="25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No Offer to Sell</w:t>
      </w:r>
      <w:r>
        <w:rPr>
          <w:rFonts w:ascii="Arial" w:cs="Arial" w:eastAsia="Arial" w:hAnsi="Arial"/>
          <w:sz w:val="16"/>
          <w:szCs w:val="16"/>
          <w:color w:val="auto"/>
        </w:rPr>
        <w:t>. Other than a free writing prospectus (as defined in Rule 405 under the Securities Act) approved in advance by the Company and Cowen in its capacity as principal or agent hereunder, neither Cowen nor the Company (including its agents and representatives, other than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86" w:lineRule="exact"/>
        <w:rPr>
          <w:rFonts w:ascii="Arial" w:cs="Arial" w:eastAsia="Arial" w:hAnsi="Arial"/>
          <w:sz w:val="16"/>
          <w:szCs w:val="16"/>
          <w:color w:val="auto"/>
        </w:rPr>
      </w:pPr>
    </w:p>
    <w:p>
      <w:pPr>
        <w:ind w:left="4976" w:hanging="101"/>
        <w:spacing w:after="0"/>
        <w:tabs>
          <w:tab w:leader="none" w:pos="4976" w:val="left"/>
        </w:tabs>
        <w:numPr>
          <w:ilvl w:val="1"/>
          <w:numId w:val="9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556"/>
          </w:cols>
          <w:pgMar w:left="884" w:top="274" w:right="459" w:bottom="1440" w:gutter="0" w:footer="0" w:header="0"/>
        </w:sectPr>
      </w:pPr>
    </w:p>
    <w:bookmarkStart w:id="100" w:name="page101"/>
    <w:bookmarkEnd w:id="100"/>
    <w:p>
      <w:pPr>
        <w:ind w:left="-444" w:right="60" w:firstLine="444"/>
        <w:spacing w:after="0" w:line="277" w:lineRule="auto"/>
        <w:tabs>
          <w:tab w:leader="none" w:pos="29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Sarbanes-Oxley Act</w:t>
      </w:r>
      <w:r>
        <w:rPr>
          <w:rFonts w:ascii="Arial" w:cs="Arial" w:eastAsia="Arial" w:hAnsi="Arial"/>
          <w:sz w:val="18"/>
          <w:szCs w:val="18"/>
          <w:color w:val="auto"/>
        </w:rPr>
        <w:t>. The Company and its subsidiaries will use their best efforts to comply with all effective and applicable provisions of the Sarbanes-Oxley Act.</w:t>
      </w:r>
    </w:p>
    <w:p>
      <w:pPr>
        <w:spacing w:after="0" w:line="62" w:lineRule="exact"/>
        <w:rPr>
          <w:sz w:val="20"/>
          <w:szCs w:val="20"/>
          <w:color w:val="auto"/>
        </w:rPr>
      </w:pPr>
    </w:p>
    <w:p>
      <w:pPr>
        <w:ind w:left="-444" w:firstLine="444"/>
        <w:spacing w:after="0" w:line="259" w:lineRule="auto"/>
        <w:tabs>
          <w:tab w:leader="none" w:pos="17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Conditions to Cowen’s Obligations</w:t>
      </w:r>
      <w:r>
        <w:rPr>
          <w:rFonts w:ascii="Arial" w:cs="Arial" w:eastAsia="Arial" w:hAnsi="Arial"/>
          <w:sz w:val="18"/>
          <w:szCs w:val="18"/>
          <w:color w:val="auto"/>
        </w:rPr>
        <w:t>. The obligations of Cowen hereunder with respect to a Placement will be subject to the continuing accuracy and completeness of the representations and warranties made by the Company herein, to the due performance by the Company of its obligations hereunder, to the completion by Cowen of a due diligence review satisfactory to Cowen in its reasonable judgment, and to the continuing satisfaction (or waiver by Cowen in its sole discretion) of the following additional conditions:</w:t>
      </w:r>
    </w:p>
    <w:p>
      <w:pPr>
        <w:spacing w:after="0" w:line="79" w:lineRule="exact"/>
        <w:rPr>
          <w:sz w:val="20"/>
          <w:szCs w:val="20"/>
          <w:color w:val="auto"/>
        </w:rPr>
      </w:pPr>
    </w:p>
    <w:p>
      <w:pPr>
        <w:ind w:left="-444" w:right="440" w:firstLine="444"/>
        <w:spacing w:after="0" w:line="342" w:lineRule="auto"/>
        <w:tabs>
          <w:tab w:leader="none" w:pos="24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be effective and shall be available for (i) all sales of Placement Shares issued pursuant to all prior Placement Notices and (ii) the sale of all Placement Shares contemplated to be issued by any Placement Notice.</w:t>
      </w:r>
    </w:p>
    <w:p>
      <w:pPr>
        <w:spacing w:after="0" w:line="15" w:lineRule="exact"/>
        <w:rPr>
          <w:rFonts w:ascii="Arial" w:cs="Arial" w:eastAsia="Arial" w:hAnsi="Arial"/>
          <w:sz w:val="16"/>
          <w:szCs w:val="16"/>
          <w:color w:val="auto"/>
        </w:rPr>
      </w:pPr>
    </w:p>
    <w:p>
      <w:pPr>
        <w:ind w:left="-444" w:right="20" w:firstLine="444"/>
        <w:spacing w:after="0" w:line="268" w:lineRule="auto"/>
        <w:tabs>
          <w:tab w:leader="none" w:pos="25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 Material Notices</w:t>
      </w:r>
      <w:r>
        <w:rPr>
          <w:rFonts w:ascii="Arial" w:cs="Arial" w:eastAsia="Arial" w:hAnsi="Arial"/>
          <w:sz w:val="17"/>
          <w:szCs w:val="17"/>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79" w:lineRule="exact"/>
        <w:rPr>
          <w:rFonts w:ascii="Arial" w:cs="Arial" w:eastAsia="Arial" w:hAnsi="Arial"/>
          <w:sz w:val="17"/>
          <w:szCs w:val="17"/>
          <w:color w:val="auto"/>
        </w:rPr>
      </w:pPr>
    </w:p>
    <w:p>
      <w:pPr>
        <w:ind w:left="-444" w:right="320" w:firstLine="444"/>
        <w:spacing w:after="0" w:line="312" w:lineRule="auto"/>
        <w:tabs>
          <w:tab w:leader="none" w:pos="24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Cowen shall not have advised the Company that the Registration Statement or Prospectus, or any amendment or supplement thereto, contains an untrue statement of fact that in Cowen’s reasonable opinion is material, or omits to state a fact that in Cowen’s opinion is material and is required to be stated therein or is necessary to make the statements therein not misleading.</w:t>
      </w:r>
    </w:p>
    <w:p>
      <w:pPr>
        <w:spacing w:after="0" w:line="79" w:lineRule="exact"/>
        <w:rPr>
          <w:rFonts w:ascii="Arial" w:cs="Arial" w:eastAsia="Arial" w:hAnsi="Arial"/>
          <w:sz w:val="16"/>
          <w:szCs w:val="16"/>
          <w:color w:val="auto"/>
        </w:rPr>
      </w:pPr>
    </w:p>
    <w:p>
      <w:pPr>
        <w:ind w:left="4976" w:hanging="101"/>
        <w:spacing w:after="0"/>
        <w:tabs>
          <w:tab w:leader="none" w:pos="4976" w:val="left"/>
        </w:tabs>
        <w:numPr>
          <w:ilvl w:val="1"/>
          <w:numId w:val="99"/>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556"/>
          </w:cols>
          <w:pgMar w:left="884" w:top="274" w:right="459" w:bottom="1440" w:gutter="0" w:footer="0" w:header="0"/>
        </w:sectPr>
      </w:pPr>
    </w:p>
    <w:bookmarkStart w:id="101" w:name="page102"/>
    <w:bookmarkEnd w:id="101"/>
    <w:p>
      <w:pPr>
        <w:ind w:left="-444" w:right="40" w:firstLine="444"/>
        <w:spacing w:after="0" w:line="271" w:lineRule="auto"/>
        <w:tabs>
          <w:tab w:leader="none" w:pos="25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Changes</w:t>
      </w:r>
      <w:r>
        <w:rPr>
          <w:rFonts w:ascii="Arial" w:cs="Arial" w:eastAsia="Arial" w:hAnsi="Arial"/>
          <w:sz w:val="17"/>
          <w:szCs w:val="17"/>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70" w:lineRule="exact"/>
        <w:rPr>
          <w:rFonts w:ascii="Arial" w:cs="Arial" w:eastAsia="Arial" w:hAnsi="Arial"/>
          <w:sz w:val="17"/>
          <w:szCs w:val="17"/>
          <w:color w:val="auto"/>
        </w:rPr>
      </w:pPr>
    </w:p>
    <w:p>
      <w:pPr>
        <w:ind w:left="-444" w:right="500" w:firstLine="444"/>
        <w:spacing w:after="0" w:line="342" w:lineRule="auto"/>
        <w:tabs>
          <w:tab w:leader="none" w:pos="241"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Company Counsel Legal Opinions</w:t>
      </w:r>
      <w:r>
        <w:rPr>
          <w:rFonts w:ascii="Arial" w:cs="Arial" w:eastAsia="Arial" w:hAnsi="Arial"/>
          <w:sz w:val="16"/>
          <w:szCs w:val="16"/>
          <w:color w:val="auto"/>
        </w:rPr>
        <w:t xml:space="preserve">. Cowen shall have received the opinions of Company Counsel required to be delivered pursuant to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7(o)</w:t>
      </w:r>
      <w:r>
        <w:rPr>
          <w:rFonts w:ascii="Arial" w:cs="Arial" w:eastAsia="Arial" w:hAnsi="Arial"/>
          <w:sz w:val="16"/>
          <w:szCs w:val="16"/>
          <w:color w:val="auto"/>
        </w:rPr>
        <w:t xml:space="preserve"> on or before the date on which such delivery of such opinions is required pursuant to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7(o)</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4" w:right="320" w:firstLine="444"/>
        <w:spacing w:after="0" w:line="259" w:lineRule="auto"/>
        <w:tabs>
          <w:tab w:leader="none" w:pos="22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Cowen Counsel Legal Opinion</w:t>
      </w:r>
      <w:r>
        <w:rPr>
          <w:rFonts w:ascii="Arial" w:cs="Arial" w:eastAsia="Arial" w:hAnsi="Arial"/>
          <w:sz w:val="18"/>
          <w:szCs w:val="18"/>
          <w:color w:val="auto"/>
        </w:rPr>
        <w:t xml:space="preserve">. Cowen shall have received from Ropes &amp; Gray LLP, counsel for Cowen, such opinion or opinions, on or before the date on which the delivery of the Company Counsel legal opinions are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7(o)</w:t>
      </w:r>
      <w:r>
        <w:rPr>
          <w:rFonts w:ascii="Arial" w:cs="Arial" w:eastAsia="Arial" w:hAnsi="Arial"/>
          <w:sz w:val="18"/>
          <w:szCs w:val="18"/>
          <w:color w:val="auto"/>
        </w:rPr>
        <w:t>, with respect to such matters as Cowen may reasonably require, and the Company shall have furnished to such counsel such documents as they request for enabling them to pass upon such matters.</w:t>
      </w:r>
    </w:p>
    <w:p>
      <w:pPr>
        <w:spacing w:after="0" w:line="78" w:lineRule="exact"/>
        <w:rPr>
          <w:rFonts w:ascii="Arial" w:cs="Arial" w:eastAsia="Arial" w:hAnsi="Arial"/>
          <w:sz w:val="18"/>
          <w:szCs w:val="18"/>
          <w:color w:val="auto"/>
        </w:rPr>
      </w:pPr>
    </w:p>
    <w:p>
      <w:pPr>
        <w:ind w:left="-444" w:firstLine="444"/>
        <w:spacing w:after="0" w:line="277" w:lineRule="auto"/>
        <w:tabs>
          <w:tab w:leader="none" w:pos="25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Cowen shall have received the Comfort Letter required to be delivered pursuant to </w:t>
      </w:r>
      <w:r>
        <w:rPr>
          <w:rFonts w:ascii="Arial" w:cs="Arial" w:eastAsia="Arial" w:hAnsi="Arial"/>
          <w:sz w:val="18"/>
          <w:szCs w:val="18"/>
          <w:u w:val="single" w:color="auto"/>
          <w:color w:val="auto"/>
        </w:rPr>
        <w:t>Section 7(p)</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7(p)</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firstLine="444"/>
        <w:spacing w:after="0" w:line="277" w:lineRule="auto"/>
        <w:tabs>
          <w:tab w:leader="none" w:pos="25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xml:space="preserve">. Cowen shall have received the certificate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right="100" w:firstLine="444"/>
        <w:spacing w:after="0" w:line="277" w:lineRule="auto"/>
        <w:tabs>
          <w:tab w:leader="none" w:pos="21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First Delivery Date, Cowen shall have received a certificate, signed on behalf of the Company by its corporate Secretary, in form and substance reasonably satisfactory to Cowen and its counsel.</w:t>
      </w:r>
    </w:p>
    <w:p>
      <w:pPr>
        <w:spacing w:after="0" w:line="62" w:lineRule="exact"/>
        <w:rPr>
          <w:rFonts w:ascii="Arial" w:cs="Arial" w:eastAsia="Arial" w:hAnsi="Arial"/>
          <w:sz w:val="18"/>
          <w:szCs w:val="18"/>
          <w:color w:val="auto"/>
        </w:rPr>
      </w:pPr>
    </w:p>
    <w:p>
      <w:pPr>
        <w:ind w:left="216" w:hanging="216"/>
        <w:spacing w:after="0"/>
        <w:tabs>
          <w:tab w:leader="none" w:pos="21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Nasdaq.</w:t>
      </w:r>
    </w:p>
    <w:p>
      <w:pPr>
        <w:spacing w:after="0" w:line="117" w:lineRule="exact"/>
        <w:rPr>
          <w:rFonts w:ascii="Arial" w:cs="Arial" w:eastAsia="Arial" w:hAnsi="Arial"/>
          <w:sz w:val="18"/>
          <w:szCs w:val="18"/>
          <w:color w:val="auto"/>
        </w:rPr>
      </w:pPr>
    </w:p>
    <w:p>
      <w:pPr>
        <w:ind w:left="-444" w:right="320" w:firstLine="444"/>
        <w:spacing w:after="0" w:line="279" w:lineRule="auto"/>
        <w:tabs>
          <w:tab w:leader="none" w:pos="25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Other Materials</w:t>
      </w:r>
      <w:r>
        <w:rPr>
          <w:rFonts w:ascii="Arial" w:cs="Arial" w:eastAsia="Arial" w:hAnsi="Arial"/>
          <w:sz w:val="17"/>
          <w:szCs w:val="17"/>
          <w:color w:val="auto"/>
        </w:rPr>
        <w:t xml:space="preserve">. On each date on which the Company is required to deliver a certificate pursuant to </w:t>
      </w:r>
      <w:r>
        <w:rPr>
          <w:rFonts w:ascii="Arial" w:cs="Arial" w:eastAsia="Arial" w:hAnsi="Arial"/>
          <w:sz w:val="17"/>
          <w:szCs w:val="17"/>
          <w:u w:val="single" w:color="auto"/>
          <w:color w:val="auto"/>
        </w:rPr>
        <w:t>Section 7(m)</w:t>
      </w:r>
      <w:r>
        <w:rPr>
          <w:rFonts w:ascii="Arial" w:cs="Arial" w:eastAsia="Arial" w:hAnsi="Arial"/>
          <w:sz w:val="17"/>
          <w:szCs w:val="17"/>
          <w:color w:val="auto"/>
        </w:rPr>
        <w:t>, the Company shall have furnished to Cowen such appropriate further information, certificates and documents as Cowen may have reasonably requested. All such opinions, certificates, letters and other documents shall have been in compliance with the provisions hereof. The Company will furnish Cowen with such conformed copies of such opinions, certificates, letters and other documents as Cowen shall have reasonably requested.</w:t>
      </w:r>
    </w:p>
    <w:p>
      <w:pPr>
        <w:spacing w:after="0" w:line="63" w:lineRule="exact"/>
        <w:rPr>
          <w:rFonts w:ascii="Arial" w:cs="Arial" w:eastAsia="Arial" w:hAnsi="Arial"/>
          <w:sz w:val="17"/>
          <w:szCs w:val="17"/>
          <w:color w:val="auto"/>
        </w:rPr>
      </w:pPr>
    </w:p>
    <w:p>
      <w:pPr>
        <w:ind w:left="-444" w:right="380" w:firstLine="444"/>
        <w:spacing w:after="0" w:line="342" w:lineRule="auto"/>
        <w:tabs>
          <w:tab w:leader="none" w:pos="211"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56" w:lineRule="exact"/>
        <w:rPr>
          <w:rFonts w:ascii="Arial" w:cs="Arial" w:eastAsia="Arial" w:hAnsi="Arial"/>
          <w:sz w:val="16"/>
          <w:szCs w:val="16"/>
          <w:color w:val="auto"/>
        </w:rPr>
      </w:pPr>
    </w:p>
    <w:p>
      <w:pPr>
        <w:ind w:left="4976" w:hanging="101"/>
        <w:spacing w:after="0"/>
        <w:tabs>
          <w:tab w:leader="none" w:pos="497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536"/>
          </w:cols>
          <w:pgMar w:left="884" w:top="274" w:right="479" w:bottom="1440" w:gutter="0" w:footer="0" w:header="0"/>
        </w:sectPr>
      </w:pPr>
    </w:p>
    <w:bookmarkStart w:id="102" w:name="page103"/>
    <w:bookmarkEnd w:id="102"/>
    <w:p>
      <w:pPr>
        <w:ind w:left="740" w:hanging="296"/>
        <w:spacing w:after="0"/>
        <w:tabs>
          <w:tab w:leader="none" w:pos="74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for Listing</w:t>
      </w:r>
      <w:r>
        <w:rPr>
          <w:rFonts w:ascii="Arial" w:cs="Arial" w:eastAsia="Arial" w:hAnsi="Arial"/>
          <w:sz w:val="16"/>
          <w:szCs w:val="16"/>
          <w:color w:val="auto"/>
        </w:rPr>
        <w:t>. The Placement Shares shall either have been (i) approved for listing on Nasdaq, subject only to notice of issuance, or</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Shares on Nasdaq at, or prior to, the issuance of any Placement Notice.</w:t>
      </w:r>
    </w:p>
    <w:p>
      <w:pPr>
        <w:spacing w:after="0" w:line="125" w:lineRule="exact"/>
        <w:rPr>
          <w:rFonts w:ascii="Arial" w:cs="Arial" w:eastAsia="Arial" w:hAnsi="Arial"/>
          <w:sz w:val="16"/>
          <w:szCs w:val="16"/>
          <w:color w:val="auto"/>
        </w:rPr>
      </w:pPr>
    </w:p>
    <w:p>
      <w:pPr>
        <w:ind w:left="700" w:hanging="256"/>
        <w:spacing w:after="0"/>
        <w:tabs>
          <w:tab w:leader="none" w:pos="700"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No Termination Event</w:t>
      </w:r>
      <w:r>
        <w:rPr>
          <w:rFonts w:ascii="Arial" w:cs="Arial" w:eastAsia="Arial" w:hAnsi="Arial"/>
          <w:sz w:val="17"/>
          <w:szCs w:val="17"/>
          <w:color w:val="auto"/>
        </w:rPr>
        <w:t>. There shall not have occurred any event that would permit Cowen to terminate this Agreement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103" w:lineRule="exact"/>
        <w:rPr>
          <w:sz w:val="20"/>
          <w:szCs w:val="20"/>
          <w:color w:val="auto"/>
        </w:rPr>
      </w:pPr>
    </w:p>
    <w:p>
      <w:pPr>
        <w:ind w:left="620" w:hanging="176"/>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5" w:lineRule="auto"/>
        <w:tabs>
          <w:tab w:leader="none" w:pos="68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Cowen, the directors, officers, partners, employees and agents of Cowen and each person, if any, who (i) controls Cowen within the meaning of Section 15 of the Securities Act or Section 20 of the Exchange Act, or (ii) is controlled by or is under common control with Cowen (a “</w:t>
      </w:r>
      <w:r>
        <w:rPr>
          <w:rFonts w:ascii="Arial" w:cs="Arial" w:eastAsia="Arial" w:hAnsi="Arial"/>
          <w:sz w:val="16"/>
          <w:szCs w:val="16"/>
          <w:b w:val="1"/>
          <w:bCs w:val="1"/>
          <w:u w:val="single" w:color="auto"/>
          <w:color w:val="auto"/>
        </w:rPr>
        <w:t>Cowen Affiliate</w:t>
      </w:r>
      <w:r>
        <w:rPr>
          <w:rFonts w:ascii="Arial" w:cs="Arial" w:eastAsia="Arial" w:hAnsi="Arial"/>
          <w:sz w:val="16"/>
          <w:szCs w:val="16"/>
          <w:color w:val="auto"/>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of, any action, suit or proceeding between any of the indemnified parties and any indemnifying parties or between any indemnified party and any third party, or otherwise, or any claim asserted), as and when incurred, to which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the Agent’s Information. This indemnity agreement will be in addition to any liability that the Company might otherwise have.</w:t>
      </w:r>
    </w:p>
    <w:p>
      <w:pPr>
        <w:spacing w:after="0" w:line="67" w:lineRule="exact"/>
        <w:rPr>
          <w:rFonts w:ascii="Arial" w:cs="Arial" w:eastAsia="Arial" w:hAnsi="Arial"/>
          <w:sz w:val="16"/>
          <w:szCs w:val="16"/>
          <w:color w:val="auto"/>
        </w:rPr>
      </w:pPr>
    </w:p>
    <w:p>
      <w:pPr>
        <w:ind w:firstLine="444"/>
        <w:spacing w:after="0" w:line="273"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Cowen Indemnification</w:t>
      </w:r>
      <w:r>
        <w:rPr>
          <w:rFonts w:ascii="Arial" w:cs="Arial" w:eastAsia="Arial" w:hAnsi="Arial"/>
          <w:sz w:val="17"/>
          <w:szCs w:val="17"/>
          <w:color w:val="auto"/>
        </w:rPr>
        <w:t>.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 “</w:t>
      </w:r>
      <w:r>
        <w:rPr>
          <w:rFonts w:ascii="Arial" w:cs="Arial" w:eastAsia="Arial" w:hAnsi="Arial"/>
          <w:sz w:val="17"/>
          <w:szCs w:val="17"/>
          <w:b w:val="1"/>
          <w:bCs w:val="1"/>
          <w:u w:val="single" w:color="auto"/>
          <w:color w:val="auto"/>
        </w:rPr>
        <w:t>Company Affiliate</w:t>
      </w:r>
      <w:r>
        <w:rPr>
          <w:rFonts w:ascii="Arial" w:cs="Arial" w:eastAsia="Arial" w:hAnsi="Arial"/>
          <w:sz w:val="17"/>
          <w:szCs w:val="17"/>
          <w:color w:val="auto"/>
        </w:rPr>
        <w:t xml:space="preserve">”) against any and all loss, liability, claim, damage and expense described in the indemnity contained in </w:t>
      </w:r>
      <w:r>
        <w:rPr>
          <w:rFonts w:ascii="Arial" w:cs="Arial" w:eastAsia="Arial" w:hAnsi="Arial"/>
          <w:sz w:val="17"/>
          <w:szCs w:val="17"/>
          <w:u w:val="single" w:color="auto"/>
          <w:color w:val="auto"/>
        </w:rPr>
        <w:t>Section 9(a)</w:t>
      </w:r>
      <w:r>
        <w:rPr>
          <w:rFonts w:ascii="Arial" w:cs="Arial" w:eastAsia="Arial" w:hAnsi="Arial"/>
          <w:sz w:val="17"/>
          <w:szCs w:val="17"/>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10" w:lineRule="exact"/>
        <w:rPr>
          <w:rFonts w:ascii="Arial" w:cs="Arial" w:eastAsia="Arial" w:hAnsi="Arial"/>
          <w:sz w:val="17"/>
          <w:szCs w:val="17"/>
          <w:color w:val="auto"/>
        </w:rPr>
      </w:pPr>
    </w:p>
    <w:p>
      <w:pPr>
        <w:ind w:left="5420" w:hanging="101"/>
        <w:spacing w:after="0"/>
        <w:tabs>
          <w:tab w:leader="none" w:pos="5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60"/>
          </w:cols>
          <w:pgMar w:left="440" w:top="274" w:right="499" w:bottom="1440" w:gutter="0" w:footer="0" w:header="0"/>
        </w:sectPr>
      </w:pPr>
    </w:p>
    <w:bookmarkStart w:id="103" w:name="page104"/>
    <w:bookmarkEnd w:id="103"/>
    <w:p>
      <w:pPr>
        <w:ind w:left="-444" w:firstLine="444"/>
        <w:spacing w:after="0" w:line="284" w:lineRule="auto"/>
        <w:tabs>
          <w:tab w:leader="none" w:pos="24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w:t>
      </w:r>
      <w:r>
        <w:rPr>
          <w:rFonts w:ascii="Arial" w:cs="Arial" w:eastAsia="Arial" w:hAnsi="Arial"/>
          <w:sz w:val="16"/>
          <w:szCs w:val="16"/>
          <w:color w:val="auto"/>
        </w:rPr>
        <w:t xml:space="preserve">. Any party that proposes to assert the right to be indemnified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(ii) any liability that it may have to any indemnified party under the foregoing provision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04" w:lineRule="exact"/>
        <w:rPr>
          <w:rFonts w:ascii="Arial" w:cs="Arial" w:eastAsia="Arial" w:hAnsi="Arial"/>
          <w:sz w:val="16"/>
          <w:szCs w:val="16"/>
          <w:color w:val="auto"/>
        </w:rPr>
      </w:pPr>
    </w:p>
    <w:p>
      <w:pPr>
        <w:ind w:left="4976" w:hanging="101"/>
        <w:spacing w:after="0"/>
        <w:tabs>
          <w:tab w:leader="none" w:pos="497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556"/>
          </w:cols>
          <w:pgMar w:left="884" w:top="274" w:right="459" w:bottom="1440" w:gutter="0" w:footer="0" w:header="0"/>
        </w:sectPr>
      </w:pPr>
    </w:p>
    <w:bookmarkStart w:id="104" w:name="page105"/>
    <w:bookmarkEnd w:id="104"/>
    <w:p>
      <w:pPr>
        <w:ind w:left="-444" w:firstLine="444"/>
        <w:spacing w:after="0" w:line="284" w:lineRule="auto"/>
        <w:tabs>
          <w:tab w:leader="none" w:pos="25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applicable in accordance with its terms but for any reason is held to be unavailable from the Company or Cowen, the Company and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Cowen, such as persons who control the Company within the meaning of the Securities Act, officers of the Company who signed the Registration Statement and directors of the Company, who also may be liable for contribution) to which the Company and Cowen may be subject in such proportion as shall be appropriate to reflect the relative benefits received by the Company on the one hand and Cowen on the other. The relative benefits received by the Company on the one hand and Cowen on the other hand shall be deemed to be in the same proportion as the total Net Proceeds from the sale of the Placement Shares (before deducting expenses) received by the Company bear to the total compensation received by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Cowen, the intent of the parties and their relative knowledge, access to information and opportunity to correct or prevent such statement or omission. The Company and Cowen agree that it would not be just and equitable if contributions pursuant to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person who controls a party to this Agreement within the meaning of the Securities Act, and any officers, directors, partners, employees or agents of Cowen,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written notice of commencement of any action against such party in respect of which a claim for contribution may be made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will notify in writing any such party or parties from whom contribution may be sought, but the omission to so notify will not relieve that party or parties from whom contribution may be sought from any other obligation it or they may have</w:t>
      </w:r>
    </w:p>
    <w:p>
      <w:pPr>
        <w:spacing w:after="0" w:line="317" w:lineRule="exact"/>
        <w:rPr>
          <w:rFonts w:ascii="Arial" w:cs="Arial" w:eastAsia="Arial" w:hAnsi="Arial"/>
          <w:sz w:val="16"/>
          <w:szCs w:val="16"/>
          <w:color w:val="auto"/>
        </w:rPr>
      </w:pPr>
    </w:p>
    <w:p>
      <w:pPr>
        <w:ind w:left="4976" w:hanging="101"/>
        <w:spacing w:after="0"/>
        <w:tabs>
          <w:tab w:leader="none" w:pos="497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576"/>
          </w:cols>
          <w:pgMar w:left="884" w:top="274" w:right="439" w:bottom="1440" w:gutter="0" w:footer="0" w:header="0"/>
        </w:sectPr>
      </w:pPr>
    </w:p>
    <w:bookmarkStart w:id="105" w:name="page106"/>
    <w:bookmarkEnd w:id="105"/>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w:t>
      </w:r>
    </w:p>
    <w:p>
      <w:pPr>
        <w:spacing w:after="0" w:line="39" w:lineRule="exact"/>
        <w:rPr>
          <w:sz w:val="20"/>
          <w:szCs w:val="20"/>
          <w:color w:val="auto"/>
        </w:rPr>
      </w:pPr>
    </w:p>
    <w:p>
      <w:pPr>
        <w:ind w:firstLine="444"/>
        <w:spacing w:after="0" w:line="302" w:lineRule="auto"/>
        <w:tabs>
          <w:tab w:leader="none" w:pos="71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xml:space="preserve">. The indemnity and contribution agreements contained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and all representations and warranties of the Company herein or in certificates delivered pursuant hereto shall survive, as of their respective dates, regardless of (i) any investigation made by or on behalf of Cowen, any controlling persons, or the Company (or any of their respective officers, directors or controlling persons), (ii) delivery and acceptance of the Placement Shares and payment therefor or (iii) any termination of this Agreement.</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firstLine="444"/>
        <w:spacing w:after="0" w:line="269" w:lineRule="auto"/>
        <w:tabs>
          <w:tab w:leader="none" w:pos="6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Cowen, may materially impair the ability of Cowen to sell the Placement Shares hereunder, (ii) the Company shall have failed, refused or been unable to perform any agreement on its part to be performed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case of any failure of the Company to deliver (or cause another person to deliver) any certification, opinion, or letter required under </w:t>
      </w:r>
      <w:r>
        <w:rPr>
          <w:rFonts w:ascii="Arial" w:cs="Arial" w:eastAsia="Arial" w:hAnsi="Arial"/>
          <w:sz w:val="17"/>
          <w:szCs w:val="17"/>
          <w:u w:val="single" w:color="auto"/>
          <w:color w:val="auto"/>
        </w:rPr>
        <w:t>Sections 7(m)</w:t>
      </w:r>
      <w:r>
        <w:rPr>
          <w:rFonts w:ascii="Arial" w:cs="Arial" w:eastAsia="Arial" w:hAnsi="Arial"/>
          <w:sz w:val="17"/>
          <w:szCs w:val="17"/>
          <w:color w:val="auto"/>
        </w:rPr>
        <w:t xml:space="preserve">, </w:t>
      </w:r>
      <w:r>
        <w:rPr>
          <w:rFonts w:ascii="Arial" w:cs="Arial" w:eastAsia="Arial" w:hAnsi="Arial"/>
          <w:sz w:val="17"/>
          <w:szCs w:val="17"/>
          <w:u w:val="single" w:color="auto"/>
          <w:color w:val="auto"/>
        </w:rPr>
        <w:t>7(n)</w:t>
      </w:r>
      <w:r>
        <w:rPr>
          <w:rFonts w:ascii="Arial" w:cs="Arial" w:eastAsia="Arial" w:hAnsi="Arial"/>
          <w:sz w:val="17"/>
          <w:szCs w:val="17"/>
          <w:color w:val="auto"/>
        </w:rPr>
        <w:t xml:space="preserve">, </w:t>
      </w:r>
      <w:r>
        <w:rPr>
          <w:rFonts w:ascii="Arial" w:cs="Arial" w:eastAsia="Arial" w:hAnsi="Arial"/>
          <w:sz w:val="17"/>
          <w:szCs w:val="17"/>
          <w:u w:val="single" w:color="auto"/>
          <w:color w:val="auto"/>
        </w:rPr>
        <w:t>7(o)</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7(p)</w:t>
      </w:r>
      <w:r>
        <w:rPr>
          <w:rFonts w:ascii="Arial" w:cs="Arial" w:eastAsia="Arial" w:hAnsi="Arial"/>
          <w:sz w:val="17"/>
          <w:szCs w:val="17"/>
          <w:color w:val="auto"/>
        </w:rPr>
        <w:t xml:space="preserve">, Cowen’s right to terminate shall not arise unless such failure to deliver (or cause to be delivered) continues for more than thirty (30) days from the date such delivery was required; or (iii) any other condition of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(Expenses),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(Indemnification and Contribution),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(Representations and Agreements to Survive Delivery),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(Applicable Law; Consent to Jurisdiction)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(Waiver of Jury Trial) hereof shall remain in full force and effect notwithstanding such termination. If Cowen elects to terminate this Agreement as provided in this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Cowen shall provide the required notice as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(Notices).</w:t>
      </w:r>
    </w:p>
    <w:p>
      <w:pPr>
        <w:spacing w:after="0" w:line="71" w:lineRule="exact"/>
        <w:rPr>
          <w:rFonts w:ascii="Arial" w:cs="Arial" w:eastAsia="Arial" w:hAnsi="Arial"/>
          <w:sz w:val="17"/>
          <w:szCs w:val="17"/>
          <w:color w:val="auto"/>
        </w:rPr>
      </w:pPr>
    </w:p>
    <w:p>
      <w:pPr>
        <w:ind w:right="180" w:firstLine="444"/>
        <w:spacing w:after="0" w:line="312" w:lineRule="auto"/>
        <w:tabs>
          <w:tab w:leader="none" w:pos="69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hereof shall remain in full force and effect notwithstanding such termination.</w:t>
      </w:r>
    </w:p>
    <w:p>
      <w:pPr>
        <w:spacing w:after="0" w:line="38" w:lineRule="exact"/>
        <w:rPr>
          <w:rFonts w:ascii="Arial" w:cs="Arial" w:eastAsia="Arial" w:hAnsi="Arial"/>
          <w:sz w:val="16"/>
          <w:szCs w:val="16"/>
          <w:color w:val="auto"/>
        </w:rPr>
      </w:pPr>
    </w:p>
    <w:p>
      <w:pPr>
        <w:ind w:right="20" w:firstLine="444"/>
        <w:spacing w:after="0" w:line="274" w:lineRule="auto"/>
        <w:tabs>
          <w:tab w:leader="none" w:pos="6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w:t>
      </w:r>
    </w:p>
    <w:p>
      <w:pPr>
        <w:spacing w:after="0"/>
        <w:rPr>
          <w:rFonts w:ascii="Arial" w:cs="Arial" w:eastAsia="Arial" w:hAnsi="Arial"/>
          <w:sz w:val="17"/>
          <w:szCs w:val="17"/>
          <w:color w:val="auto"/>
        </w:rPr>
      </w:pP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154" w:lineRule="exact"/>
        <w:rPr>
          <w:rFonts w:ascii="Arial" w:cs="Arial" w:eastAsia="Arial" w:hAnsi="Arial"/>
          <w:sz w:val="17"/>
          <w:szCs w:val="17"/>
          <w:color w:val="auto"/>
        </w:rPr>
      </w:pPr>
    </w:p>
    <w:p>
      <w:pPr>
        <w:ind w:left="5420" w:hanging="101"/>
        <w:spacing w:after="0"/>
        <w:tabs>
          <w:tab w:leader="none" w:pos="54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40" w:top="274" w:right="459" w:bottom="1440" w:gutter="0" w:footer="0" w:header="0"/>
        </w:sectPr>
      </w:pPr>
    </w:p>
    <w:bookmarkStart w:id="106" w:name="page107"/>
    <w:bookmarkEnd w:id="106"/>
    <w:p>
      <w:pPr>
        <w:jc w:val="both"/>
        <w:ind w:right="340" w:firstLine="444"/>
        <w:spacing w:after="0" w:line="286" w:lineRule="auto"/>
        <w:tabs>
          <w:tab w:leader="none" w:pos="696" w:val="left"/>
        </w:tabs>
        <w:numPr>
          <w:ilvl w:val="0"/>
          <w:numId w:val="1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earlier terminated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this Agreement shall automatically terminate upon the issuance and sale of all of the Placement Shares through Cowen on the terms and subject to the conditions set forth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57" w:lineRule="exact"/>
        <w:rPr>
          <w:rFonts w:ascii="Arial" w:cs="Arial" w:eastAsia="Arial" w:hAnsi="Arial"/>
          <w:sz w:val="17"/>
          <w:szCs w:val="17"/>
          <w:color w:val="auto"/>
        </w:rPr>
      </w:pPr>
    </w:p>
    <w:p>
      <w:pPr>
        <w:ind w:right="40" w:firstLine="444"/>
        <w:spacing w:after="0" w:line="264" w:lineRule="auto"/>
        <w:tabs>
          <w:tab w:leader="none" w:pos="68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 or (d)</w:t>
      </w:r>
      <w:r>
        <w:rPr>
          <w:rFonts w:ascii="Arial" w:cs="Arial" w:eastAsia="Arial" w:hAnsi="Arial"/>
          <w:sz w:val="18"/>
          <w:szCs w:val="18"/>
          <w:color w:val="auto"/>
        </w:rPr>
        <w:t xml:space="preserve">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such termination by mutual agreement shall in all cases be deemed to provide that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remain in full force and effect.</w:t>
      </w:r>
    </w:p>
    <w:p>
      <w:pPr>
        <w:spacing w:after="0" w:line="73" w:lineRule="exact"/>
        <w:rPr>
          <w:rFonts w:ascii="Arial" w:cs="Arial" w:eastAsia="Arial" w:hAnsi="Arial"/>
          <w:sz w:val="18"/>
          <w:szCs w:val="18"/>
          <w:color w:val="auto"/>
        </w:rPr>
      </w:pPr>
    </w:p>
    <w:p>
      <w:pPr>
        <w:ind w:left="660" w:hanging="216"/>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Any termination of this Agreement shall be effective on the date specified in such notice of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w:t>
      </w:r>
    </w:p>
    <w:p>
      <w:pPr>
        <w:spacing w:after="0" w:line="34"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termination shall not be effective until the close of business on the date of receipt of such notice by Cowen or the Company, as the case may be. If such termination shall occur prior to the Settlement Date for any sale of Placement Shares, such Placement Shares shall settle in accordance with the provisions of this Agreement.</w:t>
      </w:r>
    </w:p>
    <w:p>
      <w:pPr>
        <w:spacing w:after="0" w:line="82" w:lineRule="exact"/>
        <w:rPr>
          <w:rFonts w:ascii="Arial" w:cs="Arial" w:eastAsia="Arial" w:hAnsi="Arial"/>
          <w:sz w:val="17"/>
          <w:szCs w:val="17"/>
          <w:color w:val="auto"/>
        </w:rPr>
      </w:pPr>
    </w:p>
    <w:p>
      <w:pPr>
        <w:ind w:right="240" w:firstLine="444"/>
        <w:spacing w:after="0" w:line="342" w:lineRule="auto"/>
        <w:tabs>
          <w:tab w:leader="none" w:pos="69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Subject to the additional limitations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in the event of termination of this Agreement by the Company prior to the sale of any Placement Shares, Cowen shall be entitled only to reimbursement of its out-of-pocket expenses actually incurred.</w:t>
      </w:r>
    </w:p>
    <w:p>
      <w:pPr>
        <w:spacing w:after="0" w:line="16" w:lineRule="exact"/>
        <w:rPr>
          <w:sz w:val="20"/>
          <w:szCs w:val="20"/>
          <w:color w:val="auto"/>
        </w:rPr>
      </w:pPr>
    </w:p>
    <w:p>
      <w:pPr>
        <w:ind w:firstLine="444"/>
        <w:spacing w:after="0" w:line="287" w:lineRule="auto"/>
        <w:tabs>
          <w:tab w:leader="none" w:pos="71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required or permitted to be given by any party to any other party pursuant to the terms of this Agreement shall be in writing, unless otherwise specified in this Agreement, and if sent to Cowen, shall be delivered to Cowen at Cowen and Company, LLC, 599 Lexington Avenue, New York, NY 10022, fax no. 646-562-1124, Attention: General Counsel; or if sent to the Company, shall be delivered to AVROBIO, Inc., One Kendall Square, Building 300, Suite 201, Cambridge, MA 02139, attention: Geoff MacKay, President and Chief Executive Officer, with a copy to Goodwin Procter LLP, attention: Arthur McGivern.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when delivered by electronic communication (“</w:t>
      </w:r>
      <w:r>
        <w:rPr>
          <w:rFonts w:ascii="Arial" w:cs="Arial" w:eastAsia="Arial" w:hAnsi="Arial"/>
          <w:sz w:val="16"/>
          <w:szCs w:val="16"/>
          <w:b w:val="1"/>
          <w:bCs w:val="1"/>
          <w:u w:val="single" w:color="auto"/>
          <w:color w:val="auto"/>
        </w:rPr>
        <w:t>Electronic Notice</w:t>
      </w:r>
      <w:r>
        <w:rPr>
          <w:rFonts w:ascii="Arial" w:cs="Arial" w:eastAsia="Arial" w:hAnsi="Arial"/>
          <w:sz w:val="16"/>
          <w:szCs w:val="16"/>
          <w:color w:val="auto"/>
        </w:rPr>
        <w:t>”), at the time the party sending Electronic Notice receives verification of receipt by the receiving party, other than via automatic reply. For purposes of this Agreement,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shall mean any day on which the Nasdaq and commercial banks in the City of New York are open for business.</w:t>
      </w:r>
    </w:p>
    <w:p>
      <w:pPr>
        <w:spacing w:after="0" w:line="60" w:lineRule="exact"/>
        <w:rPr>
          <w:rFonts w:ascii="Arial" w:cs="Arial" w:eastAsia="Arial" w:hAnsi="Arial"/>
          <w:sz w:val="16"/>
          <w:szCs w:val="16"/>
          <w:color w:val="auto"/>
        </w:rPr>
      </w:pPr>
    </w:p>
    <w:p>
      <w:pPr>
        <w:ind w:right="80" w:firstLine="444"/>
        <w:spacing w:after="0" w:line="259" w:lineRule="auto"/>
        <w:tabs>
          <w:tab w:leader="none" w:pos="71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Company and Cowen and their respective successors and the affiliates, controlling persons, officers and directors referred to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w:t>
      </w:r>
    </w:p>
    <w:p>
      <w:pPr>
        <w:spacing w:after="0" w:line="119" w:lineRule="exact"/>
        <w:rPr>
          <w:rFonts w:ascii="Arial" w:cs="Arial" w:eastAsia="Arial" w:hAnsi="Arial"/>
          <w:sz w:val="18"/>
          <w:szCs w:val="18"/>
          <w:color w:val="auto"/>
        </w:rPr>
      </w:pPr>
    </w:p>
    <w:p>
      <w:pPr>
        <w:ind w:left="5420" w:hanging="101"/>
        <w:spacing w:after="0"/>
        <w:tabs>
          <w:tab w:leader="none" w:pos="54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80"/>
          </w:cols>
          <w:pgMar w:left="440" w:top="274" w:right="479" w:bottom="1440" w:gutter="0" w:footer="0" w:header="0"/>
        </w:sectPr>
      </w:pPr>
    </w:p>
    <w:bookmarkStart w:id="107" w:name="page108"/>
    <w:bookmarkEnd w:id="107"/>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Cowen may assign its rights and obligations hereunder to an affiliate of Cowen without obtaining the Company’s consent.</w:t>
      </w:r>
    </w:p>
    <w:p>
      <w:pPr>
        <w:spacing w:after="0" w:line="79" w:lineRule="exact"/>
        <w:rPr>
          <w:sz w:val="20"/>
          <w:szCs w:val="20"/>
          <w:color w:val="auto"/>
        </w:rPr>
      </w:pPr>
    </w:p>
    <w:p>
      <w:pPr>
        <w:ind w:right="100" w:firstLine="444"/>
        <w:spacing w:after="0" w:line="277"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62" w:lineRule="exact"/>
        <w:rPr>
          <w:rFonts w:ascii="Arial" w:cs="Arial" w:eastAsia="Arial" w:hAnsi="Arial"/>
          <w:sz w:val="18"/>
          <w:szCs w:val="18"/>
          <w:color w:val="auto"/>
        </w:rPr>
      </w:pPr>
    </w:p>
    <w:p>
      <w:pPr>
        <w:ind w:firstLine="444"/>
        <w:spacing w:after="0" w:line="290" w:lineRule="auto"/>
        <w:tabs>
          <w:tab w:leader="none" w:pos="711"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58" w:lineRule="exact"/>
        <w:rPr>
          <w:rFonts w:ascii="Arial" w:cs="Arial" w:eastAsia="Arial" w:hAnsi="Arial"/>
          <w:sz w:val="16"/>
          <w:szCs w:val="16"/>
          <w:color w:val="auto"/>
        </w:rPr>
      </w:pPr>
    </w:p>
    <w:p>
      <w:pPr>
        <w:ind w:right="40" w:firstLine="444"/>
        <w:spacing w:after="0" w:line="289" w:lineRule="auto"/>
        <w:tabs>
          <w:tab w:leader="none" w:pos="711"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Applicable Law; Consent to Jurisdiction</w:t>
      </w:r>
      <w:r>
        <w:rPr>
          <w:rFonts w:ascii="Arial" w:cs="Arial" w:eastAsia="Arial" w:hAnsi="Arial"/>
          <w:sz w:val="16"/>
          <w:szCs w:val="16"/>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58" w:lineRule="exact"/>
        <w:rPr>
          <w:rFonts w:ascii="Arial" w:cs="Arial" w:eastAsia="Arial" w:hAnsi="Arial"/>
          <w:sz w:val="16"/>
          <w:szCs w:val="16"/>
          <w:color w:val="auto"/>
        </w:rPr>
      </w:pPr>
    </w:p>
    <w:p>
      <w:pPr>
        <w:ind w:right="100" w:firstLine="444"/>
        <w:spacing w:after="0" w:line="277"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Cowen each hereby irrevocably waives any right it may have to a trial by jury in respect of any claim based upon or arising out of this Agreement or any transaction contemplated hereby.</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acknowledges and agrees that:</w:t>
      </w:r>
    </w:p>
    <w:p>
      <w:pPr>
        <w:spacing w:after="0" w:line="117" w:lineRule="exact"/>
        <w:rPr>
          <w:sz w:val="20"/>
          <w:szCs w:val="20"/>
          <w:color w:val="auto"/>
        </w:rPr>
      </w:pPr>
    </w:p>
    <w:p>
      <w:pPr>
        <w:ind w:right="540" w:firstLine="444"/>
        <w:spacing w:after="0" w:line="264" w:lineRule="auto"/>
        <w:tabs>
          <w:tab w:leader="none" w:pos="6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Cowen has been retained solely to act as sales agent in connection with the sale of the Common Stock and that no fiduciary, advisory or agency relationship between the Company and Cowen has been created in respect of any of the transactions contemplated by this Agreement, irrespective of whether Cowen has advised or is advising the Company on other matters;</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20"/>
          </w:cols>
          <w:pgMar w:left="440" w:top="274" w:right="439" w:bottom="1440" w:gutter="0" w:footer="0" w:header="0"/>
        </w:sectPr>
      </w:pPr>
    </w:p>
    <w:bookmarkStart w:id="108" w:name="page109"/>
    <w:bookmarkEnd w:id="108"/>
    <w:p>
      <w:pPr>
        <w:ind w:right="540" w:firstLine="444"/>
        <w:spacing w:after="0" w:line="277" w:lineRule="auto"/>
        <w:tabs>
          <w:tab w:leader="none" w:pos="6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capable of evaluating and understanding and understands and accepts the terms, risks and conditions of the transactions contemplated by this Agreement;</w:t>
      </w:r>
    </w:p>
    <w:p>
      <w:pPr>
        <w:spacing w:after="0" w:line="62" w:lineRule="exact"/>
        <w:rPr>
          <w:rFonts w:ascii="Arial" w:cs="Arial" w:eastAsia="Arial" w:hAnsi="Arial"/>
          <w:sz w:val="18"/>
          <w:szCs w:val="18"/>
          <w:color w:val="auto"/>
        </w:rPr>
      </w:pPr>
    </w:p>
    <w:p>
      <w:pPr>
        <w:ind w:firstLine="444"/>
        <w:spacing w:after="0" w:line="264"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has been advised that Cowen and its affiliates are engaged in a broad range of transactions which may involve interests that differ from those of the Company and that Cowen has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right="40" w:firstLine="444"/>
        <w:spacing w:after="0" w:line="259" w:lineRule="auto"/>
        <w:tabs>
          <w:tab w:leader="none" w:pos="6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waives, to the fullest extent permitted by law, any claims it may have against Cowen, for breach of fiduciary duty or alleged breach of fiduciary duty and agrees that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79" w:lineRule="exact"/>
        <w:rPr>
          <w:sz w:val="20"/>
          <w:szCs w:val="20"/>
          <w:color w:val="auto"/>
        </w:rPr>
      </w:pPr>
    </w:p>
    <w:p>
      <w:pPr>
        <w:ind w:right="480" w:firstLine="444"/>
        <w:spacing w:after="0" w:line="264" w:lineRule="auto"/>
        <w:tabs>
          <w:tab w:leader="none" w:pos="71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73" w:lineRule="exact"/>
        <w:rPr>
          <w:rFonts w:ascii="Arial" w:cs="Arial" w:eastAsia="Arial" w:hAnsi="Arial"/>
          <w:sz w:val="18"/>
          <w:szCs w:val="18"/>
          <w:color w:val="auto"/>
        </w:rPr>
      </w:pPr>
    </w:p>
    <w:p>
      <w:pPr>
        <w:ind w:left="720" w:hanging="27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 has the meaning set forth below:</w:t>
      </w:r>
    </w:p>
    <w:p>
      <w:pPr>
        <w:spacing w:after="0" w:line="117" w:lineRule="exact"/>
        <w:rPr>
          <w:sz w:val="20"/>
          <w:szCs w:val="20"/>
          <w:color w:val="auto"/>
        </w:rPr>
      </w:pPr>
    </w:p>
    <w:p>
      <w:pPr>
        <w:ind w:right="320" w:firstLine="444"/>
        <w:spacing w:after="0" w:line="277"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Time</w:t>
      </w:r>
      <w:r>
        <w:rPr>
          <w:rFonts w:ascii="Arial" w:cs="Arial" w:eastAsia="Arial" w:hAnsi="Arial"/>
          <w:sz w:val="18"/>
          <w:szCs w:val="18"/>
          <w:color w:val="auto"/>
        </w:rPr>
        <w:t>” means the date of this Agreement, each Representation Date, the date on which a Placement Notice is given, the time of sale of any Placement Shares, and on each Settlement Date.</w:t>
      </w:r>
    </w:p>
    <w:p>
      <w:pPr>
        <w:spacing w:after="0" w:line="62" w:lineRule="exact"/>
        <w:rPr>
          <w:rFonts w:ascii="Arial" w:cs="Arial" w:eastAsia="Arial" w:hAnsi="Arial"/>
          <w:sz w:val="18"/>
          <w:szCs w:val="18"/>
          <w:color w:val="auto"/>
        </w:rPr>
      </w:pPr>
    </w:p>
    <w:p>
      <w:pPr>
        <w:ind w:left="440" w:right="120" w:firstLine="4"/>
        <w:spacing w:after="0" w:line="277"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 Information”</w:t>
      </w:r>
      <w:r>
        <w:rPr>
          <w:rFonts w:ascii="Arial" w:cs="Arial" w:eastAsia="Arial" w:hAnsi="Arial"/>
          <w:sz w:val="18"/>
          <w:szCs w:val="18"/>
          <w:color w:val="auto"/>
        </w:rPr>
        <w:t xml:space="preserve"> means, solely the following information in the Prospectus: the third sentence of the eighth paragraph under the caption “Plan of Distribution” in the Prospectus.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20"/>
          </w:cols>
          <w:pgMar w:left="440" w:top="274" w:right="439" w:bottom="1440" w:gutter="0" w:footer="0" w:header="0"/>
        </w:sectPr>
      </w:pPr>
    </w:p>
    <w:bookmarkStart w:id="109" w:name="page110"/>
    <w:bookmarkEnd w:id="10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the understanding between the Company and Cowen, please so indicate in the space provided below for that purpose, whereupon this letter shall constitute a binding agreement between the Company and Cowen.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Michael Murphy</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800"/>
          </w:cols>
          <w:pgMar w:left="440" w:top="274" w:right="6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SCHEDULE 1</w:t>
            </w:r>
          </w:p>
        </w:tc>
      </w:tr>
      <w:tr>
        <w:trPr>
          <w:trHeight w:val="412"/>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0" w:type="dxa"/>
            <w:vAlign w:val="bottom"/>
            <w:gridSpan w:val="4"/>
          </w:tcPr>
          <w:p>
            <w:pPr>
              <w:ind w:left="1500"/>
              <w:spacing w:after="0"/>
              <w:rPr>
                <w:sz w:val="20"/>
                <w:szCs w:val="20"/>
                <w:color w:val="auto"/>
              </w:rPr>
            </w:pPr>
            <w:r>
              <w:rPr>
                <w:rFonts w:ascii="Arial" w:cs="Arial" w:eastAsia="Arial" w:hAnsi="Arial"/>
                <w:sz w:val="18"/>
                <w:szCs w:val="18"/>
                <w:b w:val="1"/>
                <w:bCs w:val="1"/>
                <w:color w:val="auto"/>
              </w:rPr>
              <w:t>FORM OF PLACEMENT NOTICE</w:t>
            </w:r>
          </w:p>
        </w:tc>
      </w:tr>
      <w:tr>
        <w:trPr>
          <w:trHeight w:val="439"/>
        </w:trPr>
        <w:tc>
          <w:tcPr>
            <w:tcW w:w="1120" w:type="dxa"/>
            <w:vAlign w:val="bottom"/>
          </w:tcPr>
          <w:p>
            <w:pPr>
              <w:spacing w:after="0"/>
              <w:rPr>
                <w:sz w:val="20"/>
                <w:szCs w:val="20"/>
                <w:color w:val="auto"/>
              </w:rPr>
            </w:pPr>
            <w:r>
              <w:rPr>
                <w:rFonts w:ascii="Arial" w:cs="Arial" w:eastAsia="Arial" w:hAnsi="Arial"/>
                <w:sz w:val="18"/>
                <w:szCs w:val="18"/>
                <w:color w:val="auto"/>
              </w:rPr>
              <w:t>From:</w:t>
            </w:r>
          </w:p>
        </w:tc>
        <w:tc>
          <w:tcPr>
            <w:tcW w:w="600" w:type="dxa"/>
            <w:vAlign w:val="bottom"/>
          </w:tcPr>
          <w:p>
            <w:pPr>
              <w:ind w:left="540"/>
              <w:spacing w:after="0"/>
              <w:rPr>
                <w:sz w:val="20"/>
                <w:szCs w:val="20"/>
                <w:color w:val="auto"/>
              </w:rPr>
            </w:pPr>
            <w:r>
              <w:rPr>
                <w:rFonts w:ascii="Arial" w:cs="Arial" w:eastAsia="Arial" w:hAnsi="Arial"/>
                <w:sz w:val="18"/>
                <w:szCs w:val="18"/>
                <w:color w:val="auto"/>
                <w:w w:val="78"/>
              </w:rPr>
              <w:t>[</w:t>
            </w:r>
          </w:p>
        </w:tc>
        <w:tc>
          <w:tcPr>
            <w:tcW w:w="900" w:type="dxa"/>
            <w:vAlign w:val="bottom"/>
            <w:tcBorders>
              <w:bottom w:val="single" w:sz="8" w:color="auto"/>
            </w:tcBorders>
          </w:tcPr>
          <w:p>
            <w:pPr>
              <w:spacing w:after="0"/>
              <w:rPr>
                <w:sz w:val="24"/>
                <w:szCs w:val="24"/>
                <w:color w:val="auto"/>
              </w:rPr>
            </w:pPr>
          </w:p>
        </w:tc>
        <w:tc>
          <w:tcPr>
            <w:tcW w:w="1500" w:type="dxa"/>
            <w:vAlign w:val="bottom"/>
          </w:tcPr>
          <w:p>
            <w:pPr>
              <w:jc w:val="right"/>
              <w:ind w:right="1350"/>
              <w:spacing w:after="0"/>
              <w:rPr>
                <w:sz w:val="20"/>
                <w:szCs w:val="20"/>
                <w:color w:val="auto"/>
              </w:rPr>
            </w:pPr>
            <w:r>
              <w:rPr>
                <w:rFonts w:ascii="Arial" w:cs="Arial" w:eastAsia="Arial" w:hAnsi="Arial"/>
                <w:sz w:val="18"/>
                <w:szCs w:val="18"/>
                <w:color w:val="auto"/>
                <w:w w:val="78"/>
              </w:rPr>
              <w:t>]</w:t>
            </w:r>
          </w:p>
        </w:tc>
        <w:tc>
          <w:tcPr>
            <w:tcW w:w="28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Cc:</w:t>
            </w:r>
          </w:p>
        </w:tc>
        <w:tc>
          <w:tcPr>
            <w:tcW w:w="600" w:type="dxa"/>
            <w:vAlign w:val="bottom"/>
          </w:tcPr>
          <w:p>
            <w:pPr>
              <w:ind w:left="540"/>
              <w:spacing w:after="0"/>
              <w:rPr>
                <w:sz w:val="20"/>
                <w:szCs w:val="20"/>
                <w:color w:val="auto"/>
              </w:rPr>
            </w:pPr>
            <w:r>
              <w:rPr>
                <w:rFonts w:ascii="Arial" w:cs="Arial" w:eastAsia="Arial" w:hAnsi="Arial"/>
                <w:sz w:val="18"/>
                <w:szCs w:val="18"/>
                <w:color w:val="auto"/>
                <w:w w:val="78"/>
              </w:rPr>
              <w:t>[</w:t>
            </w:r>
          </w:p>
        </w:tc>
        <w:tc>
          <w:tcPr>
            <w:tcW w:w="900" w:type="dxa"/>
            <w:vAlign w:val="bottom"/>
            <w:tcBorders>
              <w:bottom w:val="single" w:sz="8" w:color="auto"/>
            </w:tcBorders>
          </w:tcPr>
          <w:p>
            <w:pPr>
              <w:spacing w:after="0"/>
              <w:rPr>
                <w:sz w:val="24"/>
                <w:szCs w:val="24"/>
                <w:color w:val="auto"/>
              </w:rPr>
            </w:pPr>
          </w:p>
        </w:tc>
        <w:tc>
          <w:tcPr>
            <w:tcW w:w="1500" w:type="dxa"/>
            <w:vAlign w:val="bottom"/>
          </w:tcPr>
          <w:p>
            <w:pPr>
              <w:jc w:val="right"/>
              <w:ind w:right="1350"/>
              <w:spacing w:after="0"/>
              <w:rPr>
                <w:sz w:val="20"/>
                <w:szCs w:val="20"/>
                <w:color w:val="auto"/>
              </w:rPr>
            </w:pPr>
            <w:r>
              <w:rPr>
                <w:rFonts w:ascii="Arial" w:cs="Arial" w:eastAsia="Arial" w:hAnsi="Arial"/>
                <w:sz w:val="18"/>
                <w:szCs w:val="18"/>
                <w:color w:val="auto"/>
                <w:w w:val="78"/>
              </w:rPr>
              <w:t>]</w:t>
            </w:r>
          </w:p>
        </w:tc>
        <w:tc>
          <w:tcPr>
            <w:tcW w:w="2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To:</w:t>
            </w:r>
          </w:p>
        </w:tc>
        <w:tc>
          <w:tcPr>
            <w:tcW w:w="600" w:type="dxa"/>
            <w:vAlign w:val="bottom"/>
          </w:tcPr>
          <w:p>
            <w:pPr>
              <w:ind w:left="540"/>
              <w:spacing w:after="0"/>
              <w:rPr>
                <w:sz w:val="20"/>
                <w:szCs w:val="20"/>
                <w:color w:val="auto"/>
              </w:rPr>
            </w:pPr>
            <w:r>
              <w:rPr>
                <w:rFonts w:ascii="Arial" w:cs="Arial" w:eastAsia="Arial" w:hAnsi="Arial"/>
                <w:sz w:val="18"/>
                <w:szCs w:val="18"/>
                <w:color w:val="auto"/>
                <w:w w:val="78"/>
              </w:rPr>
              <w:t>[</w:t>
            </w:r>
          </w:p>
        </w:tc>
        <w:tc>
          <w:tcPr>
            <w:tcW w:w="900" w:type="dxa"/>
            <w:vAlign w:val="bottom"/>
            <w:tcBorders>
              <w:bottom w:val="single" w:sz="8" w:color="auto"/>
            </w:tcBorders>
          </w:tcPr>
          <w:p>
            <w:pPr>
              <w:spacing w:after="0"/>
              <w:rPr>
                <w:sz w:val="24"/>
                <w:szCs w:val="24"/>
                <w:color w:val="auto"/>
              </w:rPr>
            </w:pPr>
          </w:p>
        </w:tc>
        <w:tc>
          <w:tcPr>
            <w:tcW w:w="1500" w:type="dxa"/>
            <w:vAlign w:val="bottom"/>
          </w:tcPr>
          <w:p>
            <w:pPr>
              <w:jc w:val="right"/>
              <w:ind w:right="1350"/>
              <w:spacing w:after="0"/>
              <w:rPr>
                <w:sz w:val="20"/>
                <w:szCs w:val="20"/>
                <w:color w:val="auto"/>
              </w:rPr>
            </w:pPr>
            <w:r>
              <w:rPr>
                <w:rFonts w:ascii="Arial" w:cs="Arial" w:eastAsia="Arial" w:hAnsi="Arial"/>
                <w:sz w:val="18"/>
                <w:szCs w:val="18"/>
                <w:color w:val="auto"/>
                <w:w w:val="78"/>
              </w:rPr>
              <w:t>]</w:t>
            </w:r>
          </w:p>
        </w:tc>
        <w:tc>
          <w:tcPr>
            <w:tcW w:w="2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Subject:</w:t>
            </w:r>
          </w:p>
        </w:tc>
        <w:tc>
          <w:tcPr>
            <w:tcW w:w="9900" w:type="dxa"/>
            <w:vAlign w:val="bottom"/>
            <w:gridSpan w:val="6"/>
          </w:tcPr>
          <w:p>
            <w:pPr>
              <w:ind w:left="540"/>
              <w:spacing w:after="0"/>
              <w:rPr>
                <w:sz w:val="20"/>
                <w:szCs w:val="20"/>
                <w:color w:val="auto"/>
              </w:rPr>
            </w:pPr>
            <w:r>
              <w:rPr>
                <w:rFonts w:ascii="Arial" w:cs="Arial" w:eastAsia="Arial" w:hAnsi="Arial"/>
                <w:sz w:val="18"/>
                <w:szCs w:val="18"/>
                <w:color w:val="auto"/>
              </w:rPr>
              <w:t>Cowen at the Market Offering—Placement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Pursuant to the terms and subject to the conditions contained in the Sales Agreement between AVROBIO,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Cowen and Company, LLC (“</w:t>
      </w:r>
      <w:r>
        <w:rPr>
          <w:rFonts w:ascii="Arial" w:cs="Arial" w:eastAsia="Arial" w:hAnsi="Arial"/>
          <w:sz w:val="16"/>
          <w:szCs w:val="16"/>
          <w:u w:val="single" w:color="auto"/>
          <w:color w:val="auto"/>
        </w:rPr>
        <w:t>Cowen</w:t>
      </w:r>
      <w:r>
        <w:rPr>
          <w:rFonts w:ascii="Arial" w:cs="Arial" w:eastAsia="Arial" w:hAnsi="Arial"/>
          <w:sz w:val="16"/>
          <w:szCs w:val="16"/>
          <w:color w:val="auto"/>
        </w:rPr>
        <w:t>”) dated July 1, 2019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 Cowen sell up to [ ] 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6073140</wp:posOffset>
            </wp:positionH>
            <wp:positionV relativeFrom="paragraph">
              <wp:posOffset>-24765</wp:posOffset>
            </wp:positionV>
            <wp:extent cx="1428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6380" w:type="dxa"/>
            <w:vAlign w:val="bottom"/>
          </w:tcPr>
          <w:p>
            <w:pPr>
              <w:spacing w:after="0" w:line="176" w:lineRule="exact"/>
              <w:rPr>
                <w:sz w:val="20"/>
                <w:szCs w:val="20"/>
                <w:color w:val="auto"/>
              </w:rPr>
            </w:pPr>
            <w:r>
              <w:rPr>
                <w:rFonts w:ascii="Arial" w:cs="Arial" w:eastAsia="Arial" w:hAnsi="Arial"/>
                <w:sz w:val="18"/>
                <w:szCs w:val="18"/>
                <w:color w:val="auto"/>
                <w:w w:val="90"/>
              </w:rPr>
              <w:t>Company’s common stock, par value $0.0001 per share, at a minimum market price of $</w:t>
            </w:r>
          </w:p>
        </w:tc>
        <w:tc>
          <w:tcPr>
            <w:tcW w:w="540" w:type="dxa"/>
            <w:vAlign w:val="bottom"/>
            <w:tcBorders>
              <w:bottom w:val="single" w:sz="8" w:color="auto"/>
            </w:tcBorders>
          </w:tcPr>
          <w:p>
            <w:pPr>
              <w:spacing w:after="0"/>
              <w:rPr>
                <w:sz w:val="15"/>
                <w:szCs w:val="15"/>
                <w:color w:val="auto"/>
              </w:rPr>
            </w:pPr>
          </w:p>
        </w:tc>
        <w:tc>
          <w:tcPr>
            <w:tcW w:w="4000" w:type="dxa"/>
            <w:vAlign w:val="bottom"/>
          </w:tcPr>
          <w:p>
            <w:pPr>
              <w:ind w:left="40"/>
              <w:spacing w:after="0" w:line="176" w:lineRule="exact"/>
              <w:rPr>
                <w:sz w:val="20"/>
                <w:szCs w:val="20"/>
                <w:color w:val="auto"/>
              </w:rPr>
            </w:pPr>
            <w:r>
              <w:rPr>
                <w:rFonts w:ascii="Arial" w:cs="Arial" w:eastAsia="Arial" w:hAnsi="Arial"/>
                <w:sz w:val="18"/>
                <w:szCs w:val="18"/>
                <w:color w:val="auto"/>
                <w:w w:val="89"/>
              </w:rPr>
              <w:t>per share. Sales should begin on the date of this Notice</w:t>
            </w:r>
          </w:p>
        </w:tc>
      </w:tr>
      <w:tr>
        <w:trPr>
          <w:trHeight w:val="237"/>
        </w:trPr>
        <w:tc>
          <w:tcPr>
            <w:tcW w:w="6920" w:type="dxa"/>
            <w:vAlign w:val="bottom"/>
            <w:gridSpan w:val="2"/>
          </w:tcPr>
          <w:p>
            <w:pPr>
              <w:spacing w:after="0"/>
              <w:rPr>
                <w:sz w:val="20"/>
                <w:szCs w:val="20"/>
                <w:color w:val="auto"/>
              </w:rPr>
            </w:pPr>
            <w:r>
              <w:rPr>
                <w:rFonts w:ascii="Arial" w:cs="Arial" w:eastAsia="Arial" w:hAnsi="Arial"/>
                <w:sz w:val="18"/>
                <w:szCs w:val="18"/>
                <w:color w:val="auto"/>
              </w:rPr>
              <w:t>and shall continue until [DATE] [all shares are sold].</w:t>
            </w:r>
          </w:p>
        </w:tc>
        <w:tc>
          <w:tcPr>
            <w:tcW w:w="4000" w:type="dxa"/>
            <w:vAlign w:val="bottom"/>
          </w:tcPr>
          <w:p>
            <w:pPr>
              <w:spacing w:after="0"/>
              <w:rPr>
                <w:sz w:val="20"/>
                <w:szCs w:val="20"/>
                <w:color w:val="auto"/>
              </w:rPr>
            </w:pPr>
          </w:p>
        </w:tc>
      </w:tr>
    </w:tbl>
    <w:p>
      <w:pPr>
        <w:sectPr>
          <w:pgSz w:w="11900" w:h="16838" w:orient="portrait"/>
          <w:cols w:equalWidth="0" w:num="1">
            <w:col w:w="11020"/>
          </w:cols>
          <w:pgMar w:left="440" w:top="257"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AVROBIO,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Geoff MacKay –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Erik Ostrowski – Chief Financial Officer and Treasurer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Avruch – Vice President, General Counsel and Secretary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Cowen and Company, LLC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J. Murphy –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Follis – Managing Director</w:t>
      </w:r>
    </w:p>
    <w:p>
      <w:pPr>
        <w:sectPr>
          <w:pgSz w:w="11900" w:h="16838" w:orient="portrait"/>
          <w:cols w:equalWidth="0" w:num="1">
            <w:col w:w="11020"/>
          </w:cols>
          <w:pgMar w:left="440" w:top="270"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Cowen shall be paid compensation equal to 3% of the gross proceeds from the sales of Placement Shares pursuant to the terms of this Agreement.</w:t>
      </w:r>
    </w:p>
    <w:p>
      <w:pPr>
        <w:sectPr>
          <w:pgSz w:w="11900" w:h="16838" w:orient="portrait"/>
          <w:cols w:equalWidth="0" w:num="1">
            <w:col w:w="11020"/>
          </w:cols>
          <w:pgMar w:left="440" w:top="270" w:right="4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7(m)</w:t>
            </w:r>
          </w:p>
        </w:tc>
      </w:tr>
      <w:tr>
        <w:trPr>
          <w:trHeight w:val="412"/>
        </w:trPr>
        <w:tc>
          <w:tcPr>
            <w:tcW w:w="3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OFFICER CERTIFICATE</w:t>
            </w:r>
          </w:p>
        </w:tc>
        <w:tc>
          <w:tcPr>
            <w:tcW w:w="4460" w:type="dxa"/>
            <w:vAlign w:val="bottom"/>
            <w:gridSpan w:val="4"/>
          </w:tcPr>
          <w:p>
            <w:pPr>
              <w:spacing w:after="0"/>
              <w:rPr>
                <w:sz w:val="24"/>
                <w:szCs w:val="24"/>
                <w:color w:val="auto"/>
              </w:rPr>
            </w:pPr>
          </w:p>
        </w:tc>
      </w:tr>
      <w:tr>
        <w:trPr>
          <w:trHeight w:val="412"/>
        </w:trPr>
        <w:tc>
          <w:tcPr>
            <w:tcW w:w="3480" w:type="dxa"/>
            <w:vAlign w:val="bottom"/>
          </w:tcPr>
          <w:p>
            <w:pPr>
              <w:spacing w:after="0"/>
              <w:rPr>
                <w:sz w:val="20"/>
                <w:szCs w:val="20"/>
                <w:color w:val="auto"/>
              </w:rPr>
            </w:pPr>
            <w:r>
              <w:rPr>
                <w:rFonts w:ascii="Arial" w:cs="Arial" w:eastAsia="Arial" w:hAnsi="Arial"/>
                <w:sz w:val="18"/>
                <w:szCs w:val="18"/>
                <w:color w:val="auto"/>
                <w:w w:val="91"/>
              </w:rPr>
              <w:t>The undersigned, the duly qualified and elected</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40" w:type="dxa"/>
            <w:vAlign w:val="bottom"/>
            <w:gridSpan w:val="5"/>
          </w:tcPr>
          <w:p>
            <w:pPr>
              <w:spacing w:after="0"/>
              <w:rPr>
                <w:sz w:val="20"/>
                <w:szCs w:val="20"/>
                <w:color w:val="auto"/>
              </w:rPr>
            </w:pPr>
            <w:r>
              <w:rPr>
                <w:rFonts w:ascii="Arial" w:cs="Arial" w:eastAsia="Arial" w:hAnsi="Arial"/>
                <w:sz w:val="18"/>
                <w:szCs w:val="18"/>
                <w:color w:val="auto"/>
              </w:rPr>
              <w:t xml:space="preserve">, of </w:t>
            </w:r>
            <w:r>
              <w:rPr>
                <w:rFonts w:ascii="Arial" w:cs="Arial" w:eastAsia="Arial" w:hAnsi="Arial"/>
                <w:sz w:val="18"/>
                <w:szCs w:val="18"/>
                <w:b w:val="1"/>
                <w:bCs w:val="1"/>
                <w:color w:val="auto"/>
              </w:rPr>
              <w:t>AVROBIO, Inc.</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 Delaware corporation, does hereby</w:t>
            </w:r>
          </w:p>
        </w:tc>
      </w:tr>
      <w:tr>
        <w:trPr>
          <w:trHeight w:val="20"/>
        </w:trPr>
        <w:tc>
          <w:tcPr>
            <w:tcW w:w="3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80"/>
        <w:spacing w:after="0" w:line="282" w:lineRule="auto"/>
        <w:rPr>
          <w:sz w:val="20"/>
          <w:szCs w:val="20"/>
          <w:color w:val="auto"/>
        </w:rPr>
      </w:pPr>
      <w:r>
        <w:rPr>
          <w:rFonts w:ascii="Arial" w:cs="Arial" w:eastAsia="Arial" w:hAnsi="Arial"/>
          <w:sz w:val="18"/>
          <w:szCs w:val="18"/>
          <w:color w:val="auto"/>
        </w:rPr>
        <w:t xml:space="preserve">certify in such capacity and on behalf of the Company,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of the Sales Agreement dated July 1, 2019 (the “</w:t>
      </w:r>
      <w:r>
        <w:rPr>
          <w:rFonts w:ascii="Arial" w:cs="Arial" w:eastAsia="Arial" w:hAnsi="Arial"/>
          <w:sz w:val="18"/>
          <w:szCs w:val="18"/>
          <w:b w:val="1"/>
          <w:bCs w:val="1"/>
          <w:u w:val="single" w:color="auto"/>
          <w:color w:val="auto"/>
        </w:rPr>
        <w:t>Sales Agreement</w:t>
      </w:r>
      <w:r>
        <w:rPr>
          <w:rFonts w:ascii="Arial" w:cs="Arial" w:eastAsia="Arial" w:hAnsi="Arial"/>
          <w:sz w:val="18"/>
          <w:szCs w:val="18"/>
          <w:color w:val="auto"/>
        </w:rPr>
        <w:t>”) between the Company and Cowen and Company, LLC, that to the best of the knowledge of the undersigned.</w:t>
      </w:r>
    </w:p>
    <w:p>
      <w:pPr>
        <w:spacing w:after="0" w:line="58" w:lineRule="exact"/>
        <w:rPr>
          <w:sz w:val="20"/>
          <w:szCs w:val="20"/>
          <w:color w:val="auto"/>
        </w:rPr>
      </w:pPr>
    </w:p>
    <w:p>
      <w:pPr>
        <w:ind w:right="160" w:firstLine="444"/>
        <w:spacing w:after="0" w:line="272" w:lineRule="auto"/>
        <w:tabs>
          <w:tab w:leader="none" w:pos="65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69" w:lineRule="exact"/>
        <w:rPr>
          <w:rFonts w:ascii="Arial" w:cs="Arial" w:eastAsia="Arial" w:hAnsi="Arial"/>
          <w:sz w:val="17"/>
          <w:szCs w:val="17"/>
          <w:color w:val="auto"/>
        </w:rPr>
      </w:pPr>
    </w:p>
    <w:p>
      <w:pPr>
        <w:ind w:right="520" w:firstLine="444"/>
        <w:spacing w:after="0" w:line="277" w:lineRule="auto"/>
        <w:tabs>
          <w:tab w:leader="none" w:pos="70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date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defined herein shall have the meanings ascribed to them in the Sales Agreement.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24523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1020"/>
          </w:cols>
          <w:pgMar w:left="440" w:top="257" w:right="4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020"/>
          </w:cols>
          <w:pgMar w:left="1440" w:top="121" w:right="4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38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5"/>
                <w:szCs w:val="15"/>
                <w:b w:val="1"/>
                <w:bCs w:val="1"/>
                <w:color w:val="auto"/>
              </w:rPr>
              <w:t>1</w:t>
            </w:r>
          </w:p>
        </w:tc>
        <w:tc>
          <w:tcPr>
            <w:tcW w:w="1200" w:type="dxa"/>
            <w:vAlign w:val="bottom"/>
          </w:tcPr>
          <w:p>
            <w:pPr>
              <w:spacing w:after="0"/>
              <w:rPr>
                <w:sz w:val="20"/>
                <w:szCs w:val="20"/>
                <w:color w:val="auto"/>
              </w:rPr>
            </w:pPr>
          </w:p>
        </w:tc>
      </w:tr>
      <w:tr>
        <w:trPr>
          <w:trHeight w:val="459"/>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1.01   Definitions of Terms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ISSUE, DESCRIPTION, TERMS, EXECUTION, REGISTRATION AND EXCHANGE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2.01   Designation and Terms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2.02   Form of Securities and Trustee’s Certificate</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2.03   Denominations: Provisions for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2.04   Execution and Authentications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2.05   Registration of Transfer and Exchange</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2.07   Mutilated, Destroyed, Lost or Stolen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2.09   Benefits of Indenture</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140"/>
              <w:spacing w:after="0"/>
              <w:rPr>
                <w:sz w:val="20"/>
                <w:szCs w:val="20"/>
                <w:color w:val="auto"/>
              </w:rPr>
            </w:pPr>
            <w:r>
              <w:rPr>
                <w:rFonts w:ascii="Arial" w:cs="Arial" w:eastAsia="Arial" w:hAnsi="Arial"/>
                <w:sz w:val="18"/>
                <w:szCs w:val="18"/>
                <w:color w:val="auto"/>
              </w:rPr>
              <w:t>Authenticating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140"/>
              <w:spacing w:after="0"/>
              <w:rPr>
                <w:sz w:val="20"/>
                <w:szCs w:val="20"/>
                <w:color w:val="auto"/>
              </w:rPr>
            </w:pPr>
            <w:r>
              <w:rPr>
                <w:rFonts w:ascii="Arial" w:cs="Arial" w:eastAsia="Arial" w:hAnsi="Arial"/>
                <w:sz w:val="18"/>
                <w:szCs w:val="18"/>
                <w:color w:val="auto"/>
              </w:rPr>
              <w:t>Global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REDEMPTION OF SECURITIES AND SINKING FUND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38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3.02   Notice of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3.03   Payment Upon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140"/>
              <w:spacing w:after="0"/>
              <w:rPr>
                <w:sz w:val="20"/>
                <w:szCs w:val="20"/>
                <w:color w:val="auto"/>
              </w:rPr>
            </w:pPr>
            <w:r>
              <w:rPr>
                <w:rFonts w:ascii="Arial" w:cs="Arial" w:eastAsia="Arial" w:hAnsi="Arial"/>
                <w:sz w:val="18"/>
                <w:szCs w:val="18"/>
                <w:color w:val="auto"/>
              </w:rPr>
              <w:t>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3.06   Redemption of Securities for 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COVENANTS</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4.01   Payment of Principal, Premium and Interest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4.02   Maintenance of Office or Agency</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140"/>
              <w:spacing w:after="0"/>
              <w:rPr>
                <w:sz w:val="20"/>
                <w:szCs w:val="20"/>
                <w:color w:val="auto"/>
              </w:rPr>
            </w:pPr>
            <w:r>
              <w:rPr>
                <w:rFonts w:ascii="Arial" w:cs="Arial" w:eastAsia="Arial" w:hAnsi="Arial"/>
                <w:sz w:val="18"/>
                <w:szCs w:val="18"/>
                <w:color w:val="auto"/>
              </w:rPr>
              <w:t>Paying Agents</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4.04   Appointment to Fill Vacancy in Office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4.05   Compliance with Consolidation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color w:val="auto"/>
              </w:rPr>
              <w:t>SECURITYHOLDERS’ LISTS AND REPORTS BY THE COMPANY AND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5.03   Reports by the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5.04   Reports by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color w:val="auto"/>
              </w:rPr>
              <w:t>REMEDIES OF THE TRUSTEE AND SECURITYHOLDERS ON EVENT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6.01   Events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700" w:hanging="436"/>
        <w:spacing w:after="0" w:line="277" w:lineRule="auto"/>
        <w:tabs>
          <w:tab w:leader="none" w:pos="440" w:val="left"/>
        </w:tabs>
        <w:numPr>
          <w:ilvl w:val="0"/>
          <w:numId w:val="117"/>
        </w:numPr>
        <w:rPr>
          <w:rFonts w:ascii="Arial" w:cs="Arial" w:eastAsia="Arial" w:hAnsi="Arial"/>
          <w:sz w:val="15"/>
          <w:szCs w:val="15"/>
          <w:color w:val="auto"/>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080" w:type="dxa"/>
            <w:vAlign w:val="bottom"/>
          </w:tcPr>
          <w:p>
            <w:pPr>
              <w:ind w:left="120"/>
              <w:spacing w:after="0"/>
              <w:rPr>
                <w:sz w:val="20"/>
                <w:szCs w:val="20"/>
                <w:color w:val="auto"/>
              </w:rPr>
            </w:pPr>
            <w:r>
              <w:rPr>
                <w:rFonts w:ascii="Arial" w:cs="Arial" w:eastAsia="Arial" w:hAnsi="Arial"/>
                <w:sz w:val="18"/>
                <w:szCs w:val="18"/>
                <w:color w:val="auto"/>
              </w:rPr>
              <w:t>Application of Moneys Collected</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08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080" w:type="dxa"/>
            <w:vAlign w:val="bottom"/>
          </w:tcPr>
          <w:p>
            <w:pPr>
              <w:ind w:left="120"/>
              <w:spacing w:after="0"/>
              <w:rPr>
                <w:sz w:val="20"/>
                <w:szCs w:val="20"/>
                <w:color w:val="auto"/>
              </w:rPr>
            </w:pPr>
            <w:r>
              <w:rPr>
                <w:rFonts w:ascii="Arial" w:cs="Arial" w:eastAsia="Arial" w:hAnsi="Arial"/>
                <w:sz w:val="18"/>
                <w:szCs w:val="18"/>
                <w:color w:val="auto"/>
              </w:rPr>
              <w:t>Rights and Remedies Cumulative; Delay or Omission Not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080" w:type="dxa"/>
            <w:vAlign w:val="bottom"/>
          </w:tcPr>
          <w:p>
            <w:pPr>
              <w:ind w:left="120"/>
              <w:spacing w:after="0"/>
              <w:rPr>
                <w:sz w:val="20"/>
                <w:szCs w:val="20"/>
                <w:color w:val="auto"/>
              </w:rPr>
            </w:pPr>
            <w:r>
              <w:rPr>
                <w:rFonts w:ascii="Arial" w:cs="Arial" w:eastAsia="Arial" w:hAnsi="Arial"/>
                <w:sz w:val="18"/>
                <w:szCs w:val="18"/>
                <w:color w:val="auto"/>
              </w:rPr>
              <w:t>Control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080" w:type="dxa"/>
            <w:vAlign w:val="bottom"/>
          </w:tcPr>
          <w:p>
            <w:pPr>
              <w:ind w:left="120"/>
              <w:spacing w:after="0"/>
              <w:rPr>
                <w:sz w:val="20"/>
                <w:szCs w:val="20"/>
                <w:color w:val="auto"/>
              </w:rPr>
            </w:pPr>
            <w:r>
              <w:rPr>
                <w:rFonts w:ascii="Arial" w:cs="Arial" w:eastAsia="Arial" w:hAnsi="Arial"/>
                <w:sz w:val="18"/>
                <w:szCs w:val="18"/>
                <w:color w:val="auto"/>
              </w:rPr>
              <w:t>Undertaking to Pay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CONCERNING THE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080" w:type="dxa"/>
            <w:vAlign w:val="bottom"/>
          </w:tcPr>
          <w:p>
            <w:pPr>
              <w:ind w:left="120"/>
              <w:spacing w:after="0"/>
              <w:rPr>
                <w:sz w:val="20"/>
                <w:szCs w:val="20"/>
                <w:color w:val="auto"/>
              </w:rPr>
            </w:pPr>
            <w:r>
              <w:rPr>
                <w:rFonts w:ascii="Arial" w:cs="Arial" w:eastAsia="Arial" w:hAnsi="Arial"/>
                <w:sz w:val="18"/>
                <w:szCs w:val="18"/>
                <w:color w:val="auto"/>
              </w:rPr>
              <w:t>Certain Duties and Responsibilities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080" w:type="dxa"/>
            <w:vAlign w:val="bottom"/>
          </w:tcPr>
          <w:p>
            <w:pPr>
              <w:ind w:left="120"/>
              <w:spacing w:after="0"/>
              <w:rPr>
                <w:sz w:val="20"/>
                <w:szCs w:val="20"/>
                <w:color w:val="auto"/>
              </w:rPr>
            </w:pPr>
            <w:r>
              <w:rPr>
                <w:rFonts w:ascii="Arial" w:cs="Arial" w:eastAsia="Arial" w:hAnsi="Arial"/>
                <w:sz w:val="18"/>
                <w:szCs w:val="18"/>
                <w:color w:val="auto"/>
              </w:rPr>
              <w:t>Certain Rights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080" w:type="dxa"/>
            <w:vAlign w:val="bottom"/>
          </w:tcPr>
          <w:p>
            <w:pPr>
              <w:ind w:left="120"/>
              <w:spacing w:after="0"/>
              <w:rPr>
                <w:sz w:val="20"/>
                <w:szCs w:val="20"/>
                <w:color w:val="auto"/>
              </w:rPr>
            </w:pPr>
            <w:r>
              <w:rPr>
                <w:rFonts w:ascii="Arial" w:cs="Arial" w:eastAsia="Arial" w:hAnsi="Arial"/>
                <w:sz w:val="18"/>
                <w:szCs w:val="18"/>
                <w:color w:val="auto"/>
              </w:rPr>
              <w:t>Trustee Not Responsible for Recitals or Issuance or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080" w:type="dxa"/>
            <w:vAlign w:val="bottom"/>
          </w:tcPr>
          <w:p>
            <w:pPr>
              <w:ind w:left="120"/>
              <w:spacing w:after="0"/>
              <w:rPr>
                <w:sz w:val="20"/>
                <w:szCs w:val="20"/>
                <w:color w:val="auto"/>
              </w:rPr>
            </w:pPr>
            <w:r>
              <w:rPr>
                <w:rFonts w:ascii="Arial" w:cs="Arial" w:eastAsia="Arial" w:hAnsi="Arial"/>
                <w:sz w:val="18"/>
                <w:szCs w:val="18"/>
                <w:color w:val="auto"/>
              </w:rPr>
              <w:t>May Hold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080" w:type="dxa"/>
            <w:vAlign w:val="bottom"/>
          </w:tcPr>
          <w:p>
            <w:pPr>
              <w:ind w:left="120"/>
              <w:spacing w:after="0"/>
              <w:rPr>
                <w:sz w:val="20"/>
                <w:szCs w:val="20"/>
                <w:color w:val="auto"/>
              </w:rPr>
            </w:pPr>
            <w:r>
              <w:rPr>
                <w:rFonts w:ascii="Arial" w:cs="Arial" w:eastAsia="Arial" w:hAnsi="Arial"/>
                <w:sz w:val="18"/>
                <w:szCs w:val="18"/>
                <w:color w:val="auto"/>
              </w:rPr>
              <w:t>Moneys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080" w:type="dxa"/>
            <w:vAlign w:val="bottom"/>
          </w:tcPr>
          <w:p>
            <w:pPr>
              <w:ind w:left="120"/>
              <w:spacing w:after="0"/>
              <w:rPr>
                <w:sz w:val="20"/>
                <w:szCs w:val="20"/>
                <w:color w:val="auto"/>
              </w:rPr>
            </w:pPr>
            <w:r>
              <w:rPr>
                <w:rFonts w:ascii="Arial" w:cs="Arial" w:eastAsia="Arial" w:hAnsi="Arial"/>
                <w:sz w:val="18"/>
                <w:szCs w:val="18"/>
                <w:color w:val="auto"/>
              </w:rPr>
              <w:t>Compensation and Reimbursement</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080" w:type="dxa"/>
            <w:vAlign w:val="bottom"/>
          </w:tcPr>
          <w:p>
            <w:pPr>
              <w:ind w:left="120"/>
              <w:spacing w:after="0"/>
              <w:rPr>
                <w:sz w:val="20"/>
                <w:szCs w:val="20"/>
                <w:color w:val="auto"/>
              </w:rPr>
            </w:pPr>
            <w:r>
              <w:rPr>
                <w:rFonts w:ascii="Arial" w:cs="Arial" w:eastAsia="Arial" w:hAnsi="Arial"/>
                <w:sz w:val="18"/>
                <w:szCs w:val="18"/>
                <w:color w:val="auto"/>
              </w:rPr>
              <w:t>Reliance on Officer’s Certificate or Opinion of Counsel</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080" w:type="dxa"/>
            <w:vAlign w:val="bottom"/>
          </w:tcPr>
          <w:p>
            <w:pPr>
              <w:ind w:left="120"/>
              <w:spacing w:after="0"/>
              <w:rPr>
                <w:sz w:val="20"/>
                <w:szCs w:val="20"/>
                <w:color w:val="auto"/>
              </w:rPr>
            </w:pPr>
            <w:r>
              <w:rPr>
                <w:rFonts w:ascii="Arial" w:cs="Arial" w:eastAsia="Arial" w:hAnsi="Arial"/>
                <w:sz w:val="18"/>
                <w:szCs w:val="18"/>
                <w:color w:val="auto"/>
              </w:rPr>
              <w:t>Disqualification; Conflicting Interests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080" w:type="dxa"/>
            <w:vAlign w:val="bottom"/>
          </w:tcPr>
          <w:p>
            <w:pPr>
              <w:ind w:left="120"/>
              <w:spacing w:after="0"/>
              <w:rPr>
                <w:sz w:val="20"/>
                <w:szCs w:val="20"/>
                <w:color w:val="auto"/>
              </w:rPr>
            </w:pPr>
            <w:r>
              <w:rPr>
                <w:rFonts w:ascii="Arial" w:cs="Arial" w:eastAsia="Arial" w:hAnsi="Arial"/>
                <w:sz w:val="18"/>
                <w:szCs w:val="18"/>
                <w:color w:val="auto"/>
              </w:rPr>
              <w:t>Corporate Trustee Required; Eligibility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80" w:type="dxa"/>
            <w:vAlign w:val="bottom"/>
          </w:tcPr>
          <w:p>
            <w:pPr>
              <w:ind w:left="120"/>
              <w:spacing w:after="0"/>
              <w:rPr>
                <w:sz w:val="20"/>
                <w:szCs w:val="20"/>
                <w:color w:val="auto"/>
              </w:rPr>
            </w:pPr>
            <w:r>
              <w:rPr>
                <w:rFonts w:ascii="Arial" w:cs="Arial" w:eastAsia="Arial" w:hAnsi="Arial"/>
                <w:sz w:val="18"/>
                <w:szCs w:val="18"/>
                <w:color w:val="auto"/>
              </w:rPr>
              <w:t>Resignation and Removal; Appointment of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080" w:type="dxa"/>
            <w:vAlign w:val="bottom"/>
          </w:tcPr>
          <w:p>
            <w:pPr>
              <w:ind w:left="120"/>
              <w:spacing w:after="0"/>
              <w:rPr>
                <w:sz w:val="20"/>
                <w:szCs w:val="20"/>
                <w:color w:val="auto"/>
              </w:rPr>
            </w:pPr>
            <w:r>
              <w:rPr>
                <w:rFonts w:ascii="Arial" w:cs="Arial" w:eastAsia="Arial" w:hAnsi="Arial"/>
                <w:sz w:val="18"/>
                <w:szCs w:val="18"/>
                <w:color w:val="auto"/>
              </w:rPr>
              <w:t>Acceptance of Appointment By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080" w:type="dxa"/>
            <w:vAlign w:val="bottom"/>
          </w:tcPr>
          <w:p>
            <w:pPr>
              <w:ind w:left="120"/>
              <w:spacing w:after="0"/>
              <w:rPr>
                <w:sz w:val="20"/>
                <w:szCs w:val="20"/>
                <w:color w:val="auto"/>
              </w:rPr>
            </w:pPr>
            <w:r>
              <w:rPr>
                <w:rFonts w:ascii="Arial" w:cs="Arial" w:eastAsia="Arial" w:hAnsi="Arial"/>
                <w:sz w:val="18"/>
                <w:szCs w:val="18"/>
                <w:color w:val="auto"/>
              </w:rPr>
              <w:t>Merger, Conversion, Consolidation or Succession to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080" w:type="dxa"/>
            <w:vAlign w:val="bottom"/>
          </w:tcPr>
          <w:p>
            <w:pPr>
              <w:ind w:left="120"/>
              <w:spacing w:after="0"/>
              <w:rPr>
                <w:sz w:val="20"/>
                <w:szCs w:val="20"/>
                <w:color w:val="auto"/>
              </w:rPr>
            </w:pPr>
            <w:r>
              <w:rPr>
                <w:rFonts w:ascii="Arial" w:cs="Arial" w:eastAsia="Arial" w:hAnsi="Arial"/>
                <w:sz w:val="18"/>
                <w:szCs w:val="18"/>
                <w:color w:val="auto"/>
              </w:rPr>
              <w:t>Preferential Collection of Claims Against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08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CONCERNING THE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080" w:type="dxa"/>
            <w:vAlign w:val="bottom"/>
          </w:tcPr>
          <w:p>
            <w:pPr>
              <w:ind w:left="120"/>
              <w:spacing w:after="0"/>
              <w:rPr>
                <w:sz w:val="20"/>
                <w:szCs w:val="20"/>
                <w:color w:val="auto"/>
              </w:rPr>
            </w:pPr>
            <w:r>
              <w:rPr>
                <w:rFonts w:ascii="Arial" w:cs="Arial" w:eastAsia="Arial" w:hAnsi="Arial"/>
                <w:sz w:val="18"/>
                <w:szCs w:val="18"/>
                <w:color w:val="auto"/>
              </w:rPr>
              <w:t>Evidence of Action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080" w:type="dxa"/>
            <w:vAlign w:val="bottom"/>
          </w:tcPr>
          <w:p>
            <w:pPr>
              <w:ind w:left="120"/>
              <w:spacing w:after="0"/>
              <w:rPr>
                <w:sz w:val="20"/>
                <w:szCs w:val="20"/>
                <w:color w:val="auto"/>
              </w:rPr>
            </w:pPr>
            <w:r>
              <w:rPr>
                <w:rFonts w:ascii="Arial" w:cs="Arial" w:eastAsia="Arial" w:hAnsi="Arial"/>
                <w:sz w:val="18"/>
                <w:szCs w:val="18"/>
                <w:color w:val="auto"/>
              </w:rPr>
              <w:t>Proof of Execution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080" w:type="dxa"/>
            <w:vAlign w:val="bottom"/>
          </w:tcPr>
          <w:p>
            <w:pPr>
              <w:ind w:left="120"/>
              <w:spacing w:after="0"/>
              <w:rPr>
                <w:sz w:val="20"/>
                <w:szCs w:val="20"/>
                <w:color w:val="auto"/>
              </w:rPr>
            </w:pPr>
            <w:r>
              <w:rPr>
                <w:rFonts w:ascii="Arial" w:cs="Arial" w:eastAsia="Arial" w:hAnsi="Arial"/>
                <w:sz w:val="18"/>
                <w:szCs w:val="18"/>
                <w:color w:val="auto"/>
              </w:rPr>
              <w:t>Who May be Deemed Owners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080" w:type="dxa"/>
            <w:vAlign w:val="bottom"/>
          </w:tcPr>
          <w:p>
            <w:pPr>
              <w:ind w:left="120"/>
              <w:spacing w:after="0"/>
              <w:rPr>
                <w:sz w:val="20"/>
                <w:szCs w:val="20"/>
                <w:color w:val="auto"/>
              </w:rPr>
            </w:pPr>
            <w:r>
              <w:rPr>
                <w:rFonts w:ascii="Arial" w:cs="Arial" w:eastAsia="Arial" w:hAnsi="Arial"/>
                <w:sz w:val="18"/>
                <w:szCs w:val="18"/>
                <w:color w:val="auto"/>
              </w:rPr>
              <w:t>Certain Securities Owned by Company Disregarded</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080" w:type="dxa"/>
            <w:vAlign w:val="bottom"/>
          </w:tcPr>
          <w:p>
            <w:pPr>
              <w:ind w:left="120"/>
              <w:spacing w:after="0"/>
              <w:rPr>
                <w:sz w:val="20"/>
                <w:szCs w:val="20"/>
                <w:color w:val="auto"/>
              </w:rPr>
            </w:pPr>
            <w:r>
              <w:rPr>
                <w:rFonts w:ascii="Arial" w:cs="Arial" w:eastAsia="Arial" w:hAnsi="Arial"/>
                <w:sz w:val="18"/>
                <w:szCs w:val="18"/>
                <w:color w:val="auto"/>
              </w:rPr>
              <w:t>Actions Binding on Future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080" w:type="dxa"/>
            <w:vAlign w:val="bottom"/>
          </w:tcPr>
          <w:p>
            <w:pPr>
              <w:ind w:left="120"/>
              <w:spacing w:after="0"/>
              <w:rPr>
                <w:sz w:val="20"/>
                <w:szCs w:val="20"/>
                <w:color w:val="auto"/>
              </w:rPr>
            </w:pPr>
            <w:r>
              <w:rPr>
                <w:rFonts w:ascii="Arial" w:cs="Arial" w:eastAsia="Arial" w:hAnsi="Arial"/>
                <w:sz w:val="18"/>
                <w:szCs w:val="18"/>
                <w:color w:val="auto"/>
              </w:rPr>
              <w:t>Supplemental Indentures Without the Consent of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080" w:type="dxa"/>
            <w:vAlign w:val="bottom"/>
          </w:tcPr>
          <w:p>
            <w:pPr>
              <w:ind w:left="120"/>
              <w:spacing w:after="0"/>
              <w:rPr>
                <w:sz w:val="20"/>
                <w:szCs w:val="20"/>
                <w:color w:val="auto"/>
              </w:rPr>
            </w:pPr>
            <w:r>
              <w:rPr>
                <w:rFonts w:ascii="Arial" w:cs="Arial" w:eastAsia="Arial" w:hAnsi="Arial"/>
                <w:sz w:val="18"/>
                <w:szCs w:val="18"/>
                <w:color w:val="auto"/>
              </w:rPr>
              <w:t>Supplemental Indentures With Consent of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08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080" w:type="dxa"/>
            <w:vAlign w:val="bottom"/>
          </w:tcPr>
          <w:p>
            <w:pPr>
              <w:ind w:left="120"/>
              <w:spacing w:after="0"/>
              <w:rPr>
                <w:sz w:val="20"/>
                <w:szCs w:val="20"/>
                <w:color w:val="auto"/>
              </w:rPr>
            </w:pPr>
            <w:r>
              <w:rPr>
                <w:rFonts w:ascii="Arial" w:cs="Arial" w:eastAsia="Arial" w:hAnsi="Arial"/>
                <w:sz w:val="18"/>
                <w:szCs w:val="18"/>
                <w:color w:val="auto"/>
              </w:rPr>
              <w:t>Securities Affected by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08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SUCCESSOR ENTITY</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080" w:type="dxa"/>
            <w:vAlign w:val="bottom"/>
          </w:tcPr>
          <w:p>
            <w:pPr>
              <w:ind w:left="120"/>
              <w:spacing w:after="0"/>
              <w:rPr>
                <w:sz w:val="20"/>
                <w:szCs w:val="20"/>
                <w:color w:val="auto"/>
              </w:rPr>
            </w:pPr>
            <w:r>
              <w:rPr>
                <w:rFonts w:ascii="Arial" w:cs="Arial" w:eastAsia="Arial" w:hAnsi="Arial"/>
                <w:sz w:val="18"/>
                <w:szCs w:val="18"/>
                <w:color w:val="auto"/>
              </w:rPr>
              <w:t>Company May Consolidate, Etc</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080" w:type="dxa"/>
            <w:vAlign w:val="bottom"/>
          </w:tcPr>
          <w:p>
            <w:pPr>
              <w:ind w:left="120"/>
              <w:spacing w:after="0"/>
              <w:rPr>
                <w:sz w:val="20"/>
                <w:szCs w:val="20"/>
                <w:color w:val="auto"/>
              </w:rPr>
            </w:pPr>
            <w:r>
              <w:rPr>
                <w:rFonts w:ascii="Arial" w:cs="Arial" w:eastAsia="Arial" w:hAnsi="Arial"/>
                <w:sz w:val="18"/>
                <w:szCs w:val="18"/>
                <w:color w:val="auto"/>
              </w:rPr>
              <w:t>Successor Entity Substituted</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SATISFACTION AND DISCHARGE</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080" w:type="dxa"/>
            <w:vAlign w:val="bottom"/>
          </w:tcPr>
          <w:p>
            <w:pPr>
              <w:ind w:left="120"/>
              <w:spacing w:after="0"/>
              <w:rPr>
                <w:sz w:val="20"/>
                <w:szCs w:val="20"/>
                <w:color w:val="auto"/>
              </w:rPr>
            </w:pPr>
            <w:r>
              <w:rPr>
                <w:rFonts w:ascii="Arial" w:cs="Arial" w:eastAsia="Arial" w:hAnsi="Arial"/>
                <w:sz w:val="18"/>
                <w:szCs w:val="18"/>
                <w:color w:val="auto"/>
              </w:rPr>
              <w:t>Satisfaction and Discharge of Indenture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080" w:type="dxa"/>
            <w:vAlign w:val="bottom"/>
          </w:tcPr>
          <w:p>
            <w:pPr>
              <w:ind w:left="120"/>
              <w:spacing w:after="0"/>
              <w:rPr>
                <w:sz w:val="20"/>
                <w:szCs w:val="20"/>
                <w:color w:val="auto"/>
              </w:rPr>
            </w:pPr>
            <w:r>
              <w:rPr>
                <w:rFonts w:ascii="Arial" w:cs="Arial" w:eastAsia="Arial" w:hAnsi="Arial"/>
                <w:sz w:val="18"/>
                <w:szCs w:val="18"/>
                <w:color w:val="auto"/>
              </w:rPr>
              <w:t>Discharge of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080" w:type="dxa"/>
            <w:vAlign w:val="bottom"/>
          </w:tcPr>
          <w:p>
            <w:pPr>
              <w:ind w:left="120"/>
              <w:spacing w:after="0"/>
              <w:rPr>
                <w:sz w:val="20"/>
                <w:szCs w:val="20"/>
                <w:color w:val="auto"/>
              </w:rPr>
            </w:pPr>
            <w:r>
              <w:rPr>
                <w:rFonts w:ascii="Arial" w:cs="Arial" w:eastAsia="Arial" w:hAnsi="Arial"/>
                <w:sz w:val="18"/>
                <w:szCs w:val="18"/>
                <w:color w:val="auto"/>
              </w:rPr>
              <w:t>Deposited Moneys to be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080" w:type="dxa"/>
            <w:vAlign w:val="bottom"/>
          </w:tcPr>
          <w:p>
            <w:pPr>
              <w:ind w:left="120"/>
              <w:spacing w:after="0"/>
              <w:rPr>
                <w:sz w:val="20"/>
                <w:szCs w:val="20"/>
                <w:color w:val="auto"/>
              </w:rPr>
            </w:pPr>
            <w:r>
              <w:rPr>
                <w:rFonts w:ascii="Arial" w:cs="Arial" w:eastAsia="Arial" w:hAnsi="Arial"/>
                <w:sz w:val="18"/>
                <w:szCs w:val="18"/>
                <w:color w:val="auto"/>
              </w:rPr>
              <w:t>Payment of Moneys Held by Paying Agents</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080" w:type="dxa"/>
            <w:vAlign w:val="bottom"/>
          </w:tcPr>
          <w:p>
            <w:pPr>
              <w:ind w:left="120"/>
              <w:spacing w:after="0"/>
              <w:rPr>
                <w:sz w:val="20"/>
                <w:szCs w:val="20"/>
                <w:color w:val="auto"/>
              </w:rPr>
            </w:pPr>
            <w:r>
              <w:rPr>
                <w:rFonts w:ascii="Arial" w:cs="Arial" w:eastAsia="Arial" w:hAnsi="Arial"/>
                <w:sz w:val="18"/>
                <w:szCs w:val="18"/>
                <w:color w:val="auto"/>
              </w:rPr>
              <w:t>Repayment to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680" w:type="dxa"/>
            <w:vAlign w:val="bottom"/>
          </w:tcPr>
          <w:p>
            <w:pPr>
              <w:ind w:left="120"/>
              <w:spacing w:after="0"/>
              <w:rPr>
                <w:sz w:val="20"/>
                <w:szCs w:val="20"/>
                <w:color w:val="auto"/>
              </w:rPr>
            </w:pPr>
            <w:r>
              <w:rPr>
                <w:rFonts w:ascii="Arial" w:cs="Arial" w:eastAsia="Arial" w:hAnsi="Arial"/>
                <w:sz w:val="18"/>
                <w:szCs w:val="18"/>
                <w:color w:val="auto"/>
              </w:rPr>
              <w:t>No Recourse</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13.01   Effect on Successors and Assigns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13.02   Actions by Successor</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13.03   Surrender of Company Powers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7680" w:type="dxa"/>
            <w:vAlign w:val="bottom"/>
          </w:tcPr>
          <w:p>
            <w:pPr>
              <w:ind w:left="120"/>
              <w:spacing w:after="0"/>
              <w:rPr>
                <w:sz w:val="20"/>
                <w:szCs w:val="20"/>
                <w:color w:val="auto"/>
              </w:rPr>
            </w:pPr>
            <w:r>
              <w:rPr>
                <w:rFonts w:ascii="Arial" w:cs="Arial" w:eastAsia="Arial" w:hAnsi="Arial"/>
                <w:sz w:val="18"/>
                <w:szCs w:val="18"/>
                <w:color w:val="auto"/>
              </w:rPr>
              <w:t>Notices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13.05   Governing Law; Jury Trial Waiver</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13.06   Treatment of Securities as Debt</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13.07   Certificates and Opinions as to Conditions Precedent</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13.08   Payments on Business Days</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13.09   Conflict with Trust Indenture Act</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13.10</w:t>
            </w:r>
          </w:p>
        </w:tc>
        <w:tc>
          <w:tcPr>
            <w:tcW w:w="76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13.11</w:t>
            </w:r>
          </w:p>
        </w:tc>
        <w:tc>
          <w:tcPr>
            <w:tcW w:w="7680" w:type="dxa"/>
            <w:vAlign w:val="bottom"/>
          </w:tcPr>
          <w:p>
            <w:pPr>
              <w:ind w:left="120"/>
              <w:spacing w:after="0"/>
              <w:rPr>
                <w:sz w:val="20"/>
                <w:szCs w:val="20"/>
                <w:color w:val="auto"/>
              </w:rPr>
            </w:pPr>
            <w:r>
              <w:rPr>
                <w:rFonts w:ascii="Arial" w:cs="Arial" w:eastAsia="Arial" w:hAnsi="Arial"/>
                <w:sz w:val="18"/>
                <w:szCs w:val="18"/>
                <w:color w:val="auto"/>
              </w:rPr>
              <w:t>Separability</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13.12</w:t>
            </w:r>
          </w:p>
        </w:tc>
        <w:tc>
          <w:tcPr>
            <w:tcW w:w="7680" w:type="dxa"/>
            <w:vAlign w:val="bottom"/>
          </w:tcPr>
          <w:p>
            <w:pPr>
              <w:ind w:left="120"/>
              <w:spacing w:after="0"/>
              <w:rPr>
                <w:sz w:val="20"/>
                <w:szCs w:val="20"/>
                <w:color w:val="auto"/>
              </w:rPr>
            </w:pPr>
            <w:r>
              <w:rPr>
                <w:rFonts w:ascii="Arial" w:cs="Arial" w:eastAsia="Arial" w:hAnsi="Arial"/>
                <w:sz w:val="18"/>
                <w:szCs w:val="18"/>
                <w:color w:val="auto"/>
              </w:rPr>
              <w:t>Compliance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13.13   USA PATRIOT ACT</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13.14</w:t>
            </w:r>
          </w:p>
        </w:tc>
        <w:tc>
          <w:tcPr>
            <w:tcW w:w="7680" w:type="dxa"/>
            <w:vAlign w:val="bottom"/>
          </w:tcPr>
          <w:p>
            <w:pPr>
              <w:ind w:left="120"/>
              <w:spacing w:after="0"/>
              <w:rPr>
                <w:sz w:val="20"/>
                <w:szCs w:val="20"/>
                <w:color w:val="auto"/>
              </w:rPr>
            </w:pPr>
            <w:r>
              <w:rPr>
                <w:rFonts w:ascii="Arial" w:cs="Arial" w:eastAsia="Arial" w:hAnsi="Arial"/>
                <w:sz w:val="18"/>
                <w:szCs w:val="18"/>
                <w:color w:val="auto"/>
              </w:rPr>
              <w:t>Calculations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TRUST INDENTURE ACT CROSS-REFERENCE TABLE</w:t>
            </w:r>
          </w:p>
        </w:tc>
        <w:tc>
          <w:tcPr>
            <w:tcW w:w="18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65"/>
        </w:trPr>
        <w:tc>
          <w:tcPr>
            <w:tcW w:w="1500" w:type="dxa"/>
            <w:vAlign w:val="bottom"/>
          </w:tcPr>
          <w:p>
            <w:pPr>
              <w:spacing w:after="0"/>
              <w:rPr>
                <w:sz w:val="24"/>
                <w:szCs w:val="24"/>
                <w:color w:val="auto"/>
              </w:rPr>
            </w:pPr>
          </w:p>
        </w:tc>
        <w:tc>
          <w:tcPr>
            <w:tcW w:w="7680" w:type="dxa"/>
            <w:vAlign w:val="bottom"/>
          </w:tcPr>
          <w:p>
            <w:pPr>
              <w:ind w:left="3940"/>
              <w:spacing w:after="0"/>
              <w:rPr>
                <w:sz w:val="20"/>
                <w:szCs w:val="20"/>
                <w:color w:val="auto"/>
              </w:rPr>
            </w:pPr>
            <w:r>
              <w:rPr>
                <w:rFonts w:ascii="Arial" w:cs="Arial" w:eastAsia="Arial" w:hAnsi="Arial"/>
                <w:sz w:val="18"/>
                <w:szCs w:val="18"/>
                <w:color w:val="auto"/>
              </w:rPr>
              <w:t>iii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8" w:name="page119"/>
    <w:bookmarkEnd w:id="1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 among</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2" w:lineRule="exact"/>
        <w:rPr>
          <w:sz w:val="20"/>
          <w:szCs w:val="20"/>
          <w:color w:val="auto"/>
        </w:rPr>
      </w:pPr>
    </w:p>
    <w:p>
      <w:pPr>
        <w:ind w:right="20" w:firstLine="44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debt securities (hereinafter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things necessary to make this Indenture a valid and binding agreement of the Company, in accordance with its terms, have been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07"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4"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xml:space="preserve">” means an authenticating agent with respect to all or any of the series of Securities appointed by the Trustee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ectPr>
          <w:pgSz w:w="11900" w:h="16838" w:orient="portrait"/>
          <w:cols w:equalWidth="0" w:num="1">
            <w:col w:w="10960"/>
          </w:cols>
          <w:pgMar w:left="440" w:top="270" w:right="499" w:bottom="1440" w:gutter="0" w:footer="0" w:header="0"/>
        </w:sectPr>
      </w:pPr>
    </w:p>
    <w:bookmarkStart w:id="119" w:name="page120"/>
    <w:bookmarkEnd w:id="119"/>
    <w:p>
      <w:pPr>
        <w:ind w:right="10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8" w:lineRule="exact"/>
        <w:rPr>
          <w:sz w:val="20"/>
          <w:szCs w:val="20"/>
          <w:color w:val="auto"/>
        </w:rPr>
      </w:pPr>
    </w:p>
    <w:p>
      <w:pPr>
        <w:ind w:right="4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1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AVROBIO, Inc., a corporation duly organized and existing under the laws of the State of Delaware, and, subject to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shall also include its successors and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 Officer of the Company, and delivered to the Trustee.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at any particular time, its corporate trust business shall be administered, which office at the date hereof is located at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w:t>
      </w:r>
      <w:r>
        <w:rPr>
          <w:rFonts w:ascii="Arial" w:cs="Arial" w:eastAsia="Arial" w:hAnsi="Arial"/>
          <w:sz w:val="16"/>
          <w:szCs w:val="16"/>
          <w:color w:val="auto"/>
        </w:rPr>
        <w:t>.</w:t>
      </w:r>
    </w:p>
    <w:p>
      <w:pPr>
        <w:spacing w:after="0" w:line="14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with respect to Securities of a particular series, any event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 continued for the period of time, if any, therein designated.</w:t>
      </w:r>
    </w:p>
    <w:p>
      <w:pPr>
        <w:spacing w:after="0" w:line="162"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20" w:name="page121"/>
    <w:bookmarkEnd w:id="120"/>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Governmental Obligations</w:t>
      </w:r>
      <w:r>
        <w:rPr>
          <w:rFonts w:ascii="Arial" w:cs="Arial" w:eastAsia="Arial" w:hAnsi="Arial"/>
          <w:sz w:val="17"/>
          <w:szCs w:val="17"/>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receipt from any amount received by the custodian in respect of the Governmental Obligation or the specific payment of principal of or interest on the Governmental Obligation evidenced by such depositary receipt.</w:t>
      </w:r>
    </w:p>
    <w:p>
      <w:pPr>
        <w:spacing w:after="0" w:line="174"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6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6"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signed by any Officer. Each such certificate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62"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76"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when used with reference to Securities of any series, means, subject to the provisions of </w:t>
      </w:r>
      <w:r>
        <w:rPr>
          <w:rFonts w:ascii="Arial" w:cs="Arial" w:eastAsia="Arial" w:hAnsi="Arial"/>
          <w:sz w:val="18"/>
          <w:szCs w:val="18"/>
          <w:u w:val="single" w:color="auto"/>
          <w:color w:val="auto"/>
        </w:rPr>
        <w:t>Section 8.04</w:t>
      </w:r>
      <w:r>
        <w:rPr>
          <w:rFonts w:ascii="Arial" w:cs="Arial" w:eastAsia="Arial" w:hAnsi="Arial"/>
          <w:sz w:val="18"/>
          <w:szCs w:val="18"/>
          <w:color w:val="auto"/>
        </w:rPr>
        <w:t>, as of any particular time, all Securities of that series theretofore authenticated and delivered by the Trustee under this Indenture, except (a) Securities theretofore canceled by the Trustee or any paying agent, or delivered to the Trustee or any paying agent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21" w:name="page122"/>
    <w:bookmarkEnd w:id="12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Securities or portions of such Securities are to be redeemed prior to the maturity thereof, notice of such redemption shall have been given as provided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174" w:lineRule="exact"/>
        <w:rPr>
          <w:sz w:val="20"/>
          <w:szCs w:val="20"/>
          <w:color w:val="auto"/>
        </w:rPr>
      </w:pPr>
    </w:p>
    <w:p>
      <w:pPr>
        <w:jc w:val="center"/>
        <w:ind w:right="2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16" w:lineRule="exact"/>
        <w:rPr>
          <w:sz w:val="20"/>
          <w:szCs w:val="20"/>
          <w:color w:val="auto"/>
        </w:rPr>
      </w:pPr>
    </w:p>
    <w:p>
      <w:pPr>
        <w:ind w:right="2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Security</w:t>
      </w:r>
      <w:r>
        <w:rPr>
          <w:rFonts w:ascii="Arial" w:cs="Arial" w:eastAsia="Arial" w:hAnsi="Arial"/>
          <w:sz w:val="17"/>
          <w:szCs w:val="17"/>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in lieu of a lost, destroyed or stolen Security shall be deemed to evidence the same debt as the lost, destroyed or stolen Security.</w:t>
      </w:r>
    </w:p>
    <w:p>
      <w:pPr>
        <w:spacing w:after="0" w:line="158" w:lineRule="exact"/>
        <w:rPr>
          <w:sz w:val="20"/>
          <w:szCs w:val="20"/>
          <w:color w:val="auto"/>
        </w:rPr>
      </w:pPr>
    </w:p>
    <w:p>
      <w:pPr>
        <w:ind w:right="1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8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62" w:lineRule="exact"/>
        <w:rPr>
          <w:sz w:val="20"/>
          <w:szCs w:val="20"/>
          <w:color w:val="auto"/>
        </w:rPr>
      </w:pPr>
    </w:p>
    <w:p>
      <w:pPr>
        <w:ind w:right="5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Securityholder</w:t>
      </w:r>
      <w:r>
        <w:rPr>
          <w:rFonts w:ascii="Arial" w:cs="Arial" w:eastAsia="Arial" w:hAnsi="Arial"/>
          <w:sz w:val="17"/>
          <w:szCs w:val="17"/>
          <w:color w:val="auto"/>
        </w:rPr>
        <w:t>”, “</w:t>
      </w:r>
      <w:r>
        <w:rPr>
          <w:rFonts w:ascii="Arial" w:cs="Arial" w:eastAsia="Arial" w:hAnsi="Arial"/>
          <w:sz w:val="17"/>
          <w:szCs w:val="17"/>
          <w:b w:val="1"/>
          <w:bCs w:val="1"/>
          <w:color w:val="auto"/>
        </w:rPr>
        <w:t>holder</w:t>
      </w:r>
      <w:r>
        <w:rPr>
          <w:rFonts w:ascii="Arial" w:cs="Arial" w:eastAsia="Arial" w:hAnsi="Arial"/>
          <w:sz w:val="17"/>
          <w:szCs w:val="17"/>
          <w:color w:val="auto"/>
        </w:rPr>
        <w:t>”, “</w:t>
      </w:r>
      <w:r>
        <w:rPr>
          <w:rFonts w:ascii="Arial" w:cs="Arial" w:eastAsia="Arial" w:hAnsi="Arial"/>
          <w:sz w:val="17"/>
          <w:szCs w:val="17"/>
          <w:b w:val="1"/>
          <w:b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r>
        <w:rPr>
          <w:rFonts w:ascii="Arial" w:cs="Arial" w:eastAsia="Arial" w:hAnsi="Arial"/>
          <w:sz w:val="17"/>
          <w:szCs w:val="17"/>
          <w:b w:val="1"/>
          <w:bCs w:val="1"/>
          <w:color w:val="auto"/>
        </w:rPr>
        <w: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xml:space="preserve">” shall have the meanings as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121" w:lineRule="exact"/>
        <w:rPr>
          <w:sz w:val="20"/>
          <w:szCs w:val="20"/>
          <w:color w:val="auto"/>
        </w:rPr>
      </w:pPr>
    </w:p>
    <w:p>
      <w:pPr>
        <w:ind w:left="440" w:right="180" w:firstLine="428"/>
        <w:spacing w:after="0" w:line="264"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Arial" w:cs="Arial" w:eastAsia="Arial" w:hAnsi="Arial"/>
          <w:sz w:val="18"/>
          <w:szCs w:val="18"/>
          <w:b w:val="1"/>
          <w:bCs w:val="1"/>
          <w:color w:val="auto"/>
        </w:rPr>
        <w:t>subsidiary</w:t>
      </w:r>
      <w:r>
        <w:rPr>
          <w:rFonts w:ascii="Arial" w:cs="Arial" w:eastAsia="Arial" w:hAnsi="Arial"/>
          <w:sz w:val="18"/>
          <w:szCs w:val="18"/>
          <w:color w:val="auto"/>
        </w:rPr>
        <w:t>”), by one or more subsidiaries of such Person or by such Person and one or more subsidiaries of such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2" w:name="page123"/>
    <w:bookmarkEnd w:id="122"/>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a partnership in which such Person or a subsidiary of such Person is, at the date of determination, a general partner of such partnership;</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440" w:right="140" w:firstLine="428"/>
        <w:spacing w:after="0" w:line="259" w:lineRule="auto"/>
        <w:tabs>
          <w:tab w:leader="none" w:pos="111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xml:space="preserve">” means , and, 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 and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ISSUE, DESCRIPTION, TERMS, EXECUTION, REGISTRATION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EXCHANGE OF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302" w:lineRule="auto"/>
        <w:tabs>
          <w:tab w:leader="none" w:pos="68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6" w:lineRule="exact"/>
        <w:rPr>
          <w:rFonts w:ascii="Arial" w:cs="Arial" w:eastAsia="Arial" w:hAnsi="Arial"/>
          <w:sz w:val="16"/>
          <w:szCs w:val="16"/>
          <w:color w:val="auto"/>
        </w:rPr>
      </w:pPr>
    </w:p>
    <w:p>
      <w:pPr>
        <w:ind w:left="1540" w:hanging="249"/>
        <w:spacing w:after="0"/>
        <w:tabs>
          <w:tab w:leader="none" w:pos="15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ind w:left="440" w:right="80" w:firstLine="851"/>
        <w:spacing w:after="0" w:line="264" w:lineRule="auto"/>
        <w:tabs>
          <w:tab w:leader="none" w:pos="154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73" w:lineRule="exact"/>
        <w:rPr>
          <w:rFonts w:ascii="Arial" w:cs="Arial" w:eastAsia="Arial" w:hAnsi="Arial"/>
          <w:sz w:val="18"/>
          <w:szCs w:val="18"/>
          <w:color w:val="auto"/>
        </w:rPr>
      </w:pPr>
    </w:p>
    <w:p>
      <w:pPr>
        <w:ind w:left="1540" w:hanging="249"/>
        <w:spacing w:after="0"/>
        <w:tabs>
          <w:tab w:leader="none" w:pos="15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440" w:firstLine="851"/>
        <w:spacing w:after="0" w:line="259" w:lineRule="auto"/>
        <w:tabs>
          <w:tab w:leader="none" w:pos="154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23" w:name="page124"/>
    <w:bookmarkEnd w:id="123"/>
    <w:p>
      <w:pPr>
        <w:ind w:left="1100" w:hanging="249"/>
        <w:spacing w:after="0"/>
        <w:tabs>
          <w:tab w:leader="none" w:pos="11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rate or rates at which the Securities of the series shall bear interest or the manner of calculation of such rate or rates, if any;</w:t>
      </w:r>
    </w:p>
    <w:p>
      <w:pPr>
        <w:spacing w:after="0" w:line="140" w:lineRule="exact"/>
        <w:rPr>
          <w:rFonts w:ascii="Arial" w:cs="Arial" w:eastAsia="Arial" w:hAnsi="Arial"/>
          <w:sz w:val="16"/>
          <w:szCs w:val="16"/>
          <w:color w:val="auto"/>
        </w:rPr>
      </w:pPr>
    </w:p>
    <w:p>
      <w:pPr>
        <w:jc w:val="both"/>
        <w:ind w:right="200" w:firstLine="851"/>
        <w:spacing w:after="0" w:line="286" w:lineRule="auto"/>
        <w:tabs>
          <w:tab w:leader="none" w:pos="110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57" w:lineRule="exact"/>
        <w:rPr>
          <w:rFonts w:ascii="Arial" w:cs="Arial" w:eastAsia="Arial" w:hAnsi="Arial"/>
          <w:sz w:val="17"/>
          <w:szCs w:val="17"/>
          <w:color w:val="auto"/>
        </w:rPr>
      </w:pPr>
    </w:p>
    <w:p>
      <w:pPr>
        <w:ind w:left="1100" w:hanging="249"/>
        <w:spacing w:after="0"/>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right="240" w:firstLine="851"/>
        <w:spacing w:after="0" w:line="277" w:lineRule="auto"/>
        <w:tabs>
          <w:tab w:leader="none" w:pos="11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62" w:lineRule="exact"/>
        <w:rPr>
          <w:rFonts w:ascii="Arial" w:cs="Arial" w:eastAsia="Arial" w:hAnsi="Arial"/>
          <w:sz w:val="18"/>
          <w:szCs w:val="18"/>
          <w:color w:val="auto"/>
        </w:rPr>
      </w:pPr>
    </w:p>
    <w:p>
      <w:pPr>
        <w:jc w:val="both"/>
        <w:ind w:right="340" w:firstLine="851"/>
        <w:spacing w:after="0" w:line="279" w:lineRule="auto"/>
        <w:tabs>
          <w:tab w:leader="none" w:pos="110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3" w:lineRule="exact"/>
        <w:rPr>
          <w:rFonts w:ascii="Arial" w:cs="Arial" w:eastAsia="Arial" w:hAnsi="Arial"/>
          <w:sz w:val="17"/>
          <w:szCs w:val="17"/>
          <w:color w:val="auto"/>
        </w:rPr>
      </w:pPr>
    </w:p>
    <w:p>
      <w:pPr>
        <w:ind w:left="1200" w:hanging="349"/>
        <w:spacing w:after="0"/>
        <w:tabs>
          <w:tab w:leader="none" w:pos="12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right="520" w:firstLine="851"/>
        <w:spacing w:after="0" w:line="277" w:lineRule="auto"/>
        <w:tabs>
          <w:tab w:leader="none" w:pos="118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other than minimum denominations of one thousand U.S. dollars ($1,000) or any integral multiple of $1,000 thereof, the denominations in which the Securities of the series shall be issuable;</w:t>
      </w:r>
    </w:p>
    <w:p>
      <w:pPr>
        <w:spacing w:after="0" w:line="62" w:lineRule="exact"/>
        <w:rPr>
          <w:rFonts w:ascii="Arial" w:cs="Arial" w:eastAsia="Arial" w:hAnsi="Arial"/>
          <w:sz w:val="18"/>
          <w:szCs w:val="18"/>
          <w:color w:val="auto"/>
        </w:rPr>
      </w:pPr>
    </w:p>
    <w:p>
      <w:pPr>
        <w:ind w:right="160" w:firstLine="851"/>
        <w:spacing w:after="0" w:line="279" w:lineRule="auto"/>
        <w:tabs>
          <w:tab w:leader="none" w:pos="119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63" w:lineRule="exact"/>
        <w:rPr>
          <w:rFonts w:ascii="Arial" w:cs="Arial" w:eastAsia="Arial" w:hAnsi="Arial"/>
          <w:sz w:val="17"/>
          <w:szCs w:val="17"/>
          <w:color w:val="auto"/>
        </w:rPr>
      </w:pPr>
    </w:p>
    <w:p>
      <w:pPr>
        <w:ind w:firstLine="851"/>
        <w:spacing w:after="0" w:line="264" w:lineRule="auto"/>
        <w:tabs>
          <w:tab w:leader="none" w:pos="11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124" w:name="page125"/>
    <w:bookmarkEnd w:id="124"/>
    <w:p>
      <w:pPr>
        <w:ind w:right="100" w:firstLine="851"/>
        <w:spacing w:after="0" w:line="302" w:lineRule="auto"/>
        <w:tabs>
          <w:tab w:leader="none" w:pos="1191" w:val="left"/>
        </w:tabs>
        <w:numPr>
          <w:ilvl w:val="0"/>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46" w:lineRule="exact"/>
        <w:rPr>
          <w:rFonts w:ascii="Arial" w:cs="Arial" w:eastAsia="Arial" w:hAnsi="Arial"/>
          <w:sz w:val="16"/>
          <w:szCs w:val="16"/>
          <w:color w:val="auto"/>
        </w:rPr>
      </w:pPr>
    </w:p>
    <w:p>
      <w:pPr>
        <w:ind w:right="560" w:firstLine="851"/>
        <w:spacing w:after="0" w:line="277" w:lineRule="auto"/>
        <w:tabs>
          <w:tab w:leader="none" w:pos="119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00" w:hanging="349"/>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117" w:lineRule="exact"/>
        <w:rPr>
          <w:rFonts w:ascii="Arial" w:cs="Arial" w:eastAsia="Arial" w:hAnsi="Arial"/>
          <w:sz w:val="18"/>
          <w:szCs w:val="18"/>
          <w:color w:val="auto"/>
        </w:rPr>
      </w:pPr>
    </w:p>
    <w:p>
      <w:pPr>
        <w:ind w:right="160" w:firstLine="851"/>
        <w:spacing w:after="0" w:line="271" w:lineRule="auto"/>
        <w:tabs>
          <w:tab w:leader="none" w:pos="119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70" w:lineRule="exact"/>
        <w:rPr>
          <w:rFonts w:ascii="Arial" w:cs="Arial" w:eastAsia="Arial" w:hAnsi="Arial"/>
          <w:sz w:val="17"/>
          <w:szCs w:val="17"/>
          <w:color w:val="auto"/>
        </w:rPr>
      </w:pPr>
    </w:p>
    <w:p>
      <w:pPr>
        <w:ind w:right="180" w:firstLine="851"/>
        <w:spacing w:after="0" w:line="312" w:lineRule="auto"/>
        <w:tabs>
          <w:tab w:leader="none" w:pos="119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38" w:lineRule="exact"/>
        <w:rPr>
          <w:rFonts w:ascii="Arial" w:cs="Arial" w:eastAsia="Arial" w:hAnsi="Arial"/>
          <w:sz w:val="16"/>
          <w:szCs w:val="16"/>
          <w:color w:val="auto"/>
        </w:rPr>
      </w:pPr>
    </w:p>
    <w:p>
      <w:pPr>
        <w:ind w:right="80" w:firstLine="851"/>
        <w:spacing w:after="0" w:line="264" w:lineRule="auto"/>
        <w:tabs>
          <w:tab w:leader="none" w:pos="119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73" w:lineRule="exact"/>
        <w:rPr>
          <w:rFonts w:ascii="Arial" w:cs="Arial" w:eastAsia="Arial" w:hAnsi="Arial"/>
          <w:sz w:val="18"/>
          <w:szCs w:val="18"/>
          <w:color w:val="auto"/>
        </w:rPr>
      </w:pPr>
    </w:p>
    <w:p>
      <w:pPr>
        <w:ind w:firstLine="851"/>
        <w:spacing w:after="0" w:line="277" w:lineRule="auto"/>
        <w:tabs>
          <w:tab w:leader="none" w:pos="119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62" w:lineRule="exact"/>
        <w:rPr>
          <w:rFonts w:ascii="Arial" w:cs="Arial" w:eastAsia="Arial" w:hAnsi="Arial"/>
          <w:sz w:val="18"/>
          <w:szCs w:val="18"/>
          <w:color w:val="auto"/>
        </w:rPr>
      </w:pPr>
    </w:p>
    <w:p>
      <w:pPr>
        <w:ind w:right="280" w:firstLine="851"/>
        <w:spacing w:after="0" w:line="342" w:lineRule="auto"/>
        <w:tabs>
          <w:tab w:leader="none" w:pos="119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25" w:name="page126"/>
    <w:bookmarkEnd w:id="125"/>
    <w:p>
      <w:pPr>
        <w:ind w:left="1640" w:hanging="349"/>
        <w:spacing w:after="0"/>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or alternative provisions, if any, related to defeasance and discharge of the offered Securities;</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Arial" w:cs="Arial" w:eastAsia="Arial" w:hAnsi="Arial"/>
          <w:sz w:val="16"/>
          <w:szCs w:val="16"/>
          <w:u w:val="single" w:color="auto"/>
          <w:color w:val="auto"/>
        </w:rPr>
        <w:t>Section 2.01(a)(18)</w:t>
      </w:r>
      <w:r>
        <w:rPr>
          <w:rFonts w:ascii="Arial" w:cs="Arial" w:eastAsia="Arial" w:hAnsi="Arial"/>
          <w:sz w:val="16"/>
          <w:szCs w:val="16"/>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26" w:name="page127"/>
    <w:bookmarkEnd w:id="126"/>
    <w:p>
      <w:pPr>
        <w:ind w:right="2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173"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9" w:lineRule="exact"/>
        <w:rPr>
          <w:sz w:val="20"/>
          <w:szCs w:val="20"/>
          <w:color w:val="auto"/>
        </w:rPr>
      </w:pPr>
    </w:p>
    <w:p>
      <w:pPr>
        <w:ind w:left="440" w:firstLine="851"/>
        <w:spacing w:after="0" w:line="286" w:lineRule="auto"/>
        <w:tabs>
          <w:tab w:leader="none" w:pos="154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279" w:lineRule="exact"/>
        <w:rPr>
          <w:rFonts w:ascii="Arial" w:cs="Arial" w:eastAsia="Arial" w:hAnsi="Arial"/>
          <w:sz w:val="16"/>
          <w:szCs w:val="16"/>
          <w:color w:val="auto"/>
        </w:rPr>
      </w:pPr>
    </w:p>
    <w:p>
      <w:pPr>
        <w:ind w:left="440" w:right="60" w:firstLine="851"/>
        <w:spacing w:after="0" w:line="259" w:lineRule="auto"/>
        <w:tabs>
          <w:tab w:leader="none" w:pos="154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7" w:name="page128"/>
    <w:bookmarkEnd w:id="127"/>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Unless otherwise set forth in a Board Resolution or one or more indentures supplemental hereto establishing the terms of any series of Securities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first day of a month, or (ii) the first day of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fifteenth day of a month, whether or not such date is a Business Day.</w:t>
      </w:r>
    </w:p>
    <w:p>
      <w:pPr>
        <w:spacing w:after="0" w:line="193" w:lineRule="exact"/>
        <w:rPr>
          <w:sz w:val="20"/>
          <w:szCs w:val="20"/>
          <w:color w:val="auto"/>
        </w:rPr>
      </w:pPr>
    </w:p>
    <w:p>
      <w:pPr>
        <w:jc w:val="both"/>
        <w:ind w:right="100" w:firstLine="441"/>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5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In authenticating such Securities and accepting the additional responsibilities under this Indenture in relation to such Securities, the Trustee shall receive, and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28" w:name="page129"/>
    <w:bookmarkEnd w:id="128"/>
    <w:p>
      <w:pPr>
        <w:ind w:right="18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97" w:lineRule="auto"/>
        <w:tabs>
          <w:tab w:leader="none" w:pos="112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0" w:lineRule="exact"/>
        <w:rPr>
          <w:rFonts w:ascii="Arial" w:cs="Arial" w:eastAsia="Arial" w:hAnsi="Arial"/>
          <w:sz w:val="16"/>
          <w:szCs w:val="16"/>
          <w:color w:val="auto"/>
        </w:rPr>
      </w:pPr>
    </w:p>
    <w:p>
      <w:pPr>
        <w:ind w:right="20" w:firstLine="885"/>
        <w:spacing w:after="0" w:line="257" w:lineRule="auto"/>
        <w:tabs>
          <w:tab w:leader="none" w:pos="11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w:t>
      </w:r>
      <w:r>
        <w:rPr>
          <w:rFonts w:ascii="Arial" w:cs="Arial" w:eastAsia="Arial" w:hAnsi="Arial"/>
          <w:sz w:val="18"/>
          <w:szCs w:val="18"/>
          <w:b w:val="1"/>
          <w:bCs w:val="1"/>
          <w:color w:val="auto"/>
        </w:rPr>
        <w:t>Security Register</w:t>
      </w:r>
      <w:r>
        <w:rPr>
          <w:rFonts w:ascii="Arial" w:cs="Arial" w:eastAsia="Arial" w:hAnsi="Arial"/>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8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3" w:lineRule="exact"/>
        <w:rPr>
          <w:sz w:val="20"/>
          <w:szCs w:val="20"/>
          <w:color w:val="auto"/>
        </w:rPr>
      </w:pPr>
    </w:p>
    <w:p>
      <w:pPr>
        <w:ind w:right="20" w:firstLine="885"/>
        <w:spacing w:after="0" w:line="302" w:lineRule="auto"/>
        <w:tabs>
          <w:tab w:leader="none" w:pos="112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Except as provided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not involving any transfer.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29" w:name="page130"/>
    <w:bookmarkEnd w:id="129"/>
    <w:p>
      <w:pPr>
        <w:ind w:right="80" w:firstLine="885"/>
        <w:spacing w:after="0" w:line="276" w:lineRule="auto"/>
        <w:tabs>
          <w:tab w:leader="none" w:pos="11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are, with respect to any Global Security,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hereof.</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30" w:name="page131"/>
    <w:bookmarkEnd w:id="130"/>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5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3"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7"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55" w:lineRule="auto"/>
        <w:tabs>
          <w:tab w:leader="none" w:pos="112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If the Company shall establish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that the Securities of a particular series are to be issued as a Global Security, then the Company shall execute and the Trustee shall, in accordance with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the Indenture, this Security may be transferred, in whole but not in part, only to another nominee of the Depositary or to a successor Depositary or to a nominee of such successor Depositary.”</w:t>
      </w:r>
    </w:p>
    <w:p>
      <w:pPr>
        <w:spacing w:after="0" w:line="81" w:lineRule="exact"/>
        <w:rPr>
          <w:rFonts w:ascii="Arial" w:cs="Arial" w:eastAsia="Arial" w:hAnsi="Arial"/>
          <w:sz w:val="18"/>
          <w:szCs w:val="18"/>
          <w:color w:val="auto"/>
        </w:rPr>
      </w:pPr>
    </w:p>
    <w:p>
      <w:pPr>
        <w:ind w:right="280" w:firstLine="885"/>
        <w:spacing w:after="0" w:line="264" w:lineRule="auto"/>
        <w:tabs>
          <w:tab w:leader="none" w:pos="11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Global Security of a series may be transferred, in whole but not in part and in the manner provided in </w:t>
      </w:r>
      <w:r>
        <w:rPr>
          <w:rFonts w:ascii="Arial" w:cs="Arial" w:eastAsia="Arial" w:hAnsi="Arial"/>
          <w:sz w:val="18"/>
          <w:szCs w:val="18"/>
          <w:u w:val="single" w:color="auto"/>
          <w:color w:val="auto"/>
        </w:rPr>
        <w:t>Section 2.05</w:t>
      </w:r>
      <w:r>
        <w:rPr>
          <w:rFonts w:ascii="Arial" w:cs="Arial" w:eastAsia="Arial" w:hAnsi="Arial"/>
          <w:sz w:val="18"/>
          <w:szCs w:val="18"/>
          <w:color w:val="auto"/>
        </w:rPr>
        <w:t>, only to another nominee of the Depositary for such series, or to a successor Depositary for such series selected or approved by the Company or to a nominee of such successor Depositary.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32" w:name="page133"/>
    <w:bookmarkEnd w:id="132"/>
    <w:p>
      <w:pPr>
        <w:ind w:firstLine="885"/>
        <w:spacing w:after="0" w:line="267" w:lineRule="auto"/>
        <w:tabs>
          <w:tab w:leader="none" w:pos="1126"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be applicable to the Securities of such series and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apply to the Securities of such series. In such event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The Company may redeem the Securities of any series issued hereunder on and after the dates and in accordance with the terms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9" w:lineRule="auto"/>
        <w:tabs>
          <w:tab w:leader="none" w:pos="112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33" w:name="page134"/>
    <w:bookmarkEnd w:id="13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3" w:lineRule="exact"/>
        <w:rPr>
          <w:sz w:val="20"/>
          <w:szCs w:val="20"/>
          <w:color w:val="auto"/>
        </w:rPr>
      </w:pPr>
    </w:p>
    <w:p>
      <w:pPr>
        <w:ind w:right="20" w:firstLine="885"/>
        <w:spacing w:after="0" w:line="269" w:lineRule="auto"/>
        <w:tabs>
          <w:tab w:leader="none" w:pos="11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90" w:lineRule="auto"/>
        <w:tabs>
          <w:tab w:leader="none" w:pos="112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80" w:firstLine="885"/>
        <w:spacing w:after="0" w:line="312" w:lineRule="auto"/>
        <w:tabs>
          <w:tab w:leader="none" w:pos="113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shall be applicable to any sinking fund for the retirement of Securities of a series, except as otherwise specified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for Securities of such series.</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Arial" w:cs="Arial" w:eastAsia="Arial" w:hAnsi="Arial"/>
          <w:sz w:val="18"/>
          <w:szCs w:val="18"/>
          <w:u w:val="single" w:color="auto"/>
          <w:color w:val="auto"/>
        </w:rPr>
        <w:t>Section 3.05</w:t>
      </w:r>
      <w:r>
        <w:rPr>
          <w:rFonts w:ascii="Arial" w:cs="Arial" w:eastAsia="Arial" w:hAnsi="Arial"/>
          <w:sz w:val="18"/>
          <w:szCs w:val="18"/>
          <w:color w:val="auto"/>
        </w:rPr>
        <w:t>. Each sinking fund payment shall be applied to the redemption of Securities of any series as provided for by the terms of Securities of such series.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35" w:name="page136"/>
    <w:bookmarkEnd w:id="1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cause notice of the redemption thereof to be given in the name of and at the expense of the Company in the manner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Such notice having been duly given, the redemption of such Securities shall be made upon the terms and in the manner stated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36" w:name="page137"/>
    <w:bookmarkEnd w:id="13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17" w:lineRule="exact"/>
        <w:rPr>
          <w:sz w:val="20"/>
          <w:szCs w:val="20"/>
          <w:color w:val="auto"/>
        </w:rPr>
      </w:pPr>
    </w:p>
    <w:p>
      <w:pPr>
        <w:ind w:right="100" w:firstLine="885"/>
        <w:spacing w:after="0" w:line="264" w:lineRule="auto"/>
        <w:tabs>
          <w:tab w:leader="none" w:pos="112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3" w:lineRule="exact"/>
        <w:rPr>
          <w:rFonts w:ascii="Arial" w:cs="Arial" w:eastAsia="Arial" w:hAnsi="Arial"/>
          <w:sz w:val="18"/>
          <w:szCs w:val="18"/>
          <w:color w:val="auto"/>
        </w:rPr>
      </w:pPr>
    </w:p>
    <w:p>
      <w:pPr>
        <w:ind w:left="440" w:firstLine="851"/>
        <w:spacing w:after="0" w:line="264" w:lineRule="auto"/>
        <w:tabs>
          <w:tab w:leader="none" w:pos="154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3" w:lineRule="exact"/>
        <w:rPr>
          <w:rFonts w:ascii="Arial" w:cs="Arial" w:eastAsia="Arial" w:hAnsi="Arial"/>
          <w:sz w:val="18"/>
          <w:szCs w:val="18"/>
          <w:color w:val="auto"/>
        </w:rPr>
      </w:pPr>
    </w:p>
    <w:p>
      <w:pPr>
        <w:ind w:left="440" w:right="20" w:firstLine="851"/>
        <w:spacing w:after="0" w:line="308" w:lineRule="auto"/>
        <w:tabs>
          <w:tab w:leader="none" w:pos="1541"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38" w:lineRule="exact"/>
        <w:rPr>
          <w:rFonts w:ascii="Arial" w:cs="Arial" w:eastAsia="Arial" w:hAnsi="Arial"/>
          <w:sz w:val="17"/>
          <w:szCs w:val="17"/>
          <w:color w:val="auto"/>
        </w:rPr>
      </w:pPr>
    </w:p>
    <w:p>
      <w:pPr>
        <w:ind w:left="440" w:right="120" w:firstLine="851"/>
        <w:spacing w:after="0" w:line="277" w:lineRule="auto"/>
        <w:tabs>
          <w:tab w:leader="none" w:pos="154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62" w:lineRule="exact"/>
        <w:rPr>
          <w:rFonts w:ascii="Arial" w:cs="Arial" w:eastAsia="Arial" w:hAnsi="Arial"/>
          <w:sz w:val="18"/>
          <w:szCs w:val="18"/>
          <w:color w:val="auto"/>
        </w:rPr>
      </w:pPr>
    </w:p>
    <w:p>
      <w:pPr>
        <w:ind w:left="440" w:right="20" w:firstLine="851"/>
        <w:spacing w:after="0" w:line="277" w:lineRule="auto"/>
        <w:tabs>
          <w:tab w:leader="none" w:pos="154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62" w:lineRule="exact"/>
        <w:rPr>
          <w:rFonts w:ascii="Arial" w:cs="Arial" w:eastAsia="Arial" w:hAnsi="Arial"/>
          <w:sz w:val="18"/>
          <w:szCs w:val="18"/>
          <w:color w:val="auto"/>
        </w:rPr>
      </w:pPr>
    </w:p>
    <w:p>
      <w:pPr>
        <w:ind w:left="1540" w:hanging="249"/>
        <w:spacing w:after="0"/>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ind w:firstLine="885"/>
        <w:spacing w:after="0" w:line="290" w:lineRule="auto"/>
        <w:tabs>
          <w:tab w:leader="none" w:pos="11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137" w:name="page138"/>
    <w:bookmarkEnd w:id="137"/>
    <w:p>
      <w:pPr>
        <w:ind w:firstLine="885"/>
        <w:spacing w:after="0" w:line="255" w:lineRule="auto"/>
        <w:tabs>
          <w:tab w:leader="none" w:pos="11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in this Section to the contrary, (i) the agreement to hold sums in trust as provided in this Section is subject to the provisions of </w:t>
      </w:r>
      <w:r>
        <w:rPr>
          <w:rFonts w:ascii="Arial" w:cs="Arial" w:eastAsia="Arial" w:hAnsi="Arial"/>
          <w:sz w:val="18"/>
          <w:szCs w:val="18"/>
          <w:u w:val="single" w:color="auto"/>
          <w:color w:val="auto"/>
        </w:rPr>
        <w:t>Section 11.05</w:t>
      </w:r>
      <w:r>
        <w:rPr>
          <w:rFonts w:ascii="Arial" w:cs="Arial" w:eastAsia="Arial" w:hAnsi="Arial"/>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85" w:lineRule="exact"/>
        <w:rPr>
          <w:rFonts w:ascii="Arial" w:cs="Arial" w:eastAsia="Arial" w:hAnsi="Arial"/>
          <w:sz w:val="18"/>
          <w:szCs w:val="18"/>
          <w:color w:val="auto"/>
        </w:rPr>
      </w:pPr>
    </w:p>
    <w:p>
      <w:pPr>
        <w:ind w:left="1140" w:hanging="255"/>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initially appoints the Trustee at its Corporate Trust Office as its paying agent with respect to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11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The Company, whenever necessary to avoid or fill a vacancy in the office of Trustee, will appoint, in the manner provided in </w:t>
      </w:r>
      <w:r>
        <w:rPr>
          <w:rFonts w:ascii="Arial" w:cs="Arial" w:eastAsia="Arial" w:hAnsi="Arial"/>
          <w:sz w:val="18"/>
          <w:szCs w:val="18"/>
          <w:u w:val="single" w:color="auto"/>
          <w:color w:val="auto"/>
        </w:rPr>
        <w:t>Section 7.10</w:t>
      </w:r>
      <w:r>
        <w:rPr>
          <w:rFonts w:ascii="Arial" w:cs="Arial" w:eastAsia="Arial" w:hAnsi="Arial"/>
          <w:sz w:val="18"/>
          <w:szCs w:val="18"/>
          <w:color w:val="auto"/>
        </w:rPr>
        <w:t>, a Trustee, so that there shall at all times be a Trustee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hereof are complied 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w:t>
      </w:r>
      <w:r>
        <w:rPr>
          <w:rFonts w:ascii="Arial" w:cs="Arial" w:eastAsia="Arial" w:hAnsi="Arial"/>
          <w:sz w:val="18"/>
          <w:szCs w:val="18"/>
          <w:color w:val="auto"/>
        </w:rPr>
        <w:t>s.</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Company will furnish or cause to be furnished to the Trustee (a) within 5 days after each regular record date (as defined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 list, in such form as the Trustee may reasonably require, of the names and addresses of the holders of each series of Securities as of such regular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Company shall not be obligated to furnish or cause to be furnished such list at any time that the list shall not differ in any respect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either case, no such list need be furnished for any series for which the Trustee shall be the Security Registrar.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ind w:right="80" w:firstLine="885"/>
        <w:spacing w:after="0" w:line="264" w:lineRule="auto"/>
        <w:tabs>
          <w:tab w:leader="none" w:pos="112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as to the names and addresses of holders of Securities received by the Trustee in its capacity as Security Registrar (if acting in such capacity).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38" w:name="page139"/>
    <w:bookmarkEnd w:id="138"/>
    <w:p>
      <w:pPr>
        <w:ind w:left="1100" w:hanging="255"/>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Trustee may destroy any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upon receipt of a new list so furnished.</w:t>
      </w:r>
    </w:p>
    <w:p>
      <w:pPr>
        <w:spacing w:after="0" w:line="117" w:lineRule="exact"/>
        <w:rPr>
          <w:rFonts w:ascii="Arial" w:cs="Arial" w:eastAsia="Arial" w:hAnsi="Arial"/>
          <w:sz w:val="18"/>
          <w:szCs w:val="18"/>
          <w:color w:val="auto"/>
        </w:rPr>
      </w:pPr>
    </w:p>
    <w:p>
      <w:pPr>
        <w:ind w:left="-40" w:right="20" w:firstLine="885"/>
        <w:spacing w:after="0" w:line="286" w:lineRule="auto"/>
        <w:tabs>
          <w:tab w:leader="none" w:pos="108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left="-40" w:firstLine="885"/>
        <w:spacing w:after="0" w:line="269" w:lineRule="auto"/>
        <w:tabs>
          <w:tab w:leader="none" w:pos="108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Company shall not be required to deliver to the Trustee any materials for which the Company has sought and received confidential treatment by the Commission;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jc w:val="both"/>
        <w:ind w:left="-40" w:firstLine="885"/>
        <w:spacing w:after="0" w:line="259" w:lineRule="auto"/>
        <w:tabs>
          <w:tab w:leader="none" w:pos="109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Delivery of reports, information and documents to the Trustee under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left="-40" w:firstLine="885"/>
        <w:spacing w:after="0" w:line="259" w:lineRule="auto"/>
        <w:tabs>
          <w:tab w:leader="none" w:pos="108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80" w:top="274" w:right="479" w:bottom="1440" w:gutter="0" w:footer="0" w:header="0"/>
        </w:sectPr>
      </w:pPr>
    </w:p>
    <w:bookmarkStart w:id="139" w:name="page140"/>
    <w:bookmarkEnd w:id="139"/>
    <w:p>
      <w:pPr>
        <w:ind w:left="1100" w:hanging="255"/>
        <w:spacing w:after="0"/>
        <w:tabs>
          <w:tab w:leader="none" w:pos="11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comply with Section 313(b) and 313(c) of the Trust Indenture Act.</w:t>
      </w:r>
    </w:p>
    <w:p>
      <w:pPr>
        <w:spacing w:after="0" w:line="117" w:lineRule="exact"/>
        <w:rPr>
          <w:rFonts w:ascii="Arial" w:cs="Arial" w:eastAsia="Arial" w:hAnsi="Arial"/>
          <w:sz w:val="18"/>
          <w:szCs w:val="18"/>
          <w:color w:val="auto"/>
        </w:rPr>
      </w:pPr>
    </w:p>
    <w:p>
      <w:pPr>
        <w:ind w:left="-40" w:right="120" w:firstLine="885"/>
        <w:spacing w:after="0" w:line="264" w:lineRule="auto"/>
        <w:tabs>
          <w:tab w:leader="none" w:pos="108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OF THE TRUSTEE AND SECURITYHOLDERS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 OF DEFAULT</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3" w:lineRule="exact"/>
        <w:rPr>
          <w:sz w:val="20"/>
          <w:szCs w:val="20"/>
          <w:color w:val="auto"/>
        </w:rPr>
      </w:pPr>
    </w:p>
    <w:p>
      <w:pPr>
        <w:ind w:left="-40" w:right="80" w:firstLine="444"/>
        <w:spacing w:after="0" w:line="282" w:lineRule="auto"/>
        <w:tabs>
          <w:tab w:leader="none" w:pos="64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165" w:lineRule="exact"/>
        <w:rPr>
          <w:rFonts w:ascii="Arial" w:cs="Arial" w:eastAsia="Arial" w:hAnsi="Arial"/>
          <w:sz w:val="18"/>
          <w:szCs w:val="18"/>
          <w:color w:val="auto"/>
        </w:rPr>
      </w:pPr>
    </w:p>
    <w:p>
      <w:pPr>
        <w:ind w:left="400" w:right="20" w:firstLine="851"/>
        <w:spacing w:after="0" w:line="259" w:lineRule="auto"/>
        <w:tabs>
          <w:tab w:leader="none" w:pos="150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400" w:right="220" w:firstLine="851"/>
        <w:spacing w:after="0" w:line="302" w:lineRule="auto"/>
        <w:tabs>
          <w:tab w:leader="none" w:pos="150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valid extension of the maturity of such Securities in accordance with the terms of any indenture supplemental hereto shall not constitute a default in the payment of principal or premium, if any;</w:t>
      </w:r>
    </w:p>
    <w:p>
      <w:pPr>
        <w:spacing w:after="0" w:line="46" w:lineRule="exact"/>
        <w:rPr>
          <w:rFonts w:ascii="Arial" w:cs="Arial" w:eastAsia="Arial" w:hAnsi="Arial"/>
          <w:sz w:val="16"/>
          <w:szCs w:val="16"/>
          <w:color w:val="auto"/>
        </w:rPr>
      </w:pPr>
    </w:p>
    <w:p>
      <w:pPr>
        <w:ind w:left="400" w:firstLine="851"/>
        <w:spacing w:after="0" w:line="273" w:lineRule="auto"/>
        <w:tabs>
          <w:tab w:leader="none" w:pos="150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shall have been given to the Company by the Trustee or to the Company and the Trustee by the holders of at least 25% in principal amount of the Securities of that series at the time Outstanding;</w:t>
      </w:r>
    </w:p>
    <w:p>
      <w:pPr>
        <w:spacing w:after="0" w:line="70" w:lineRule="exact"/>
        <w:rPr>
          <w:rFonts w:ascii="Arial" w:cs="Arial" w:eastAsia="Arial" w:hAnsi="Arial"/>
          <w:sz w:val="17"/>
          <w:szCs w:val="17"/>
          <w:color w:val="auto"/>
        </w:rPr>
      </w:pPr>
    </w:p>
    <w:p>
      <w:pPr>
        <w:ind w:left="400" w:right="100" w:firstLine="851"/>
        <w:spacing w:after="0" w:line="264" w:lineRule="auto"/>
        <w:tabs>
          <w:tab w:leader="none" w:pos="150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80" w:top="274" w:right="459" w:bottom="1440" w:gutter="0" w:footer="0" w:header="0"/>
        </w:sectPr>
      </w:pPr>
    </w:p>
    <w:bookmarkStart w:id="140" w:name="page141"/>
    <w:bookmarkEnd w:id="140"/>
    <w:p>
      <w:pPr>
        <w:ind w:left="436" w:right="60" w:firstLine="851"/>
        <w:spacing w:after="0" w:line="264" w:lineRule="auto"/>
        <w:tabs>
          <w:tab w:leader="none" w:pos="1537" w:val="left"/>
        </w:tabs>
        <w:numPr>
          <w:ilvl w:val="2"/>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73" w:lineRule="exact"/>
        <w:rPr>
          <w:rFonts w:ascii="Arial" w:cs="Arial" w:eastAsia="Arial" w:hAnsi="Arial"/>
          <w:sz w:val="18"/>
          <w:szCs w:val="18"/>
          <w:color w:val="auto"/>
        </w:rPr>
      </w:pPr>
    </w:p>
    <w:p>
      <w:pPr>
        <w:ind w:left="-4" w:right="80" w:firstLine="885"/>
        <w:spacing w:after="0" w:line="285" w:lineRule="auto"/>
        <w:tabs>
          <w:tab w:leader="none" w:pos="1133"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Arial" w:cs="Arial" w:eastAsia="Arial" w:hAnsi="Arial"/>
          <w:sz w:val="16"/>
          <w:szCs w:val="16"/>
          <w:color w:val="auto"/>
        </w:rPr>
      </w:pPr>
    </w:p>
    <w:p>
      <w:pPr>
        <w:ind w:left="-4" w:right="60" w:firstLine="4"/>
        <w:spacing w:after="0" w:line="261" w:lineRule="auto"/>
        <w:tabs>
          <w:tab w:leader="none" w:pos="2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5" w:lineRule="exact"/>
        <w:rPr>
          <w:rFonts w:ascii="Arial" w:cs="Arial" w:eastAsia="Arial" w:hAnsi="Arial"/>
          <w:sz w:val="18"/>
          <w:szCs w:val="18"/>
          <w:color w:val="auto"/>
        </w:rPr>
      </w:pPr>
    </w:p>
    <w:p>
      <w:pPr>
        <w:ind w:left="-4" w:firstLine="885"/>
        <w:spacing w:after="0" w:line="288" w:lineRule="auto"/>
        <w:tabs>
          <w:tab w:leader="none" w:pos="112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6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left="-4" w:right="60" w:firstLine="885"/>
        <w:spacing w:after="0" w:line="257" w:lineRule="auto"/>
        <w:tabs>
          <w:tab w:leader="none" w:pos="11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4" w:right="439" w:bottom="1440" w:gutter="0" w:footer="0" w:header="0"/>
        </w:sectPr>
      </w:pPr>
    </w:p>
    <w:bookmarkStart w:id="141" w:name="page142"/>
    <w:bookmarkEnd w:id="14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20" w:right="60" w:firstLine="885"/>
        <w:spacing w:after="0" w:line="273" w:lineRule="auto"/>
        <w:tabs>
          <w:tab w:leader="none" w:pos="110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20" w:firstLine="885"/>
        <w:spacing w:after="0" w:line="276" w:lineRule="auto"/>
        <w:tabs>
          <w:tab w:leader="none" w:pos="111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64" w:lineRule="exact"/>
        <w:rPr>
          <w:rFonts w:ascii="Arial" w:cs="Arial" w:eastAsia="Arial" w:hAnsi="Arial"/>
          <w:sz w:val="17"/>
          <w:szCs w:val="17"/>
          <w:color w:val="auto"/>
        </w:rPr>
      </w:pPr>
    </w:p>
    <w:p>
      <w:pPr>
        <w:ind w:left="-20" w:right="20" w:firstLine="885"/>
        <w:spacing w:after="0" w:line="288" w:lineRule="auto"/>
        <w:tabs>
          <w:tab w:leader="none" w:pos="110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Arial" w:cs="Arial" w:eastAsia="Arial" w:hAnsi="Arial"/>
          <w:sz w:val="16"/>
          <w:szCs w:val="16"/>
          <w:u w:val="single" w:color="auto"/>
          <w:color w:val="auto"/>
        </w:rPr>
        <w:t>Section 7.06</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left="-20" w:right="20" w:firstLine="885"/>
        <w:spacing w:after="0" w:line="257" w:lineRule="auto"/>
        <w:tabs>
          <w:tab w:leader="none" w:pos="111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Arial" w:cs="Arial" w:eastAsia="Arial" w:hAnsi="Arial"/>
          <w:sz w:val="18"/>
          <w:szCs w:val="18"/>
          <w:u w:val="single" w:color="auto"/>
          <w:color w:val="auto"/>
        </w:rPr>
        <w:t>Section 7.06</w:t>
      </w:r>
      <w:r>
        <w:rPr>
          <w:rFonts w:ascii="Arial" w:cs="Arial" w:eastAsia="Arial" w:hAnsi="Arial"/>
          <w:sz w:val="18"/>
          <w:szCs w:val="18"/>
          <w:color w:val="auto"/>
        </w:rPr>
        <w:t>, be for the ratable benefit of the holders of the Securities of such series.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142" w:name="page143"/>
    <w:bookmarkEnd w:id="142"/>
    <w:p>
      <w:pPr>
        <w:ind w:right="14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4"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117"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83"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To the payment of reasonable costs and expenses of collection and of all amounts payable to the Trustee, its agents and attorneys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Indenture;</w:t>
      </w:r>
    </w:p>
    <w:p>
      <w:pPr>
        <w:spacing w:after="0" w:line="16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To the payment of the amounts then due and unpaid upon Securities of such series for principal (and premium, if any) and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To the payment of the remainder, if any, to the Company or any other Person lawfully entitled thereto.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43" w:name="page144"/>
    <w:bookmarkEnd w:id="143"/>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w:t>
      </w:r>
    </w:p>
    <w:p>
      <w:pPr>
        <w:ind w:right="860" w:firstLine="4"/>
        <w:spacing w:after="0" w:line="261" w:lineRule="auto"/>
        <w:tabs>
          <w:tab w:leader="none" w:pos="2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during such 90 day period, the holders of a majority in principal amount of the Securities of that series do not give the Trustee a direction inconsistent with the request.</w:t>
      </w:r>
    </w:p>
    <w:p>
      <w:pPr>
        <w:spacing w:after="0" w:line="184"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59" w:lineRule="auto"/>
        <w:tabs>
          <w:tab w:leader="none" w:pos="112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right="120" w:firstLine="885"/>
        <w:spacing w:after="0" w:line="302" w:lineRule="auto"/>
        <w:tabs>
          <w:tab w:leader="none" w:pos="113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Arial" w:cs="Arial" w:eastAsia="Arial" w:hAnsi="Arial"/>
          <w:sz w:val="16"/>
          <w:szCs w:val="16"/>
          <w:u w:val="single" w:color="auto"/>
          <w:color w:val="auto"/>
        </w:rPr>
        <w:t>Section 6.04</w:t>
      </w:r>
      <w:r>
        <w:rPr>
          <w:rFonts w:ascii="Arial" w:cs="Arial" w:eastAsia="Arial" w:hAnsi="Arial"/>
          <w:sz w:val="16"/>
          <w:szCs w:val="16"/>
          <w:color w:val="auto"/>
        </w:rPr>
        <w:t>, every power and remedy given by this Article or by law to the Trustee or the Securityholders may be exercised from time to time, and as often as shall be deemed expedient, by the Trustee or by the Securityholders.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The holders of a majority in aggregate principal amount of the Securities of any series at the time Outstanding,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may on behalf of the holders of all of the Securities of such series waive any past default in the performance of any of the covenants contained herein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Arial" w:cs="Arial" w:eastAsia="Arial" w:hAnsi="Arial"/>
          <w:sz w:val="17"/>
          <w:szCs w:val="17"/>
          <w:u w:val="single" w:color="auto"/>
          <w:color w:val="auto"/>
        </w:rPr>
        <w:t>Section 6.01(c)</w:t>
      </w:r>
      <w:r>
        <w:rPr>
          <w:rFonts w:ascii="Arial" w:cs="Arial" w:eastAsia="Arial" w:hAnsi="Arial"/>
          <w:sz w:val="17"/>
          <w:szCs w:val="17"/>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left="-40" w:right="20" w:firstLine="885"/>
        <w:spacing w:after="0" w:line="293" w:lineRule="auto"/>
        <w:tabs>
          <w:tab w:leader="none" w:pos="108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56" w:lineRule="exact"/>
        <w:rPr>
          <w:rFonts w:ascii="Arial" w:cs="Arial" w:eastAsia="Arial" w:hAnsi="Arial"/>
          <w:sz w:val="16"/>
          <w:szCs w:val="16"/>
          <w:color w:val="auto"/>
        </w:rPr>
      </w:pPr>
    </w:p>
    <w:p>
      <w:pPr>
        <w:ind w:left="-40" w:right="400" w:firstLine="885"/>
        <w:spacing w:after="0" w:line="277" w:lineRule="auto"/>
        <w:tabs>
          <w:tab w:leader="none" w:pos="109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400" w:right="180" w:firstLine="851"/>
        <w:spacing w:after="0" w:line="277" w:lineRule="auto"/>
        <w:tabs>
          <w:tab w:leader="none" w:pos="150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62" w:lineRule="exact"/>
        <w:rPr>
          <w:rFonts w:ascii="Arial" w:cs="Arial" w:eastAsia="Arial" w:hAnsi="Arial"/>
          <w:sz w:val="18"/>
          <w:szCs w:val="18"/>
          <w:color w:val="auto"/>
        </w:rPr>
      </w:pPr>
    </w:p>
    <w:p>
      <w:pPr>
        <w:ind w:left="400" w:right="80" w:firstLine="1380"/>
        <w:spacing w:after="0" w:line="259" w:lineRule="auto"/>
        <w:tabs>
          <w:tab w:leader="none" w:pos="207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8" w:lineRule="exact"/>
        <w:rPr>
          <w:rFonts w:ascii="Arial" w:cs="Arial" w:eastAsia="Arial" w:hAnsi="Arial"/>
          <w:sz w:val="18"/>
          <w:szCs w:val="18"/>
          <w:color w:val="auto"/>
        </w:rPr>
      </w:pPr>
    </w:p>
    <w:p>
      <w:pPr>
        <w:ind w:left="400" w:right="20" w:firstLine="1380"/>
        <w:spacing w:after="0" w:line="255" w:lineRule="auto"/>
        <w:tabs>
          <w:tab w:leader="none" w:pos="206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85" w:lineRule="exact"/>
        <w:rPr>
          <w:rFonts w:ascii="Arial" w:cs="Arial" w:eastAsia="Arial" w:hAnsi="Arial"/>
          <w:sz w:val="18"/>
          <w:szCs w:val="18"/>
          <w:color w:val="auto"/>
        </w:rPr>
      </w:pPr>
    </w:p>
    <w:p>
      <w:pPr>
        <w:ind w:left="400" w:firstLine="851"/>
        <w:spacing w:after="0" w:line="277" w:lineRule="auto"/>
        <w:tabs>
          <w:tab w:leader="none" w:pos="150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400" w:right="140" w:firstLine="851"/>
        <w:spacing w:after="0" w:line="259" w:lineRule="auto"/>
        <w:tabs>
          <w:tab w:leader="none" w:pos="150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8" w:lineRule="exact"/>
        <w:rPr>
          <w:rFonts w:ascii="Arial" w:cs="Arial" w:eastAsia="Arial" w:hAnsi="Arial"/>
          <w:sz w:val="18"/>
          <w:szCs w:val="18"/>
          <w:color w:val="auto"/>
        </w:rPr>
      </w:pPr>
    </w:p>
    <w:p>
      <w:pPr>
        <w:ind w:left="400" w:right="160" w:firstLine="851"/>
        <w:spacing w:after="0" w:line="259" w:lineRule="auto"/>
        <w:tabs>
          <w:tab w:leader="none" w:pos="150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80" w:top="270" w:right="479" w:bottom="1440" w:gutter="0" w:footer="0" w:header="0"/>
        </w:sectPr>
      </w:pPr>
    </w:p>
    <w:bookmarkStart w:id="146" w:name="page147"/>
    <w:bookmarkEnd w:id="146"/>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17" w:lineRule="exact"/>
        <w:rPr>
          <w:sz w:val="20"/>
          <w:szCs w:val="20"/>
          <w:color w:val="auto"/>
        </w:rPr>
      </w:pPr>
    </w:p>
    <w:p>
      <w:pPr>
        <w:ind w:left="-40" w:right="100" w:firstLine="885"/>
        <w:spacing w:after="0" w:line="297" w:lineRule="auto"/>
        <w:tabs>
          <w:tab w:leader="none" w:pos="108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50" w:lineRule="exact"/>
        <w:rPr>
          <w:rFonts w:ascii="Arial" w:cs="Arial" w:eastAsia="Arial" w:hAnsi="Arial"/>
          <w:sz w:val="16"/>
          <w:szCs w:val="16"/>
          <w:color w:val="auto"/>
        </w:rPr>
      </w:pPr>
    </w:p>
    <w:p>
      <w:pPr>
        <w:ind w:left="-40" w:right="140" w:firstLine="885"/>
        <w:spacing w:after="0" w:line="264" w:lineRule="auto"/>
        <w:tabs>
          <w:tab w:leader="none" w:pos="109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3" w:lineRule="exact"/>
        <w:rPr>
          <w:rFonts w:ascii="Arial" w:cs="Arial" w:eastAsia="Arial" w:hAnsi="Arial"/>
          <w:sz w:val="18"/>
          <w:szCs w:val="18"/>
          <w:color w:val="auto"/>
        </w:rPr>
      </w:pPr>
    </w:p>
    <w:p>
      <w:pPr>
        <w:ind w:left="-40" w:right="240" w:firstLine="885"/>
        <w:spacing w:after="0" w:line="342" w:lineRule="auto"/>
        <w:tabs>
          <w:tab w:leader="none" w:pos="108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5" w:lineRule="exact"/>
        <w:rPr>
          <w:rFonts w:ascii="Arial" w:cs="Arial" w:eastAsia="Arial" w:hAnsi="Arial"/>
          <w:sz w:val="16"/>
          <w:szCs w:val="16"/>
          <w:color w:val="auto"/>
        </w:rPr>
      </w:pPr>
    </w:p>
    <w:p>
      <w:pPr>
        <w:jc w:val="both"/>
        <w:ind w:left="-40" w:right="20" w:firstLine="885"/>
        <w:spacing w:after="0" w:line="312" w:lineRule="auto"/>
        <w:tabs>
          <w:tab w:leader="none" w:pos="109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38" w:lineRule="exact"/>
        <w:rPr>
          <w:rFonts w:ascii="Arial" w:cs="Arial" w:eastAsia="Arial" w:hAnsi="Arial"/>
          <w:sz w:val="16"/>
          <w:szCs w:val="16"/>
          <w:color w:val="auto"/>
        </w:rPr>
      </w:pPr>
    </w:p>
    <w:p>
      <w:pPr>
        <w:ind w:left="-40" w:firstLine="885"/>
        <w:spacing w:after="0" w:line="277" w:lineRule="auto"/>
        <w:tabs>
          <w:tab w:leader="none" w:pos="108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0" w:right="180" w:firstLine="885"/>
        <w:spacing w:after="0" w:line="271" w:lineRule="auto"/>
        <w:tabs>
          <w:tab w:leader="none" w:pos="106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80" w:top="274" w:right="479" w:bottom="1440" w:gutter="0" w:footer="0" w:header="0"/>
        </w:sectPr>
      </w:pPr>
    </w:p>
    <w:bookmarkStart w:id="147" w:name="page148"/>
    <w:bookmarkEnd w:id="147"/>
    <w:p>
      <w:pPr>
        <w:ind w:firstLine="885"/>
        <w:spacing w:after="0" w:line="264" w:lineRule="auto"/>
        <w:tabs>
          <w:tab w:leader="none" w:pos="11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right="160" w:firstLine="885"/>
        <w:spacing w:after="0" w:line="276" w:lineRule="auto"/>
        <w:tabs>
          <w:tab w:leader="none" w:pos="113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64" w:lineRule="exact"/>
        <w:rPr>
          <w:rFonts w:ascii="Arial" w:cs="Arial" w:eastAsia="Arial" w:hAnsi="Arial"/>
          <w:sz w:val="17"/>
          <w:szCs w:val="17"/>
          <w:color w:val="auto"/>
        </w:rPr>
      </w:pPr>
    </w:p>
    <w:p>
      <w:pPr>
        <w:ind w:right="240" w:firstLine="885"/>
        <w:spacing w:after="0" w:line="264" w:lineRule="auto"/>
        <w:tabs>
          <w:tab w:leader="none" w:pos="109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left="1100" w:hanging="215"/>
        <w:spacing w:after="0"/>
        <w:tabs>
          <w:tab w:leader="none" w:pos="11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62" w:lineRule="exact"/>
        <w:rPr>
          <w:rFonts w:ascii="Arial" w:cs="Arial" w:eastAsia="Arial" w:hAnsi="Arial"/>
          <w:sz w:val="18"/>
          <w:szCs w:val="18"/>
          <w:color w:val="auto"/>
        </w:rPr>
      </w:pPr>
    </w:p>
    <w:p>
      <w:pPr>
        <w:ind w:left="1100" w:hanging="215"/>
        <w:spacing w:after="0"/>
        <w:tabs>
          <w:tab w:leader="none" w:pos="11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3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right="720" w:firstLine="885"/>
        <w:spacing w:after="0" w:line="277" w:lineRule="auto"/>
        <w:tabs>
          <w:tab w:leader="none" w:pos="112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17" w:lineRule="exact"/>
        <w:rPr>
          <w:rFonts w:ascii="Arial" w:cs="Arial" w:eastAsia="Arial" w:hAnsi="Arial"/>
          <w:sz w:val="18"/>
          <w:szCs w:val="18"/>
          <w:color w:val="auto"/>
        </w:rPr>
      </w:pPr>
    </w:p>
    <w:p>
      <w:pPr>
        <w:ind w:right="520" w:firstLine="885"/>
        <w:spacing w:after="0" w:line="286" w:lineRule="auto"/>
        <w:tabs>
          <w:tab w:leader="none" w:pos="112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or for the use or application of any moneys received by any paying agent other than the Trustee.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17"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11.05</w:t>
      </w:r>
      <w:r>
        <w:rPr>
          <w:rFonts w:ascii="Arial" w:cs="Arial" w:eastAsia="Arial" w:hAnsi="Arial"/>
          <w:sz w:val="16"/>
          <w:szCs w:val="16"/>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87" w:lineRule="auto"/>
        <w:tabs>
          <w:tab w:leader="none" w:pos="112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60" w:lineRule="exact"/>
        <w:rPr>
          <w:rFonts w:ascii="Arial" w:cs="Arial" w:eastAsia="Arial" w:hAnsi="Arial"/>
          <w:sz w:val="16"/>
          <w:szCs w:val="16"/>
          <w:color w:val="auto"/>
        </w:rPr>
      </w:pPr>
    </w:p>
    <w:p>
      <w:pPr>
        <w:ind w:right="60" w:firstLine="885"/>
        <w:spacing w:after="0" w:line="259" w:lineRule="auto"/>
        <w:tabs>
          <w:tab w:leader="none" w:pos="11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149" w:name="page150"/>
    <w:bookmarkEnd w:id="149"/>
    <w:p>
      <w:pPr>
        <w:ind w:firstLine="885"/>
        <w:spacing w:after="0" w:line="297" w:lineRule="auto"/>
        <w:tabs>
          <w:tab w:leader="none" w:pos="1126"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Arial" w:cs="Arial" w:eastAsia="Arial" w:hAnsi="Arial"/>
          <w:sz w:val="16"/>
          <w:szCs w:val="16"/>
          <w:u w:val="single" w:color="auto"/>
          <w:color w:val="auto"/>
        </w:rPr>
        <w:t>Section 6.01(a)(4)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shall survive the termination of this Indenture and the earlier resignation or removal of the Trustee.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 or Opinion of Counsel</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jc w:val="both"/>
        <w:ind w:right="40" w:firstLine="441"/>
        <w:spacing w:after="0" w:line="302"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4"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150" w:name="page151"/>
    <w:bookmarkEnd w:id="1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0" w:lineRule="auto"/>
        <w:tabs>
          <w:tab w:leader="none" w:pos="112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9" w:lineRule="exact"/>
        <w:rPr>
          <w:rFonts w:ascii="Arial" w:cs="Arial" w:eastAsia="Arial" w:hAnsi="Arial"/>
          <w:sz w:val="17"/>
          <w:szCs w:val="17"/>
          <w:color w:val="auto"/>
        </w:rPr>
      </w:pPr>
    </w:p>
    <w:p>
      <w:pPr>
        <w:ind w:left="1140" w:hanging="255"/>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left="440" w:right="640" w:firstLine="851"/>
        <w:spacing w:after="0" w:line="277" w:lineRule="auto"/>
        <w:tabs>
          <w:tab w:leader="none" w:pos="150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the provisions of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after written request therefor by the Company or by any Securityholder who has been a bona fide holder of a Security or Securities for at least six months; or</w:t>
      </w:r>
    </w:p>
    <w:p>
      <w:pPr>
        <w:spacing w:after="0" w:line="62" w:lineRule="exact"/>
        <w:rPr>
          <w:rFonts w:ascii="Arial" w:cs="Arial" w:eastAsia="Arial" w:hAnsi="Arial"/>
          <w:sz w:val="18"/>
          <w:szCs w:val="18"/>
          <w:color w:val="auto"/>
        </w:rPr>
      </w:pPr>
    </w:p>
    <w:p>
      <w:pPr>
        <w:ind w:left="440" w:right="120" w:firstLine="851"/>
        <w:spacing w:after="0" w:line="277" w:lineRule="auto"/>
        <w:tabs>
          <w:tab w:leader="none" w:pos="155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in accordance with the provisions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jc w:val="both"/>
        <w:ind w:left="440" w:right="180" w:firstLine="851"/>
        <w:spacing w:after="0" w:line="286" w:lineRule="auto"/>
        <w:tabs>
          <w:tab w:leader="none" w:pos="160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50" w:lineRule="exact"/>
        <w:rPr>
          <w:sz w:val="20"/>
          <w:szCs w:val="20"/>
          <w:color w:val="auto"/>
        </w:rPr>
      </w:pPr>
    </w:p>
    <w:p>
      <w:pPr>
        <w:ind w:firstLine="885"/>
        <w:spacing w:after="0" w:line="264" w:lineRule="auto"/>
        <w:tabs>
          <w:tab w:leader="none" w:pos="112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51" w:name="page152"/>
    <w:bookmarkEnd w:id="151"/>
    <w:p>
      <w:pPr>
        <w:ind w:left="-100" w:right="200" w:firstLine="885"/>
        <w:spacing w:after="0" w:line="342" w:lineRule="auto"/>
        <w:tabs>
          <w:tab w:leader="none" w:pos="1036" w:val="left"/>
        </w:tabs>
        <w:numPr>
          <w:ilvl w:val="0"/>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00" w:right="120" w:firstLine="885"/>
        <w:spacing w:after="0" w:line="277" w:lineRule="auto"/>
        <w:tabs>
          <w:tab w:leader="none" w:pos="102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left="-100" w:firstLine="885"/>
        <w:spacing w:after="0" w:line="255" w:lineRule="auto"/>
        <w:tabs>
          <w:tab w:leader="none" w:pos="102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1" w:lineRule="exact"/>
        <w:rPr>
          <w:rFonts w:ascii="Arial" w:cs="Arial" w:eastAsia="Arial" w:hAnsi="Arial"/>
          <w:sz w:val="18"/>
          <w:szCs w:val="18"/>
          <w:color w:val="auto"/>
        </w:rPr>
      </w:pPr>
    </w:p>
    <w:p>
      <w:pPr>
        <w:ind w:left="-100" w:right="20" w:firstLine="885"/>
        <w:spacing w:after="0" w:line="285" w:lineRule="auto"/>
        <w:tabs>
          <w:tab w:leader="none" w:pos="103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40"/>
          </w:cols>
          <w:pgMar w:left="540" w:top="274" w:right="519" w:bottom="1440" w:gutter="0" w:footer="0" w:header="0"/>
        </w:sectPr>
      </w:pPr>
    </w:p>
    <w:bookmarkStart w:id="152" w:name="page153"/>
    <w:bookmarkEnd w:id="152"/>
    <w:p>
      <w:pPr>
        <w:ind w:right="260" w:firstLine="885"/>
        <w:spacing w:after="0" w:line="342" w:lineRule="auto"/>
        <w:tabs>
          <w:tab w:leader="none" w:pos="1126"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5" w:lineRule="exact"/>
        <w:rPr>
          <w:rFonts w:ascii="Arial" w:cs="Arial" w:eastAsia="Arial" w:hAnsi="Arial"/>
          <w:sz w:val="16"/>
          <w:szCs w:val="16"/>
          <w:color w:val="auto"/>
        </w:rPr>
      </w:pPr>
    </w:p>
    <w:p>
      <w:pPr>
        <w:ind w:right="420" w:firstLine="885"/>
        <w:spacing w:after="0" w:line="277" w:lineRule="auto"/>
        <w:tabs>
          <w:tab w:leader="none" w:pos="11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jc w:val="both"/>
        <w:ind w:firstLine="885"/>
        <w:spacing w:after="0" w:line="259" w:lineRule="auto"/>
        <w:tabs>
          <w:tab w:leader="none" w:pos="112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corporation shall be qualified under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eligible under the provisions of </w:t>
      </w:r>
      <w:r>
        <w:rPr>
          <w:rFonts w:ascii="Arial" w:cs="Arial" w:eastAsia="Arial" w:hAnsi="Arial"/>
          <w:sz w:val="16"/>
          <w:szCs w:val="16"/>
          <w:u w:val="single" w:color="auto"/>
          <w:color w:val="auto"/>
        </w:rPr>
        <w:t>Section 7.09</w:t>
      </w:r>
      <w:r>
        <w:rPr>
          <w:rFonts w:ascii="Arial" w:cs="Arial" w:eastAsia="Arial" w:hAnsi="Arial"/>
          <w:sz w:val="16"/>
          <w:szCs w:val="16"/>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117"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53" w:name="page154"/>
    <w:bookmarkEnd w:id="153"/>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a Responsible Officer of the Trustee or written notice of it is received by the Trustee, unless such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SECURITYHOLDERS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Whenever in this Indenture it 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The fact and date of the execution by any such Person of any instrument may be proved in any reasonable manner acceptable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right="460" w:firstLine="885"/>
        <w:spacing w:after="0" w:line="308" w:lineRule="auto"/>
        <w:tabs>
          <w:tab w:leader="none" w:pos="113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54" w:name="page155"/>
    <w:bookmarkEnd w:id="1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Arial" w:cs="Arial" w:eastAsia="Arial" w:hAnsi="Arial"/>
          <w:sz w:val="18"/>
          <w:szCs w:val="18"/>
          <w:u w:val="single" w:color="auto"/>
          <w:color w:val="auto"/>
        </w:rPr>
        <w:t>Section 2.03</w:t>
      </w:r>
      <w:r>
        <w:rPr>
          <w:rFonts w:ascii="Arial" w:cs="Arial" w:eastAsia="Arial" w:hAnsi="Arial"/>
          <w:sz w:val="18"/>
          <w:szCs w:val="18"/>
          <w:color w:val="auto"/>
        </w:rPr>
        <w:t>) interest on such Security and for all other purposes; and neither the Company nor the Trustee nor any paying agent nor any Security Registrar shall be affected by any notice to the contrary.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At any time prior to (but not after) the evidencing to the Trustee, as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Arial" w:cs="Arial" w:eastAsia="Arial" w:hAnsi="Arial"/>
          <w:sz w:val="17"/>
          <w:szCs w:val="17"/>
          <w:u w:val="single" w:color="auto"/>
          <w:color w:val="auto"/>
        </w:rPr>
        <w:t>Section 8.02</w:t>
      </w:r>
      <w:r>
        <w:rPr>
          <w:rFonts w:ascii="Arial" w:cs="Arial" w:eastAsia="Arial" w:hAnsi="Arial"/>
          <w:sz w:val="17"/>
          <w:szCs w:val="17"/>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4" w:right="519" w:bottom="1440" w:gutter="0" w:footer="0" w:header="0"/>
        </w:sectPr>
      </w:pPr>
    </w:p>
    <w:bookmarkStart w:id="155" w:name="page156"/>
    <w:bookmarkEnd w:id="15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57" w:lineRule="exact"/>
        <w:rPr>
          <w:sz w:val="20"/>
          <w:szCs w:val="20"/>
          <w:color w:val="auto"/>
        </w:rPr>
      </w:pPr>
    </w:p>
    <w:p>
      <w:pPr>
        <w:ind w:left="1140" w:hanging="255"/>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firstLine="885"/>
        <w:spacing w:after="0" w:line="257" w:lineRule="auto"/>
        <w:tabs>
          <w:tab w:leader="none" w:pos="11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80" w:lineRule="exact"/>
        <w:rPr>
          <w:rFonts w:ascii="Arial" w:cs="Arial" w:eastAsia="Arial" w:hAnsi="Arial"/>
          <w:sz w:val="18"/>
          <w:szCs w:val="18"/>
          <w:color w:val="auto"/>
        </w:rPr>
      </w:pPr>
    </w:p>
    <w:p>
      <w:pPr>
        <w:ind w:right="540" w:firstLine="885"/>
        <w:spacing w:after="0" w:line="277" w:lineRule="auto"/>
        <w:tabs>
          <w:tab w:leader="none" w:pos="112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17"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to provide for the issuance of and establish the form and terms and conditions of the Securities of any series as provided in </w:t>
      </w:r>
      <w:r>
        <w:rPr>
          <w:rFonts w:ascii="Arial" w:cs="Arial" w:eastAsia="Arial" w:hAnsi="Arial"/>
          <w:sz w:val="18"/>
          <w:szCs w:val="18"/>
          <w:u w:val="single" w:color="auto"/>
          <w:color w:val="auto"/>
        </w:rPr>
        <w:t>Section 2.01</w:t>
      </w:r>
      <w:r>
        <w:rPr>
          <w:rFonts w:ascii="Arial" w:cs="Arial" w:eastAsia="Arial" w:hAnsi="Arial"/>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73" w:lineRule="exact"/>
        <w:rPr>
          <w:rFonts w:ascii="Arial" w:cs="Arial" w:eastAsia="Arial" w:hAnsi="Arial"/>
          <w:sz w:val="18"/>
          <w:szCs w:val="18"/>
          <w:color w:val="auto"/>
        </w:rPr>
      </w:pPr>
    </w:p>
    <w:p>
      <w:pPr>
        <w:ind w:right="80" w:firstLine="885"/>
        <w:spacing w:after="0" w:line="277" w:lineRule="auto"/>
        <w:tabs>
          <w:tab w:leader="none" w:pos="11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appoint a separate trustee with respect to any series; or</w:t>
      </w:r>
    </w:p>
    <w:p>
      <w:pPr>
        <w:spacing w:after="0" w:line="62" w:lineRule="exact"/>
        <w:rPr>
          <w:rFonts w:ascii="Arial" w:cs="Arial" w:eastAsia="Arial" w:hAnsi="Arial"/>
          <w:sz w:val="18"/>
          <w:szCs w:val="18"/>
          <w:color w:val="auto"/>
        </w:rPr>
      </w:pPr>
    </w:p>
    <w:p>
      <w:pPr>
        <w:ind w:right="300" w:firstLine="885"/>
        <w:spacing w:after="0" w:line="277" w:lineRule="auto"/>
        <w:tabs>
          <w:tab w:leader="none" w:pos="10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ind w:right="580" w:firstLine="441"/>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0" w:right="479" w:bottom="1440" w:gutter="0" w:footer="0" w:header="0"/>
        </w:sectPr>
      </w:pPr>
    </w:p>
    <w:bookmarkStart w:id="156" w:name="page157"/>
    <w:bookmarkEnd w:id="156"/>
    <w:p>
      <w:pPr>
        <w:ind w:right="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With the consent (evidenced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the rights of the holders of the Securities of such series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Upon the execution of any supplemental indenture pursuant to the provisions of this Article or of </w:t>
      </w:r>
      <w:r>
        <w:rPr>
          <w:rFonts w:ascii="Arial" w:cs="Arial" w:eastAsia="Arial" w:hAnsi="Arial"/>
          <w:sz w:val="18"/>
          <w:szCs w:val="18"/>
          <w:u w:val="single" w:color="auto"/>
          <w:color w:val="auto"/>
        </w:rPr>
        <w:t>Section 10.01</w:t>
      </w:r>
      <w:r>
        <w:rPr>
          <w:rFonts w:ascii="Arial" w:cs="Arial" w:eastAsia="Arial" w:hAnsi="Arial"/>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 xml:space="preserve">Securities of any series affected by a supplemental indenture, authenticated and delivered after the execution of such supplemental indenture pursuant to the provisions of this Article or of </w:t>
      </w:r>
      <w:r>
        <w:rPr>
          <w:rFonts w:ascii="Arial" w:cs="Arial" w:eastAsia="Arial" w:hAnsi="Arial"/>
          <w:sz w:val="17"/>
          <w:szCs w:val="17"/>
          <w:u w:val="single" w:color="auto"/>
          <w:color w:val="auto"/>
        </w:rPr>
        <w:t>Section 10.01</w:t>
      </w:r>
      <w:r>
        <w:rPr>
          <w:rFonts w:ascii="Arial" w:cs="Arial" w:eastAsia="Arial" w:hAnsi="Arial"/>
          <w:sz w:val="17"/>
          <w:szCs w:val="17"/>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57" w:name="page158"/>
    <w:bookmarkEnd w:id="1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6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 ENTITY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158" w:name="page159"/>
    <w:bookmarkEnd w:id="15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Indenture with respect to each series or established with respect to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right="240" w:firstLine="885"/>
        <w:spacing w:after="0" w:line="302" w:lineRule="auto"/>
        <w:tabs>
          <w:tab w:leader="none" w:pos="112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46" w:lineRule="exact"/>
        <w:rPr>
          <w:rFonts w:ascii="Arial" w:cs="Arial" w:eastAsia="Arial" w:hAnsi="Arial"/>
          <w:sz w:val="16"/>
          <w:szCs w:val="16"/>
          <w:color w:val="auto"/>
        </w:rPr>
      </w:pPr>
    </w:p>
    <w:p>
      <w:pPr>
        <w:ind w:right="40" w:firstLine="885"/>
        <w:spacing w:after="0" w:line="277" w:lineRule="auto"/>
        <w:tabs>
          <w:tab w:leader="none" w:pos="11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ind w:right="60" w:firstLine="885"/>
        <w:spacing w:after="0" w:line="264" w:lineRule="auto"/>
        <w:tabs>
          <w:tab w:leader="none" w:pos="112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xml:space="preserve"> .</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and Securities for whose payment money or Governmental Obligations have theretofore been deposited in trust or segregated and held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159" w:name="page160"/>
    <w:bookmarkEnd w:id="15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trust by the Company and thereupon repaid to the Company or discharged from such trust, as provided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w:t>
      </w:r>
    </w:p>
    <w:p>
      <w:pPr>
        <w:spacing w:after="0" w:line="7"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u w:val="single" w:color="auto"/>
          <w:color w:val="auto"/>
        </w:rPr>
        <w:t>4.03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7.10</w:t>
      </w:r>
      <w:r>
        <w:rPr>
          <w:rFonts w:ascii="Arial" w:cs="Arial" w:eastAsia="Arial" w:hAnsi="Arial"/>
          <w:sz w:val="17"/>
          <w:szCs w:val="17"/>
          <w:color w:val="auto"/>
        </w:rPr>
        <w:t xml:space="preserve">, that shall survive until the date of maturity or redemption date, as the case may be, and </w:t>
      </w:r>
      <w:r>
        <w:rPr>
          <w:rFonts w:ascii="Arial" w:cs="Arial" w:eastAsia="Arial" w:hAnsi="Arial"/>
          <w:sz w:val="17"/>
          <w:szCs w:val="17"/>
          <w:u w:val="single" w:color="auto"/>
          <w:color w:val="auto"/>
        </w:rPr>
        <w:t>Sections 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11.05</w:t>
      </w:r>
      <w:r>
        <w:rPr>
          <w:rFonts w:ascii="Arial" w:cs="Arial" w:eastAsia="Arial" w:hAnsi="Arial"/>
          <w:sz w:val="17"/>
          <w:szCs w:val="17"/>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 xml:space="preserve">If at any time all such Securities of a particular series not heretofore delivered to the Trustee for cancellation or that have not become due and payable as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11.05</w:t>
      </w:r>
      <w:r>
        <w:rPr>
          <w:rFonts w:ascii="Arial" w:cs="Arial" w:eastAsia="Arial" w:hAnsi="Arial"/>
          <w:sz w:val="16"/>
          <w:szCs w:val="16"/>
          <w:color w:val="auto"/>
        </w:rPr>
        <w:t xml:space="preserve"> hereof that shall survive until such Securities shall mature and be paid.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Thereafter, </w:t>
      </w:r>
      <w:r>
        <w:rPr>
          <w:rFonts w:ascii="Arial" w:cs="Arial" w:eastAsia="Arial" w:hAnsi="Arial"/>
          <w:sz w:val="18"/>
          <w:szCs w:val="18"/>
          <w:u w:val="single" w:color="auto"/>
          <w:color w:val="auto"/>
        </w:rPr>
        <w:t>Sections 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11.05</w:t>
      </w:r>
      <w:r>
        <w:rPr>
          <w:rFonts w:ascii="Arial" w:cs="Arial" w:eastAsia="Arial" w:hAnsi="Arial"/>
          <w:sz w:val="18"/>
          <w:szCs w:val="18"/>
          <w:color w:val="auto"/>
        </w:rPr>
        <w:t xml:space="preserve"> shall survive.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 xml:space="preserve">All moneys or Governmental Obligations deposited with the Trustee pursuant to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11.02</w:t>
      </w:r>
      <w:r>
        <w:rPr>
          <w:rFonts w:ascii="Arial" w:cs="Arial" w:eastAsia="Arial" w:hAnsi="Arial"/>
          <w:sz w:val="16"/>
          <w:szCs w:val="16"/>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160" w:name="page161"/>
    <w:bookmarkEnd w:id="1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11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11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-596265</wp:posOffset>
            </wp:positionV>
            <wp:extent cx="2286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162" w:name="page163"/>
    <w:bookmarkEnd w:id="1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79" w:lineRule="auto"/>
        <w:tabs>
          <w:tab w:leader="none" w:pos="112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Arial" w:cs="Arial" w:eastAsia="Arial" w:hAnsi="Arial"/>
          <w:sz w:val="17"/>
          <w:szCs w:val="17"/>
          <w:u w:val="single" w:color="auto"/>
          <w:color w:val="auto"/>
        </w:rPr>
        <w:t>Section 13.12</w:t>
      </w:r>
      <w:r>
        <w:rPr>
          <w:rFonts w:ascii="Arial" w:cs="Arial" w:eastAsia="Arial" w:hAnsi="Arial"/>
          <w:sz w:val="17"/>
          <w:szCs w:val="17"/>
          <w:color w:val="auto"/>
        </w:rPr>
        <w:t>) relating to the proposed action have been complied with and an Opinion of Counsel stating that in the opinion of such counsel all such covenants and conditions precedent have been complied with.</w:t>
      </w:r>
    </w:p>
    <w:p>
      <w:pPr>
        <w:spacing w:after="0" w:line="63" w:lineRule="exact"/>
        <w:rPr>
          <w:rFonts w:ascii="Arial" w:cs="Arial" w:eastAsia="Arial" w:hAnsi="Arial"/>
          <w:sz w:val="17"/>
          <w:szCs w:val="17"/>
          <w:color w:val="auto"/>
        </w:rPr>
      </w:pPr>
    </w:p>
    <w:p>
      <w:pPr>
        <w:ind w:firstLine="885"/>
        <w:spacing w:after="0" w:line="273" w:lineRule="auto"/>
        <w:tabs>
          <w:tab w:leader="none" w:pos="113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Except as provided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163" w:name="page164"/>
    <w:bookmarkEnd w:id="1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11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Arial" w:cs="Arial" w:eastAsia="Arial" w:hAnsi="Arial"/>
          <w:sz w:val="17"/>
          <w:szCs w:val="17"/>
          <w:u w:val="single" w:color="auto"/>
          <w:color w:val="auto"/>
        </w:rPr>
        <w:t>Section 13.12</w:t>
      </w:r>
      <w:r>
        <w:rPr>
          <w:rFonts w:ascii="Arial" w:cs="Arial" w:eastAsia="Arial" w:hAnsi="Arial"/>
          <w:sz w:val="17"/>
          <w:szCs w:val="17"/>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Calculations</w:t>
      </w:r>
      <w:r>
        <w:rPr>
          <w:rFonts w:ascii="Arial" w:cs="Arial" w:eastAsia="Arial" w:hAnsi="Arial"/>
          <w:sz w:val="18"/>
          <w:szCs w:val="18"/>
          <w:color w:val="auto"/>
        </w:rPr>
        <w:t>.</w:t>
      </w:r>
    </w:p>
    <w:p>
      <w:pPr>
        <w:spacing w:after="0" w:line="117"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64" w:name="page165"/>
    <w:bookmarkEnd w:id="164"/>
    <w:p>
      <w:pPr>
        <w:ind w:left="6080" w:hanging="6176"/>
        <w:spacing w:after="0" w:line="51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Indenture to be duly executed all as of the day and year first above written.</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as Issuer</w:t>
      </w: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14605</wp:posOffset>
            </wp:positionV>
            <wp:extent cx="26155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4612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4612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 as Trustee</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14605</wp:posOffset>
            </wp:positionV>
            <wp:extent cx="26155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4612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14605</wp:posOffset>
            </wp:positionV>
            <wp:extent cx="25215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Form of Indenture</w:t>
      </w:r>
    </w:p>
    <w:p>
      <w:pPr>
        <w:sectPr>
          <w:pgSz w:w="11900" w:h="16838" w:orient="portrait"/>
          <w:cols w:equalWidth="0" w:num="1">
            <w:col w:w="9940"/>
          </w:cols>
          <w:pgMar w:left="980" w:top="270" w:right="9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 INDENTURE ACT CROSS-REFERENCE TABLE</w:t>
      </w:r>
      <w:r>
        <w:rPr>
          <w:rFonts w:ascii="Arial" w:cs="Arial" w:eastAsia="Arial" w:hAnsi="Arial"/>
          <w:sz w:val="15"/>
          <w:szCs w:val="15"/>
          <w:b w:val="1"/>
          <w:bCs w:val="1"/>
          <w:color w:val="auto"/>
        </w:rPr>
        <w:t>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20" w:type="dxa"/>
            <w:vAlign w:val="bottom"/>
            <w:gridSpan w:val="3"/>
          </w:tcPr>
          <w:p>
            <w:pPr>
              <w:spacing w:after="0"/>
              <w:rPr>
                <w:sz w:val="20"/>
                <w:szCs w:val="20"/>
                <w:color w:val="auto"/>
              </w:rPr>
            </w:pPr>
            <w:r>
              <w:rPr>
                <w:rFonts w:ascii="Arial" w:cs="Arial" w:eastAsia="Arial" w:hAnsi="Arial"/>
                <w:sz w:val="14"/>
                <w:szCs w:val="14"/>
                <w:b w:val="1"/>
                <w:bCs w:val="1"/>
                <w:color w:val="auto"/>
              </w:rPr>
              <w:t>Section of Trust Indenture Act of 1939, as amended</w:t>
            </w:r>
          </w:p>
        </w:tc>
        <w:tc>
          <w:tcPr>
            <w:tcW w:w="1320" w:type="dxa"/>
            <w:vAlign w:val="bottom"/>
          </w:tcPr>
          <w:p>
            <w:pPr>
              <w:spacing w:after="0"/>
              <w:rPr>
                <w:sz w:val="20"/>
                <w:szCs w:val="20"/>
                <w:color w:val="auto"/>
              </w:rPr>
            </w:pPr>
            <w:r>
              <w:rPr>
                <w:rFonts w:ascii="Arial" w:cs="Arial" w:eastAsia="Arial" w:hAnsi="Arial"/>
                <w:sz w:val="14"/>
                <w:szCs w:val="14"/>
                <w:b w:val="1"/>
                <w:bCs w:val="1"/>
                <w:color w:val="auto"/>
                <w:w w:val="96"/>
              </w:rPr>
              <w:t>Section of Indenture</w:t>
            </w:r>
          </w:p>
        </w:tc>
      </w:tr>
      <w:tr>
        <w:trPr>
          <w:trHeight w:val="195"/>
        </w:trPr>
        <w:tc>
          <w:tcPr>
            <w:tcW w:w="20" w:type="dxa"/>
            <w:vAlign w:val="bottom"/>
          </w:tcPr>
          <w:p>
            <w:pPr>
              <w:spacing w:after="0"/>
              <w:rPr>
                <w:sz w:val="16"/>
                <w:szCs w:val="16"/>
                <w:color w:val="auto"/>
              </w:rPr>
            </w:pPr>
          </w:p>
        </w:tc>
        <w:tc>
          <w:tcPr>
            <w:tcW w:w="9360" w:type="dxa"/>
            <w:vAlign w:val="bottom"/>
            <w:tcBorders>
              <w:top w:val="single" w:sz="8" w:color="auto"/>
            </w:tcBorders>
          </w:tcPr>
          <w:p>
            <w:pPr>
              <w:jc w:val="right"/>
              <w:ind w:right="8810"/>
              <w:spacing w:after="0" w:line="195" w:lineRule="exact"/>
              <w:rPr>
                <w:sz w:val="20"/>
                <w:szCs w:val="20"/>
                <w:color w:val="auto"/>
              </w:rPr>
            </w:pPr>
            <w:r>
              <w:rPr>
                <w:rFonts w:ascii="Arial" w:cs="Arial" w:eastAsia="Arial" w:hAnsi="Arial"/>
                <w:sz w:val="18"/>
                <w:szCs w:val="18"/>
                <w:color w:val="auto"/>
                <w:w w:val="84"/>
              </w:rPr>
              <w:t>310(a)</w:t>
            </w:r>
          </w:p>
        </w:tc>
        <w:tc>
          <w:tcPr>
            <w:tcW w:w="34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7.09</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310(b)</w:t>
            </w:r>
          </w:p>
        </w:tc>
        <w:tc>
          <w:tcPr>
            <w:tcW w:w="1320" w:type="dxa"/>
            <w:vAlign w:val="bottom"/>
          </w:tcPr>
          <w:p>
            <w:pPr>
              <w:spacing w:after="0"/>
              <w:rPr>
                <w:sz w:val="20"/>
                <w:szCs w:val="20"/>
                <w:color w:val="auto"/>
              </w:rPr>
            </w:pPr>
            <w:r>
              <w:rPr>
                <w:rFonts w:ascii="Arial" w:cs="Arial" w:eastAsia="Arial" w:hAnsi="Arial"/>
                <w:sz w:val="18"/>
                <w:szCs w:val="18"/>
                <w:color w:val="auto"/>
              </w:rPr>
              <w:t>7.08</w:t>
            </w:r>
          </w:p>
        </w:tc>
      </w:tr>
      <w:tr>
        <w:trPr>
          <w:trHeight w:val="230"/>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7.10</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90"/>
              </w:rPr>
              <w:t>310(c)</w:t>
            </w:r>
          </w:p>
        </w:tc>
        <w:tc>
          <w:tcPr>
            <w:tcW w:w="132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720" w:type="dxa"/>
            <w:vAlign w:val="bottom"/>
            <w:gridSpan w:val="3"/>
          </w:tcPr>
          <w:p>
            <w:pPr>
              <w:jc w:val="right"/>
              <w:ind w:right="9260"/>
              <w:spacing w:after="0"/>
              <w:rPr>
                <w:sz w:val="20"/>
                <w:szCs w:val="20"/>
                <w:color w:val="auto"/>
              </w:rPr>
            </w:pPr>
            <w:r>
              <w:rPr>
                <w:rFonts w:ascii="Arial" w:cs="Arial" w:eastAsia="Arial" w:hAnsi="Arial"/>
                <w:sz w:val="18"/>
                <w:szCs w:val="18"/>
                <w:color w:val="auto"/>
                <w:w w:val="84"/>
              </w:rPr>
              <w:t>311(a)</w:t>
            </w:r>
          </w:p>
        </w:tc>
        <w:tc>
          <w:tcPr>
            <w:tcW w:w="132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311(b)</w:t>
            </w:r>
          </w:p>
        </w:tc>
        <w:tc>
          <w:tcPr>
            <w:tcW w:w="132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9720" w:type="dxa"/>
            <w:vAlign w:val="bottom"/>
            <w:gridSpan w:val="3"/>
          </w:tcPr>
          <w:p>
            <w:pPr>
              <w:jc w:val="right"/>
              <w:ind w:right="9260"/>
              <w:spacing w:after="0"/>
              <w:rPr>
                <w:sz w:val="20"/>
                <w:szCs w:val="20"/>
                <w:color w:val="auto"/>
              </w:rPr>
            </w:pPr>
            <w:r>
              <w:rPr>
                <w:rFonts w:ascii="Arial" w:cs="Arial" w:eastAsia="Arial" w:hAnsi="Arial"/>
                <w:sz w:val="18"/>
                <w:szCs w:val="18"/>
                <w:color w:val="auto"/>
                <w:w w:val="86"/>
              </w:rPr>
              <w:t>311(c)</w:t>
            </w:r>
          </w:p>
        </w:tc>
        <w:tc>
          <w:tcPr>
            <w:tcW w:w="132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312(a)</w:t>
            </w:r>
          </w:p>
        </w:tc>
        <w:tc>
          <w:tcPr>
            <w:tcW w:w="1320" w:type="dxa"/>
            <w:vAlign w:val="bottom"/>
          </w:tcPr>
          <w:p>
            <w:pPr>
              <w:spacing w:after="0"/>
              <w:rPr>
                <w:sz w:val="20"/>
                <w:szCs w:val="20"/>
                <w:color w:val="auto"/>
              </w:rPr>
            </w:pPr>
            <w:r>
              <w:rPr>
                <w:rFonts w:ascii="Arial" w:cs="Arial" w:eastAsia="Arial" w:hAnsi="Arial"/>
                <w:sz w:val="18"/>
                <w:szCs w:val="18"/>
                <w:color w:val="auto"/>
              </w:rPr>
              <w:t>5.01</w:t>
            </w:r>
          </w:p>
        </w:tc>
      </w:tr>
      <w:tr>
        <w:trPr>
          <w:trHeight w:val="230"/>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5.02(a)</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312(b)</w:t>
            </w:r>
          </w:p>
        </w:tc>
        <w:tc>
          <w:tcPr>
            <w:tcW w:w="132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90"/>
              </w:rPr>
              <w:t>312(c)</w:t>
            </w:r>
          </w:p>
        </w:tc>
        <w:tc>
          <w:tcPr>
            <w:tcW w:w="132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313(a)</w:t>
            </w:r>
          </w:p>
        </w:tc>
        <w:tc>
          <w:tcPr>
            <w:tcW w:w="132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313(b)</w:t>
            </w:r>
          </w:p>
        </w:tc>
        <w:tc>
          <w:tcPr>
            <w:tcW w:w="132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90"/>
              </w:rPr>
              <w:t>313(c)</w:t>
            </w:r>
          </w:p>
        </w:tc>
        <w:tc>
          <w:tcPr>
            <w:tcW w:w="1320" w:type="dxa"/>
            <w:vAlign w:val="bottom"/>
          </w:tcPr>
          <w:p>
            <w:pPr>
              <w:spacing w:after="0"/>
              <w:rPr>
                <w:sz w:val="20"/>
                <w:szCs w:val="20"/>
                <w:color w:val="auto"/>
              </w:rPr>
            </w:pPr>
            <w:r>
              <w:rPr>
                <w:rFonts w:ascii="Arial" w:cs="Arial" w:eastAsia="Arial" w:hAnsi="Arial"/>
                <w:sz w:val="18"/>
                <w:szCs w:val="18"/>
                <w:color w:val="auto"/>
              </w:rPr>
              <w:t>5.04(a)</w:t>
            </w:r>
          </w:p>
        </w:tc>
      </w:tr>
      <w:tr>
        <w:trPr>
          <w:trHeight w:val="230"/>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313(d)</w:t>
            </w:r>
          </w:p>
        </w:tc>
        <w:tc>
          <w:tcPr>
            <w:tcW w:w="1320" w:type="dxa"/>
            <w:vAlign w:val="bottom"/>
          </w:tcPr>
          <w:p>
            <w:pPr>
              <w:spacing w:after="0"/>
              <w:rPr>
                <w:sz w:val="20"/>
                <w:szCs w:val="20"/>
                <w:color w:val="auto"/>
              </w:rPr>
            </w:pPr>
            <w:r>
              <w:rPr>
                <w:rFonts w:ascii="Arial" w:cs="Arial" w:eastAsia="Arial" w:hAnsi="Arial"/>
                <w:sz w:val="18"/>
                <w:szCs w:val="18"/>
                <w:color w:val="auto"/>
              </w:rPr>
              <w:t>5.04(c)</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314(a)</w:t>
            </w:r>
          </w:p>
        </w:tc>
        <w:tc>
          <w:tcPr>
            <w:tcW w:w="1320" w:type="dxa"/>
            <w:vAlign w:val="bottom"/>
          </w:tcPr>
          <w:p>
            <w:pPr>
              <w:spacing w:after="0"/>
              <w:rPr>
                <w:sz w:val="20"/>
                <w:szCs w:val="20"/>
                <w:color w:val="auto"/>
              </w:rPr>
            </w:pPr>
            <w:r>
              <w:rPr>
                <w:rFonts w:ascii="Arial" w:cs="Arial" w:eastAsia="Arial" w:hAnsi="Arial"/>
                <w:sz w:val="18"/>
                <w:szCs w:val="18"/>
                <w:color w:val="auto"/>
              </w:rPr>
              <w:t>5.03</w:t>
            </w:r>
          </w:p>
        </w:tc>
      </w:tr>
      <w:tr>
        <w:trPr>
          <w:trHeight w:val="230"/>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13.12</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314(b)</w:t>
            </w:r>
          </w:p>
        </w:tc>
        <w:tc>
          <w:tcPr>
            <w:tcW w:w="132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90"/>
              </w:rPr>
              <w:t>314(c)</w:t>
            </w:r>
          </w:p>
        </w:tc>
        <w:tc>
          <w:tcPr>
            <w:tcW w:w="1320" w:type="dxa"/>
            <w:vAlign w:val="bottom"/>
          </w:tcPr>
          <w:p>
            <w:pPr>
              <w:spacing w:after="0"/>
              <w:rPr>
                <w:sz w:val="20"/>
                <w:szCs w:val="20"/>
                <w:color w:val="auto"/>
              </w:rPr>
            </w:pPr>
            <w:r>
              <w:rPr>
                <w:rFonts w:ascii="Arial" w:cs="Arial" w:eastAsia="Arial" w:hAnsi="Arial"/>
                <w:sz w:val="18"/>
                <w:szCs w:val="18"/>
                <w:color w:val="auto"/>
              </w:rPr>
              <w:t>13.07(a)</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314(d)</w:t>
            </w:r>
          </w:p>
        </w:tc>
        <w:tc>
          <w:tcPr>
            <w:tcW w:w="132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314(e)</w:t>
            </w:r>
          </w:p>
        </w:tc>
        <w:tc>
          <w:tcPr>
            <w:tcW w:w="1320" w:type="dxa"/>
            <w:vAlign w:val="bottom"/>
          </w:tcPr>
          <w:p>
            <w:pPr>
              <w:spacing w:after="0"/>
              <w:rPr>
                <w:sz w:val="20"/>
                <w:szCs w:val="20"/>
                <w:color w:val="auto"/>
              </w:rPr>
            </w:pPr>
            <w:r>
              <w:rPr>
                <w:rFonts w:ascii="Arial" w:cs="Arial" w:eastAsia="Arial" w:hAnsi="Arial"/>
                <w:sz w:val="18"/>
                <w:szCs w:val="18"/>
                <w:color w:val="auto"/>
              </w:rPr>
              <w:t>13.07(b)</w:t>
            </w:r>
          </w:p>
        </w:tc>
      </w:tr>
      <w:tr>
        <w:trPr>
          <w:trHeight w:val="216"/>
        </w:trPr>
        <w:tc>
          <w:tcPr>
            <w:tcW w:w="9720" w:type="dxa"/>
            <w:vAlign w:val="bottom"/>
            <w:gridSpan w:val="3"/>
          </w:tcPr>
          <w:p>
            <w:pPr>
              <w:jc w:val="right"/>
              <w:ind w:right="9260"/>
              <w:spacing w:after="0"/>
              <w:rPr>
                <w:sz w:val="20"/>
                <w:szCs w:val="20"/>
                <w:color w:val="auto"/>
              </w:rPr>
            </w:pPr>
            <w:r>
              <w:rPr>
                <w:rFonts w:ascii="Arial" w:cs="Arial" w:eastAsia="Arial" w:hAnsi="Arial"/>
                <w:sz w:val="18"/>
                <w:szCs w:val="18"/>
                <w:color w:val="auto"/>
                <w:w w:val="93"/>
              </w:rPr>
              <w:t>314(f)</w:t>
            </w:r>
          </w:p>
        </w:tc>
        <w:tc>
          <w:tcPr>
            <w:tcW w:w="132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315(a)</w:t>
            </w:r>
          </w:p>
        </w:tc>
        <w:tc>
          <w:tcPr>
            <w:tcW w:w="1320" w:type="dxa"/>
            <w:vAlign w:val="bottom"/>
          </w:tcPr>
          <w:p>
            <w:pPr>
              <w:spacing w:after="0"/>
              <w:rPr>
                <w:sz w:val="20"/>
                <w:szCs w:val="20"/>
                <w:color w:val="auto"/>
              </w:rPr>
            </w:pPr>
            <w:r>
              <w:rPr>
                <w:rFonts w:ascii="Arial" w:cs="Arial" w:eastAsia="Arial" w:hAnsi="Arial"/>
                <w:sz w:val="18"/>
                <w:szCs w:val="18"/>
                <w:color w:val="auto"/>
              </w:rPr>
              <w:t>7.01(a)</w:t>
            </w:r>
          </w:p>
        </w:tc>
      </w:tr>
      <w:tr>
        <w:trPr>
          <w:trHeight w:val="230"/>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315(b)</w:t>
            </w:r>
          </w:p>
        </w:tc>
        <w:tc>
          <w:tcPr>
            <w:tcW w:w="1320" w:type="dxa"/>
            <w:vAlign w:val="bottom"/>
          </w:tcPr>
          <w:p>
            <w:pPr>
              <w:spacing w:after="0"/>
              <w:rPr>
                <w:sz w:val="20"/>
                <w:szCs w:val="20"/>
                <w:color w:val="auto"/>
              </w:rPr>
            </w:pPr>
            <w:r>
              <w:rPr>
                <w:rFonts w:ascii="Arial" w:cs="Arial" w:eastAsia="Arial" w:hAnsi="Arial"/>
                <w:sz w:val="18"/>
                <w:szCs w:val="18"/>
                <w:color w:val="auto"/>
              </w:rPr>
              <w:t>7.14</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90"/>
              </w:rPr>
              <w:t>315(c)</w:t>
            </w:r>
          </w:p>
        </w:tc>
        <w:tc>
          <w:tcPr>
            <w:tcW w:w="1320" w:type="dxa"/>
            <w:vAlign w:val="bottom"/>
          </w:tcPr>
          <w:p>
            <w:pPr>
              <w:spacing w:after="0"/>
              <w:rPr>
                <w:sz w:val="20"/>
                <w:szCs w:val="20"/>
                <w:color w:val="auto"/>
              </w:rPr>
            </w:pPr>
            <w:r>
              <w:rPr>
                <w:rFonts w:ascii="Arial" w:cs="Arial" w:eastAsia="Arial" w:hAnsi="Arial"/>
                <w:sz w:val="18"/>
                <w:szCs w:val="18"/>
                <w:color w:val="auto"/>
              </w:rPr>
              <w:t>7.01(a)</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315(d)</w:t>
            </w:r>
          </w:p>
        </w:tc>
        <w:tc>
          <w:tcPr>
            <w:tcW w:w="132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315(e)</w:t>
            </w:r>
          </w:p>
        </w:tc>
        <w:tc>
          <w:tcPr>
            <w:tcW w:w="1320" w:type="dxa"/>
            <w:vAlign w:val="bottom"/>
          </w:tcPr>
          <w:p>
            <w:pPr>
              <w:spacing w:after="0"/>
              <w:rPr>
                <w:sz w:val="20"/>
                <w:szCs w:val="20"/>
                <w:color w:val="auto"/>
              </w:rPr>
            </w:pPr>
            <w:r>
              <w:rPr>
                <w:rFonts w:ascii="Arial" w:cs="Arial" w:eastAsia="Arial" w:hAnsi="Arial"/>
                <w:sz w:val="18"/>
                <w:szCs w:val="18"/>
                <w:color w:val="auto"/>
              </w:rPr>
              <w:t>6.07</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316(a)</w:t>
            </w:r>
          </w:p>
        </w:tc>
        <w:tc>
          <w:tcPr>
            <w:tcW w:w="1320" w:type="dxa"/>
            <w:vAlign w:val="bottom"/>
          </w:tcPr>
          <w:p>
            <w:pPr>
              <w:spacing w:after="0"/>
              <w:rPr>
                <w:sz w:val="20"/>
                <w:szCs w:val="20"/>
                <w:color w:val="auto"/>
              </w:rPr>
            </w:pPr>
            <w:r>
              <w:rPr>
                <w:rFonts w:ascii="Arial" w:cs="Arial" w:eastAsia="Arial" w:hAnsi="Arial"/>
                <w:sz w:val="18"/>
                <w:szCs w:val="18"/>
                <w:color w:val="auto"/>
              </w:rPr>
              <w:t>6.06</w:t>
            </w:r>
          </w:p>
        </w:tc>
      </w:tr>
      <w:tr>
        <w:trPr>
          <w:trHeight w:val="230"/>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8.04</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316(b)</w:t>
            </w:r>
          </w:p>
        </w:tc>
        <w:tc>
          <w:tcPr>
            <w:tcW w:w="1320" w:type="dxa"/>
            <w:vAlign w:val="bottom"/>
          </w:tcPr>
          <w:p>
            <w:pPr>
              <w:spacing w:after="0"/>
              <w:rPr>
                <w:sz w:val="20"/>
                <w:szCs w:val="20"/>
                <w:color w:val="auto"/>
              </w:rPr>
            </w:pPr>
            <w:r>
              <w:rPr>
                <w:rFonts w:ascii="Arial" w:cs="Arial" w:eastAsia="Arial" w:hAnsi="Arial"/>
                <w:sz w:val="18"/>
                <w:szCs w:val="18"/>
                <w:color w:val="auto"/>
              </w:rPr>
              <w:t>6.04</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90"/>
              </w:rPr>
              <w:t>316(c)</w:t>
            </w:r>
          </w:p>
        </w:tc>
        <w:tc>
          <w:tcPr>
            <w:tcW w:w="1320" w:type="dxa"/>
            <w:vAlign w:val="bottom"/>
          </w:tcPr>
          <w:p>
            <w:pPr>
              <w:spacing w:after="0"/>
              <w:rPr>
                <w:sz w:val="20"/>
                <w:szCs w:val="20"/>
                <w:color w:val="auto"/>
              </w:rPr>
            </w:pPr>
            <w:r>
              <w:rPr>
                <w:rFonts w:ascii="Arial" w:cs="Arial" w:eastAsia="Arial" w:hAnsi="Arial"/>
                <w:sz w:val="18"/>
                <w:szCs w:val="18"/>
                <w:color w:val="auto"/>
              </w:rPr>
              <w:t>8.01</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317(a)</w:t>
            </w:r>
          </w:p>
        </w:tc>
        <w:tc>
          <w:tcPr>
            <w:tcW w:w="1320" w:type="dxa"/>
            <w:vAlign w:val="bottom"/>
          </w:tcPr>
          <w:p>
            <w:pPr>
              <w:spacing w:after="0"/>
              <w:rPr>
                <w:sz w:val="20"/>
                <w:szCs w:val="20"/>
                <w:color w:val="auto"/>
              </w:rPr>
            </w:pPr>
            <w:r>
              <w:rPr>
                <w:rFonts w:ascii="Arial" w:cs="Arial" w:eastAsia="Arial" w:hAnsi="Arial"/>
                <w:sz w:val="18"/>
                <w:szCs w:val="18"/>
                <w:color w:val="auto"/>
              </w:rPr>
              <w:t>6.02</w:t>
            </w:r>
          </w:p>
        </w:tc>
      </w:tr>
      <w:tr>
        <w:trPr>
          <w:trHeight w:val="216"/>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317(b)</w:t>
            </w:r>
          </w:p>
        </w:tc>
        <w:tc>
          <w:tcPr>
            <w:tcW w:w="1320" w:type="dxa"/>
            <w:vAlign w:val="bottom"/>
          </w:tcPr>
          <w:p>
            <w:pPr>
              <w:spacing w:after="0"/>
              <w:rPr>
                <w:sz w:val="20"/>
                <w:szCs w:val="20"/>
                <w:color w:val="auto"/>
              </w:rPr>
            </w:pPr>
            <w:r>
              <w:rPr>
                <w:rFonts w:ascii="Arial" w:cs="Arial" w:eastAsia="Arial" w:hAnsi="Arial"/>
                <w:sz w:val="18"/>
                <w:szCs w:val="18"/>
                <w:color w:val="auto"/>
              </w:rPr>
              <w:t>4.03</w:t>
            </w:r>
          </w:p>
        </w:tc>
      </w:tr>
      <w:tr>
        <w:trPr>
          <w:trHeight w:val="230"/>
        </w:trPr>
        <w:tc>
          <w:tcPr>
            <w:tcW w:w="9720" w:type="dxa"/>
            <w:vAlign w:val="bottom"/>
            <w:gridSpan w:val="3"/>
          </w:tcPr>
          <w:p>
            <w:pPr>
              <w:jc w:val="right"/>
              <w:ind w:right="9240"/>
              <w:spacing w:after="0"/>
              <w:rPr>
                <w:sz w:val="20"/>
                <w:szCs w:val="20"/>
                <w:color w:val="auto"/>
              </w:rPr>
            </w:pPr>
            <w:r>
              <w:rPr>
                <w:rFonts w:ascii="Arial" w:cs="Arial" w:eastAsia="Arial" w:hAnsi="Arial"/>
                <w:sz w:val="18"/>
                <w:szCs w:val="18"/>
                <w:color w:val="auto"/>
                <w:w w:val="88"/>
              </w:rPr>
              <w:t>318(a)</w:t>
            </w:r>
          </w:p>
        </w:tc>
        <w:tc>
          <w:tcPr>
            <w:tcW w:w="1320" w:type="dxa"/>
            <w:vAlign w:val="bottom"/>
          </w:tcPr>
          <w:p>
            <w:pPr>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6946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440" w:right="380" w:hanging="436"/>
        <w:spacing w:after="0" w:line="277" w:lineRule="auto"/>
        <w:tabs>
          <w:tab w:leader="none" w:pos="440" w:val="left"/>
        </w:tabs>
        <w:numPr>
          <w:ilvl w:val="0"/>
          <w:numId w:val="163"/>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40"/>
          </w:cols>
          <w:pgMar w:left="440" w:top="270" w:right="4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020"/>
          </w:cols>
          <w:pgMar w:left="1440" w:top="121" w:right="4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8320" w:type="dxa"/>
            <w:vAlign w:val="bottom"/>
          </w:tcPr>
          <w:p>
            <w:pPr>
              <w:ind w:left="306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5"/>
                <w:szCs w:val="15"/>
                <w:b w:val="1"/>
                <w:bCs w:val="1"/>
                <w:color w:val="auto"/>
              </w:rPr>
              <w:t>1</w:t>
            </w:r>
          </w:p>
        </w:tc>
        <w:tc>
          <w:tcPr>
            <w:tcW w:w="1200" w:type="dxa"/>
            <w:vAlign w:val="bottom"/>
          </w:tcPr>
          <w:p>
            <w:pPr>
              <w:spacing w:after="0"/>
              <w:rPr>
                <w:sz w:val="20"/>
                <w:szCs w:val="20"/>
                <w:color w:val="auto"/>
              </w:rPr>
            </w:pPr>
          </w:p>
        </w:tc>
      </w:tr>
      <w:tr>
        <w:trPr>
          <w:trHeight w:val="459"/>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320" w:type="dxa"/>
            <w:vAlign w:val="bottom"/>
          </w:tcPr>
          <w:p>
            <w:pPr>
              <w:ind w:left="180"/>
              <w:spacing w:after="0"/>
              <w:rPr>
                <w:sz w:val="20"/>
                <w:szCs w:val="20"/>
                <w:color w:val="auto"/>
              </w:rPr>
            </w:pPr>
            <w:r>
              <w:rPr>
                <w:rFonts w:ascii="Arial" w:cs="Arial" w:eastAsia="Arial" w:hAnsi="Arial"/>
                <w:sz w:val="18"/>
                <w:szCs w:val="18"/>
                <w:color w:val="auto"/>
              </w:rPr>
              <w:t>Definitions of Terms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ISSUE, DESCRIPTION, TERMS, EXECUTION, REGISTRATION AND EXCHANGE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320" w:type="dxa"/>
            <w:vAlign w:val="bottom"/>
          </w:tcPr>
          <w:p>
            <w:pPr>
              <w:ind w:left="180"/>
              <w:spacing w:after="0"/>
              <w:rPr>
                <w:sz w:val="20"/>
                <w:szCs w:val="20"/>
                <w:color w:val="auto"/>
              </w:rPr>
            </w:pPr>
            <w:r>
              <w:rPr>
                <w:rFonts w:ascii="Arial" w:cs="Arial" w:eastAsia="Arial" w:hAnsi="Arial"/>
                <w:sz w:val="18"/>
                <w:szCs w:val="18"/>
                <w:color w:val="auto"/>
              </w:rPr>
              <w:t>Designation and Terms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320" w:type="dxa"/>
            <w:vAlign w:val="bottom"/>
          </w:tcPr>
          <w:p>
            <w:pPr>
              <w:ind w:left="180"/>
              <w:spacing w:after="0"/>
              <w:rPr>
                <w:sz w:val="20"/>
                <w:szCs w:val="20"/>
                <w:color w:val="auto"/>
              </w:rPr>
            </w:pPr>
            <w:r>
              <w:rPr>
                <w:rFonts w:ascii="Arial" w:cs="Arial" w:eastAsia="Arial" w:hAnsi="Arial"/>
                <w:sz w:val="18"/>
                <w:szCs w:val="18"/>
                <w:color w:val="auto"/>
              </w:rPr>
              <w:t>Form of Securities and Trustee’s Certificate</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320" w:type="dxa"/>
            <w:vAlign w:val="bottom"/>
          </w:tcPr>
          <w:p>
            <w:pPr>
              <w:ind w:left="180"/>
              <w:spacing w:after="0"/>
              <w:rPr>
                <w:sz w:val="20"/>
                <w:szCs w:val="20"/>
                <w:color w:val="auto"/>
              </w:rPr>
            </w:pPr>
            <w:r>
              <w:rPr>
                <w:rFonts w:ascii="Arial" w:cs="Arial" w:eastAsia="Arial" w:hAnsi="Arial"/>
                <w:sz w:val="18"/>
                <w:szCs w:val="18"/>
                <w:color w:val="auto"/>
              </w:rPr>
              <w:t>Denominations: Provisions for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320" w:type="dxa"/>
            <w:vAlign w:val="bottom"/>
          </w:tcPr>
          <w:p>
            <w:pPr>
              <w:ind w:left="180"/>
              <w:spacing w:after="0"/>
              <w:rPr>
                <w:sz w:val="20"/>
                <w:szCs w:val="20"/>
                <w:color w:val="auto"/>
              </w:rPr>
            </w:pPr>
            <w:r>
              <w:rPr>
                <w:rFonts w:ascii="Arial" w:cs="Arial" w:eastAsia="Arial" w:hAnsi="Arial"/>
                <w:sz w:val="18"/>
                <w:szCs w:val="18"/>
                <w:color w:val="auto"/>
              </w:rPr>
              <w:t>Execution and Authentications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320" w:type="dxa"/>
            <w:vAlign w:val="bottom"/>
          </w:tcPr>
          <w:p>
            <w:pPr>
              <w:ind w:left="180"/>
              <w:spacing w:after="0"/>
              <w:rPr>
                <w:sz w:val="20"/>
                <w:szCs w:val="20"/>
                <w:color w:val="auto"/>
              </w:rPr>
            </w:pPr>
            <w:r>
              <w:rPr>
                <w:rFonts w:ascii="Arial" w:cs="Arial" w:eastAsia="Arial" w:hAnsi="Arial"/>
                <w:sz w:val="18"/>
                <w:szCs w:val="18"/>
                <w:color w:val="auto"/>
              </w:rPr>
              <w:t>Registration of Transfer and Exchange</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320" w:type="dxa"/>
            <w:vAlign w:val="bottom"/>
          </w:tcPr>
          <w:p>
            <w:pPr>
              <w:ind w:left="180"/>
              <w:spacing w:after="0"/>
              <w:rPr>
                <w:sz w:val="20"/>
                <w:szCs w:val="20"/>
                <w:color w:val="auto"/>
              </w:rPr>
            </w:pPr>
            <w:r>
              <w:rPr>
                <w:rFonts w:ascii="Arial" w:cs="Arial" w:eastAsia="Arial" w:hAnsi="Arial"/>
                <w:sz w:val="18"/>
                <w:szCs w:val="18"/>
                <w:color w:val="auto"/>
              </w:rPr>
              <w:t>Temporary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8320" w:type="dxa"/>
            <w:vAlign w:val="bottom"/>
          </w:tcPr>
          <w:p>
            <w:pPr>
              <w:ind w:left="180"/>
              <w:spacing w:after="0"/>
              <w:rPr>
                <w:sz w:val="20"/>
                <w:szCs w:val="20"/>
                <w:color w:val="auto"/>
              </w:rPr>
            </w:pPr>
            <w:r>
              <w:rPr>
                <w:rFonts w:ascii="Arial" w:cs="Arial" w:eastAsia="Arial" w:hAnsi="Arial"/>
                <w:sz w:val="18"/>
                <w:szCs w:val="18"/>
                <w:color w:val="auto"/>
              </w:rPr>
              <w:t>Mutilated, Destroyed, Lost or Stolen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8320" w:type="dxa"/>
            <w:vAlign w:val="bottom"/>
          </w:tcPr>
          <w:p>
            <w:pPr>
              <w:ind w:left="180"/>
              <w:spacing w:after="0"/>
              <w:rPr>
                <w:sz w:val="20"/>
                <w:szCs w:val="20"/>
                <w:color w:val="auto"/>
              </w:rPr>
            </w:pPr>
            <w:r>
              <w:rPr>
                <w:rFonts w:ascii="Arial" w:cs="Arial" w:eastAsia="Arial" w:hAnsi="Arial"/>
                <w:sz w:val="18"/>
                <w:szCs w:val="18"/>
                <w:color w:val="auto"/>
              </w:rPr>
              <w:t>Cancellation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8320" w:type="dxa"/>
            <w:vAlign w:val="bottom"/>
          </w:tcPr>
          <w:p>
            <w:pPr>
              <w:ind w:left="180"/>
              <w:spacing w:after="0"/>
              <w:rPr>
                <w:sz w:val="20"/>
                <w:szCs w:val="20"/>
                <w:color w:val="auto"/>
              </w:rPr>
            </w:pPr>
            <w:r>
              <w:rPr>
                <w:rFonts w:ascii="Arial" w:cs="Arial" w:eastAsia="Arial" w:hAnsi="Arial"/>
                <w:sz w:val="18"/>
                <w:szCs w:val="18"/>
                <w:color w:val="auto"/>
              </w:rPr>
              <w:t>Benefits of Indenture</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320" w:type="dxa"/>
            <w:vAlign w:val="bottom"/>
          </w:tcPr>
          <w:p>
            <w:pPr>
              <w:ind w:left="180"/>
              <w:spacing w:after="0"/>
              <w:rPr>
                <w:sz w:val="20"/>
                <w:szCs w:val="20"/>
                <w:color w:val="auto"/>
              </w:rPr>
            </w:pPr>
            <w:r>
              <w:rPr>
                <w:rFonts w:ascii="Arial" w:cs="Arial" w:eastAsia="Arial" w:hAnsi="Arial"/>
                <w:sz w:val="18"/>
                <w:szCs w:val="18"/>
                <w:color w:val="auto"/>
              </w:rPr>
              <w:t>Authenticating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320" w:type="dxa"/>
            <w:vAlign w:val="bottom"/>
          </w:tcPr>
          <w:p>
            <w:pPr>
              <w:ind w:left="180"/>
              <w:spacing w:after="0"/>
              <w:rPr>
                <w:sz w:val="20"/>
                <w:szCs w:val="20"/>
                <w:color w:val="auto"/>
              </w:rPr>
            </w:pPr>
            <w:r>
              <w:rPr>
                <w:rFonts w:ascii="Arial" w:cs="Arial" w:eastAsia="Arial" w:hAnsi="Arial"/>
                <w:sz w:val="18"/>
                <w:szCs w:val="18"/>
                <w:color w:val="auto"/>
              </w:rPr>
              <w:t>Global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REDEMPTION OF SECURITIES AND SINKING FUND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3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320" w:type="dxa"/>
            <w:vAlign w:val="bottom"/>
          </w:tcPr>
          <w:p>
            <w:pPr>
              <w:ind w:left="180"/>
              <w:spacing w:after="0"/>
              <w:rPr>
                <w:sz w:val="20"/>
                <w:szCs w:val="20"/>
                <w:color w:val="auto"/>
              </w:rPr>
            </w:pPr>
            <w:r>
              <w:rPr>
                <w:rFonts w:ascii="Arial" w:cs="Arial" w:eastAsia="Arial" w:hAnsi="Arial"/>
                <w:sz w:val="18"/>
                <w:szCs w:val="18"/>
                <w:color w:val="auto"/>
              </w:rPr>
              <w:t>Notice of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320" w:type="dxa"/>
            <w:vAlign w:val="bottom"/>
          </w:tcPr>
          <w:p>
            <w:pPr>
              <w:ind w:left="180"/>
              <w:spacing w:after="0"/>
              <w:rPr>
                <w:sz w:val="20"/>
                <w:szCs w:val="20"/>
                <w:color w:val="auto"/>
              </w:rPr>
            </w:pPr>
            <w:r>
              <w:rPr>
                <w:rFonts w:ascii="Arial" w:cs="Arial" w:eastAsia="Arial" w:hAnsi="Arial"/>
                <w:sz w:val="18"/>
                <w:szCs w:val="18"/>
                <w:color w:val="auto"/>
              </w:rPr>
              <w:t>Payment Upon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320" w:type="dxa"/>
            <w:vAlign w:val="bottom"/>
          </w:tcPr>
          <w:p>
            <w:pPr>
              <w:ind w:left="180"/>
              <w:spacing w:after="0"/>
              <w:rPr>
                <w:sz w:val="20"/>
                <w:szCs w:val="20"/>
                <w:color w:val="auto"/>
              </w:rPr>
            </w:pPr>
            <w:r>
              <w:rPr>
                <w:rFonts w:ascii="Arial" w:cs="Arial" w:eastAsia="Arial" w:hAnsi="Arial"/>
                <w:sz w:val="18"/>
                <w:szCs w:val="18"/>
                <w:color w:val="auto"/>
              </w:rPr>
              <w:t>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320" w:type="dxa"/>
            <w:vAlign w:val="bottom"/>
          </w:tcPr>
          <w:p>
            <w:pPr>
              <w:ind w:left="180"/>
              <w:spacing w:after="0"/>
              <w:rPr>
                <w:sz w:val="20"/>
                <w:szCs w:val="20"/>
                <w:color w:val="auto"/>
              </w:rPr>
            </w:pPr>
            <w:r>
              <w:rPr>
                <w:rFonts w:ascii="Arial" w:cs="Arial" w:eastAsia="Arial" w:hAnsi="Arial"/>
                <w:sz w:val="18"/>
                <w:szCs w:val="18"/>
                <w:color w:val="auto"/>
              </w:rPr>
              <w:t>Satisfaction of Sinking Fund Payments with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320" w:type="dxa"/>
            <w:vAlign w:val="bottom"/>
          </w:tcPr>
          <w:p>
            <w:pPr>
              <w:ind w:left="180"/>
              <w:spacing w:after="0"/>
              <w:rPr>
                <w:sz w:val="20"/>
                <w:szCs w:val="20"/>
                <w:color w:val="auto"/>
              </w:rPr>
            </w:pPr>
            <w:r>
              <w:rPr>
                <w:rFonts w:ascii="Arial" w:cs="Arial" w:eastAsia="Arial" w:hAnsi="Arial"/>
                <w:sz w:val="18"/>
                <w:szCs w:val="18"/>
                <w:color w:val="auto"/>
              </w:rPr>
              <w:t>Redemption of Securities for 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COVENANTS</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320" w:type="dxa"/>
            <w:vAlign w:val="bottom"/>
          </w:tcPr>
          <w:p>
            <w:pPr>
              <w:ind w:left="180"/>
              <w:spacing w:after="0"/>
              <w:rPr>
                <w:sz w:val="20"/>
                <w:szCs w:val="20"/>
                <w:color w:val="auto"/>
              </w:rPr>
            </w:pPr>
            <w:r>
              <w:rPr>
                <w:rFonts w:ascii="Arial" w:cs="Arial" w:eastAsia="Arial" w:hAnsi="Arial"/>
                <w:sz w:val="18"/>
                <w:szCs w:val="18"/>
                <w:color w:val="auto"/>
              </w:rPr>
              <w:t>Payment of Principal, Premium and Interest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32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320" w:type="dxa"/>
            <w:vAlign w:val="bottom"/>
          </w:tcPr>
          <w:p>
            <w:pPr>
              <w:ind w:left="180"/>
              <w:spacing w:after="0"/>
              <w:rPr>
                <w:sz w:val="20"/>
                <w:szCs w:val="20"/>
                <w:color w:val="auto"/>
              </w:rPr>
            </w:pPr>
            <w:r>
              <w:rPr>
                <w:rFonts w:ascii="Arial" w:cs="Arial" w:eastAsia="Arial" w:hAnsi="Arial"/>
                <w:sz w:val="18"/>
                <w:szCs w:val="18"/>
                <w:color w:val="auto"/>
              </w:rPr>
              <w:t>Paying Agents</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8320" w:type="dxa"/>
            <w:vAlign w:val="bottom"/>
          </w:tcPr>
          <w:p>
            <w:pPr>
              <w:ind w:left="180"/>
              <w:spacing w:after="0"/>
              <w:rPr>
                <w:sz w:val="20"/>
                <w:szCs w:val="20"/>
                <w:color w:val="auto"/>
              </w:rPr>
            </w:pPr>
            <w:r>
              <w:rPr>
                <w:rFonts w:ascii="Arial" w:cs="Arial" w:eastAsia="Arial" w:hAnsi="Arial"/>
                <w:sz w:val="18"/>
                <w:szCs w:val="18"/>
                <w:color w:val="auto"/>
              </w:rPr>
              <w:t>Appointment to Fill Vacancy in Office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8320" w:type="dxa"/>
            <w:vAlign w:val="bottom"/>
          </w:tcPr>
          <w:p>
            <w:pPr>
              <w:ind w:left="180"/>
              <w:spacing w:after="0"/>
              <w:rPr>
                <w:sz w:val="20"/>
                <w:szCs w:val="20"/>
                <w:color w:val="auto"/>
              </w:rPr>
            </w:pPr>
            <w:r>
              <w:rPr>
                <w:rFonts w:ascii="Arial" w:cs="Arial" w:eastAsia="Arial" w:hAnsi="Arial"/>
                <w:sz w:val="18"/>
                <w:szCs w:val="18"/>
                <w:color w:val="auto"/>
              </w:rPr>
              <w:t>Compliance with Consolidation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color w:val="auto"/>
              </w:rPr>
              <w:t>SECURITYHOLDERS’ LISTS AND REPORTS BY THE COMPANY AND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320" w:type="dxa"/>
            <w:vAlign w:val="bottom"/>
          </w:tcPr>
          <w:p>
            <w:pPr>
              <w:ind w:left="18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320" w:type="dxa"/>
            <w:vAlign w:val="bottom"/>
          </w:tcPr>
          <w:p>
            <w:pPr>
              <w:ind w:left="180"/>
              <w:spacing w:after="0"/>
              <w:rPr>
                <w:sz w:val="20"/>
                <w:szCs w:val="20"/>
                <w:color w:val="auto"/>
              </w:rPr>
            </w:pPr>
            <w:r>
              <w:rPr>
                <w:rFonts w:ascii="Arial" w:cs="Arial" w:eastAsia="Arial" w:hAnsi="Arial"/>
                <w:sz w:val="18"/>
                <w:szCs w:val="18"/>
                <w:color w:val="auto"/>
              </w:rPr>
              <w:t>Preservation Of Information; Communications With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320" w:type="dxa"/>
            <w:vAlign w:val="bottom"/>
          </w:tcPr>
          <w:p>
            <w:pPr>
              <w:ind w:left="180"/>
              <w:spacing w:after="0"/>
              <w:rPr>
                <w:sz w:val="20"/>
                <w:szCs w:val="20"/>
                <w:color w:val="auto"/>
              </w:rPr>
            </w:pPr>
            <w:r>
              <w:rPr>
                <w:rFonts w:ascii="Arial" w:cs="Arial" w:eastAsia="Arial" w:hAnsi="Arial"/>
                <w:sz w:val="18"/>
                <w:szCs w:val="18"/>
                <w:color w:val="auto"/>
              </w:rPr>
              <w:t>Reports by the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320" w:type="dxa"/>
            <w:vAlign w:val="bottom"/>
          </w:tcPr>
          <w:p>
            <w:pPr>
              <w:ind w:left="180"/>
              <w:spacing w:after="0"/>
              <w:rPr>
                <w:sz w:val="20"/>
                <w:szCs w:val="20"/>
                <w:color w:val="auto"/>
              </w:rPr>
            </w:pPr>
            <w:r>
              <w:rPr>
                <w:rFonts w:ascii="Arial" w:cs="Arial" w:eastAsia="Arial" w:hAnsi="Arial"/>
                <w:sz w:val="18"/>
                <w:szCs w:val="18"/>
                <w:color w:val="auto"/>
              </w:rPr>
              <w:t>Reports by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color w:val="auto"/>
              </w:rPr>
              <w:t>REMEDIES OF THE TRUSTEE AND SECURITYHOLDERS ON EVENT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46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32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6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320" w:type="dxa"/>
            <w:vAlign w:val="bottom"/>
          </w:tcPr>
          <w:p>
            <w:pPr>
              <w:ind w:left="1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700" w:hanging="436"/>
        <w:spacing w:after="0" w:line="277" w:lineRule="auto"/>
        <w:tabs>
          <w:tab w:leader="none" w:pos="440" w:val="left"/>
        </w:tabs>
        <w:numPr>
          <w:ilvl w:val="0"/>
          <w:numId w:val="164"/>
        </w:numPr>
        <w:rPr>
          <w:rFonts w:ascii="Arial" w:cs="Arial" w:eastAsia="Arial" w:hAnsi="Arial"/>
          <w:sz w:val="15"/>
          <w:szCs w:val="15"/>
          <w:color w:val="auto"/>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080" w:type="dxa"/>
            <w:vAlign w:val="bottom"/>
          </w:tcPr>
          <w:p>
            <w:pPr>
              <w:ind w:left="140"/>
              <w:spacing w:after="0"/>
              <w:rPr>
                <w:sz w:val="20"/>
                <w:szCs w:val="20"/>
                <w:color w:val="auto"/>
              </w:rPr>
            </w:pPr>
            <w:r>
              <w:rPr>
                <w:rFonts w:ascii="Arial" w:cs="Arial" w:eastAsia="Arial" w:hAnsi="Arial"/>
                <w:sz w:val="18"/>
                <w:szCs w:val="18"/>
                <w:color w:val="auto"/>
              </w:rPr>
              <w:t>Application of Moneys Collected</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08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080" w:type="dxa"/>
            <w:vAlign w:val="bottom"/>
          </w:tcPr>
          <w:p>
            <w:pPr>
              <w:ind w:left="140"/>
              <w:spacing w:after="0"/>
              <w:rPr>
                <w:sz w:val="20"/>
                <w:szCs w:val="20"/>
                <w:color w:val="auto"/>
              </w:rPr>
            </w:pPr>
            <w:r>
              <w:rPr>
                <w:rFonts w:ascii="Arial" w:cs="Arial" w:eastAsia="Arial" w:hAnsi="Arial"/>
                <w:sz w:val="18"/>
                <w:szCs w:val="18"/>
                <w:color w:val="auto"/>
              </w:rPr>
              <w:t>Rights and Remedies Cumulative; Delay or Omission Not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080" w:type="dxa"/>
            <w:vAlign w:val="bottom"/>
          </w:tcPr>
          <w:p>
            <w:pPr>
              <w:ind w:left="140"/>
              <w:spacing w:after="0"/>
              <w:rPr>
                <w:sz w:val="20"/>
                <w:szCs w:val="20"/>
                <w:color w:val="auto"/>
              </w:rPr>
            </w:pPr>
            <w:r>
              <w:rPr>
                <w:rFonts w:ascii="Arial" w:cs="Arial" w:eastAsia="Arial" w:hAnsi="Arial"/>
                <w:sz w:val="18"/>
                <w:szCs w:val="18"/>
                <w:color w:val="auto"/>
              </w:rPr>
              <w:t>Control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080" w:type="dxa"/>
            <w:vAlign w:val="bottom"/>
          </w:tcPr>
          <w:p>
            <w:pPr>
              <w:ind w:left="140"/>
              <w:spacing w:after="0"/>
              <w:rPr>
                <w:sz w:val="20"/>
                <w:szCs w:val="20"/>
                <w:color w:val="auto"/>
              </w:rPr>
            </w:pPr>
            <w:r>
              <w:rPr>
                <w:rFonts w:ascii="Arial" w:cs="Arial" w:eastAsia="Arial" w:hAnsi="Arial"/>
                <w:sz w:val="18"/>
                <w:szCs w:val="18"/>
                <w:color w:val="auto"/>
              </w:rPr>
              <w:t>Undertaking to Pay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CONCERNING THE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080" w:type="dxa"/>
            <w:vAlign w:val="bottom"/>
          </w:tcPr>
          <w:p>
            <w:pPr>
              <w:ind w:left="140"/>
              <w:spacing w:after="0"/>
              <w:rPr>
                <w:sz w:val="20"/>
                <w:szCs w:val="20"/>
                <w:color w:val="auto"/>
              </w:rPr>
            </w:pPr>
            <w:r>
              <w:rPr>
                <w:rFonts w:ascii="Arial" w:cs="Arial" w:eastAsia="Arial" w:hAnsi="Arial"/>
                <w:sz w:val="18"/>
                <w:szCs w:val="18"/>
                <w:color w:val="auto"/>
              </w:rPr>
              <w:t>Certain Duties and Responsibilities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080" w:type="dxa"/>
            <w:vAlign w:val="bottom"/>
          </w:tcPr>
          <w:p>
            <w:pPr>
              <w:ind w:left="140"/>
              <w:spacing w:after="0"/>
              <w:rPr>
                <w:sz w:val="20"/>
                <w:szCs w:val="20"/>
                <w:color w:val="auto"/>
              </w:rPr>
            </w:pPr>
            <w:r>
              <w:rPr>
                <w:rFonts w:ascii="Arial" w:cs="Arial" w:eastAsia="Arial" w:hAnsi="Arial"/>
                <w:sz w:val="18"/>
                <w:szCs w:val="18"/>
                <w:color w:val="auto"/>
              </w:rPr>
              <w:t>Certain Rights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080" w:type="dxa"/>
            <w:vAlign w:val="bottom"/>
          </w:tcPr>
          <w:p>
            <w:pPr>
              <w:ind w:left="140"/>
              <w:spacing w:after="0"/>
              <w:rPr>
                <w:sz w:val="20"/>
                <w:szCs w:val="20"/>
                <w:color w:val="auto"/>
              </w:rPr>
            </w:pPr>
            <w:r>
              <w:rPr>
                <w:rFonts w:ascii="Arial" w:cs="Arial" w:eastAsia="Arial" w:hAnsi="Arial"/>
                <w:sz w:val="18"/>
                <w:szCs w:val="18"/>
                <w:color w:val="auto"/>
              </w:rPr>
              <w:t>Trustee Not Responsible for Recitals or Issuance or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080" w:type="dxa"/>
            <w:vAlign w:val="bottom"/>
          </w:tcPr>
          <w:p>
            <w:pPr>
              <w:ind w:left="140"/>
              <w:spacing w:after="0"/>
              <w:rPr>
                <w:sz w:val="20"/>
                <w:szCs w:val="20"/>
                <w:color w:val="auto"/>
              </w:rPr>
            </w:pPr>
            <w:r>
              <w:rPr>
                <w:rFonts w:ascii="Arial" w:cs="Arial" w:eastAsia="Arial" w:hAnsi="Arial"/>
                <w:sz w:val="18"/>
                <w:szCs w:val="18"/>
                <w:color w:val="auto"/>
              </w:rPr>
              <w:t>May Hold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080" w:type="dxa"/>
            <w:vAlign w:val="bottom"/>
          </w:tcPr>
          <w:p>
            <w:pPr>
              <w:ind w:left="140"/>
              <w:spacing w:after="0"/>
              <w:rPr>
                <w:sz w:val="20"/>
                <w:szCs w:val="20"/>
                <w:color w:val="auto"/>
              </w:rPr>
            </w:pPr>
            <w:r>
              <w:rPr>
                <w:rFonts w:ascii="Arial" w:cs="Arial" w:eastAsia="Arial" w:hAnsi="Arial"/>
                <w:sz w:val="18"/>
                <w:szCs w:val="18"/>
                <w:color w:val="auto"/>
              </w:rPr>
              <w:t>Moneys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080" w:type="dxa"/>
            <w:vAlign w:val="bottom"/>
          </w:tcPr>
          <w:p>
            <w:pPr>
              <w:ind w:left="140"/>
              <w:spacing w:after="0"/>
              <w:rPr>
                <w:sz w:val="20"/>
                <w:szCs w:val="20"/>
                <w:color w:val="auto"/>
              </w:rPr>
            </w:pPr>
            <w:r>
              <w:rPr>
                <w:rFonts w:ascii="Arial" w:cs="Arial" w:eastAsia="Arial" w:hAnsi="Arial"/>
                <w:sz w:val="18"/>
                <w:szCs w:val="18"/>
                <w:color w:val="auto"/>
              </w:rPr>
              <w:t>Compensation and Reimbursement</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080" w:type="dxa"/>
            <w:vAlign w:val="bottom"/>
          </w:tcPr>
          <w:p>
            <w:pPr>
              <w:ind w:left="140"/>
              <w:spacing w:after="0"/>
              <w:rPr>
                <w:sz w:val="20"/>
                <w:szCs w:val="20"/>
                <w:color w:val="auto"/>
              </w:rPr>
            </w:pPr>
            <w:r>
              <w:rPr>
                <w:rFonts w:ascii="Arial" w:cs="Arial" w:eastAsia="Arial" w:hAnsi="Arial"/>
                <w:sz w:val="18"/>
                <w:szCs w:val="18"/>
                <w:color w:val="auto"/>
              </w:rPr>
              <w:t>Reliance on Officer’s Certificate or Opinion of Counsel</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080" w:type="dxa"/>
            <w:vAlign w:val="bottom"/>
          </w:tcPr>
          <w:p>
            <w:pPr>
              <w:ind w:left="140"/>
              <w:spacing w:after="0"/>
              <w:rPr>
                <w:sz w:val="20"/>
                <w:szCs w:val="20"/>
                <w:color w:val="auto"/>
              </w:rPr>
            </w:pPr>
            <w:r>
              <w:rPr>
                <w:rFonts w:ascii="Arial" w:cs="Arial" w:eastAsia="Arial" w:hAnsi="Arial"/>
                <w:sz w:val="18"/>
                <w:szCs w:val="18"/>
                <w:color w:val="auto"/>
              </w:rPr>
              <w:t>Disqualification; Conflicting Interests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080" w:type="dxa"/>
            <w:vAlign w:val="bottom"/>
          </w:tcPr>
          <w:p>
            <w:pPr>
              <w:ind w:left="140"/>
              <w:spacing w:after="0"/>
              <w:rPr>
                <w:sz w:val="20"/>
                <w:szCs w:val="20"/>
                <w:color w:val="auto"/>
              </w:rPr>
            </w:pPr>
            <w:r>
              <w:rPr>
                <w:rFonts w:ascii="Arial" w:cs="Arial" w:eastAsia="Arial" w:hAnsi="Arial"/>
                <w:sz w:val="18"/>
                <w:szCs w:val="18"/>
                <w:color w:val="auto"/>
              </w:rPr>
              <w:t>Corporate Trustee Required; Eligibility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80" w:type="dxa"/>
            <w:vAlign w:val="bottom"/>
          </w:tcPr>
          <w:p>
            <w:pPr>
              <w:ind w:left="140"/>
              <w:spacing w:after="0"/>
              <w:rPr>
                <w:sz w:val="20"/>
                <w:szCs w:val="20"/>
                <w:color w:val="auto"/>
              </w:rPr>
            </w:pPr>
            <w:r>
              <w:rPr>
                <w:rFonts w:ascii="Arial" w:cs="Arial" w:eastAsia="Arial" w:hAnsi="Arial"/>
                <w:sz w:val="18"/>
                <w:szCs w:val="18"/>
                <w:color w:val="auto"/>
              </w:rPr>
              <w:t>Resignation and Removal; Appointment of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080" w:type="dxa"/>
            <w:vAlign w:val="bottom"/>
          </w:tcPr>
          <w:p>
            <w:pPr>
              <w:ind w:left="140"/>
              <w:spacing w:after="0"/>
              <w:rPr>
                <w:sz w:val="20"/>
                <w:szCs w:val="20"/>
                <w:color w:val="auto"/>
              </w:rPr>
            </w:pPr>
            <w:r>
              <w:rPr>
                <w:rFonts w:ascii="Arial" w:cs="Arial" w:eastAsia="Arial" w:hAnsi="Arial"/>
                <w:sz w:val="18"/>
                <w:szCs w:val="18"/>
                <w:color w:val="auto"/>
              </w:rPr>
              <w:t>Acceptance of Appointment By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080" w:type="dxa"/>
            <w:vAlign w:val="bottom"/>
          </w:tcPr>
          <w:p>
            <w:pPr>
              <w:ind w:left="140"/>
              <w:spacing w:after="0"/>
              <w:rPr>
                <w:sz w:val="20"/>
                <w:szCs w:val="20"/>
                <w:color w:val="auto"/>
              </w:rPr>
            </w:pPr>
            <w:r>
              <w:rPr>
                <w:rFonts w:ascii="Arial" w:cs="Arial" w:eastAsia="Arial" w:hAnsi="Arial"/>
                <w:sz w:val="18"/>
                <w:szCs w:val="18"/>
                <w:color w:val="auto"/>
              </w:rPr>
              <w:t>Merger, Conversion, Consolidation or Succession to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08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080" w:type="dxa"/>
            <w:vAlign w:val="bottom"/>
          </w:tcPr>
          <w:p>
            <w:pPr>
              <w:ind w:left="140"/>
              <w:spacing w:after="0"/>
              <w:rPr>
                <w:sz w:val="20"/>
                <w:szCs w:val="20"/>
                <w:color w:val="auto"/>
              </w:rPr>
            </w:pPr>
            <w:r>
              <w:rPr>
                <w:rFonts w:ascii="Arial" w:cs="Arial" w:eastAsia="Arial" w:hAnsi="Arial"/>
                <w:sz w:val="18"/>
                <w:szCs w:val="18"/>
                <w:color w:val="auto"/>
              </w:rPr>
              <w:t>Notice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CONCERNING THE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080" w:type="dxa"/>
            <w:vAlign w:val="bottom"/>
          </w:tcPr>
          <w:p>
            <w:pPr>
              <w:ind w:left="140"/>
              <w:spacing w:after="0"/>
              <w:rPr>
                <w:sz w:val="20"/>
                <w:szCs w:val="20"/>
                <w:color w:val="auto"/>
              </w:rPr>
            </w:pPr>
            <w:r>
              <w:rPr>
                <w:rFonts w:ascii="Arial" w:cs="Arial" w:eastAsia="Arial" w:hAnsi="Arial"/>
                <w:sz w:val="18"/>
                <w:szCs w:val="18"/>
                <w:color w:val="auto"/>
              </w:rPr>
              <w:t>Evidence of Action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080" w:type="dxa"/>
            <w:vAlign w:val="bottom"/>
          </w:tcPr>
          <w:p>
            <w:pPr>
              <w:ind w:left="140"/>
              <w:spacing w:after="0"/>
              <w:rPr>
                <w:sz w:val="20"/>
                <w:szCs w:val="20"/>
                <w:color w:val="auto"/>
              </w:rPr>
            </w:pPr>
            <w:r>
              <w:rPr>
                <w:rFonts w:ascii="Arial" w:cs="Arial" w:eastAsia="Arial" w:hAnsi="Arial"/>
                <w:sz w:val="18"/>
                <w:szCs w:val="18"/>
                <w:color w:val="auto"/>
              </w:rPr>
              <w:t>Proof of Execution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080" w:type="dxa"/>
            <w:vAlign w:val="bottom"/>
          </w:tcPr>
          <w:p>
            <w:pPr>
              <w:ind w:left="140"/>
              <w:spacing w:after="0"/>
              <w:rPr>
                <w:sz w:val="20"/>
                <w:szCs w:val="20"/>
                <w:color w:val="auto"/>
              </w:rPr>
            </w:pPr>
            <w:r>
              <w:rPr>
                <w:rFonts w:ascii="Arial" w:cs="Arial" w:eastAsia="Arial" w:hAnsi="Arial"/>
                <w:sz w:val="18"/>
                <w:szCs w:val="18"/>
                <w:color w:val="auto"/>
              </w:rPr>
              <w:t>Who May be Deemed Owners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080" w:type="dxa"/>
            <w:vAlign w:val="bottom"/>
          </w:tcPr>
          <w:p>
            <w:pPr>
              <w:ind w:left="140"/>
              <w:spacing w:after="0"/>
              <w:rPr>
                <w:sz w:val="20"/>
                <w:szCs w:val="20"/>
                <w:color w:val="auto"/>
              </w:rPr>
            </w:pPr>
            <w:r>
              <w:rPr>
                <w:rFonts w:ascii="Arial" w:cs="Arial" w:eastAsia="Arial" w:hAnsi="Arial"/>
                <w:sz w:val="18"/>
                <w:szCs w:val="18"/>
                <w:color w:val="auto"/>
              </w:rPr>
              <w:t>Certain Securities Owned by Company Disregarded</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080" w:type="dxa"/>
            <w:vAlign w:val="bottom"/>
          </w:tcPr>
          <w:p>
            <w:pPr>
              <w:ind w:left="140"/>
              <w:spacing w:after="0"/>
              <w:rPr>
                <w:sz w:val="20"/>
                <w:szCs w:val="20"/>
                <w:color w:val="auto"/>
              </w:rPr>
            </w:pPr>
            <w:r>
              <w:rPr>
                <w:rFonts w:ascii="Arial" w:cs="Arial" w:eastAsia="Arial" w:hAnsi="Arial"/>
                <w:sz w:val="18"/>
                <w:szCs w:val="18"/>
                <w:color w:val="auto"/>
              </w:rPr>
              <w:t>Actions Binding on Future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080" w:type="dxa"/>
            <w:vAlign w:val="bottom"/>
          </w:tcPr>
          <w:p>
            <w:pPr>
              <w:ind w:left="140"/>
              <w:spacing w:after="0"/>
              <w:rPr>
                <w:sz w:val="20"/>
                <w:szCs w:val="20"/>
                <w:color w:val="auto"/>
              </w:rPr>
            </w:pPr>
            <w:r>
              <w:rPr>
                <w:rFonts w:ascii="Arial" w:cs="Arial" w:eastAsia="Arial" w:hAnsi="Arial"/>
                <w:sz w:val="18"/>
                <w:szCs w:val="18"/>
                <w:color w:val="auto"/>
              </w:rPr>
              <w:t>Supplemental Indentures Without the Consent of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080" w:type="dxa"/>
            <w:vAlign w:val="bottom"/>
          </w:tcPr>
          <w:p>
            <w:pPr>
              <w:ind w:left="140"/>
              <w:spacing w:after="0"/>
              <w:rPr>
                <w:sz w:val="20"/>
                <w:szCs w:val="20"/>
                <w:color w:val="auto"/>
              </w:rPr>
            </w:pPr>
            <w:r>
              <w:rPr>
                <w:rFonts w:ascii="Arial" w:cs="Arial" w:eastAsia="Arial" w:hAnsi="Arial"/>
                <w:sz w:val="18"/>
                <w:szCs w:val="18"/>
                <w:color w:val="auto"/>
              </w:rPr>
              <w:t>Supplemental Indentures With Consent of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080" w:type="dxa"/>
            <w:vAlign w:val="bottom"/>
          </w:tcPr>
          <w:p>
            <w:pPr>
              <w:ind w:left="140"/>
              <w:spacing w:after="0"/>
              <w:rPr>
                <w:sz w:val="20"/>
                <w:szCs w:val="20"/>
                <w:color w:val="auto"/>
              </w:rPr>
            </w:pPr>
            <w:r>
              <w:rPr>
                <w:rFonts w:ascii="Arial" w:cs="Arial" w:eastAsia="Arial" w:hAnsi="Arial"/>
                <w:sz w:val="18"/>
                <w:szCs w:val="18"/>
                <w:color w:val="auto"/>
              </w:rPr>
              <w:t>Effect of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080" w:type="dxa"/>
            <w:vAlign w:val="bottom"/>
          </w:tcPr>
          <w:p>
            <w:pPr>
              <w:ind w:left="140"/>
              <w:spacing w:after="0"/>
              <w:rPr>
                <w:sz w:val="20"/>
                <w:szCs w:val="20"/>
                <w:color w:val="auto"/>
              </w:rPr>
            </w:pPr>
            <w:r>
              <w:rPr>
                <w:rFonts w:ascii="Arial" w:cs="Arial" w:eastAsia="Arial" w:hAnsi="Arial"/>
                <w:sz w:val="18"/>
                <w:szCs w:val="18"/>
                <w:color w:val="auto"/>
              </w:rPr>
              <w:t>Securities Affected by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080" w:type="dxa"/>
            <w:vAlign w:val="bottom"/>
          </w:tcPr>
          <w:p>
            <w:pPr>
              <w:ind w:left="140"/>
              <w:spacing w:after="0"/>
              <w:rPr>
                <w:sz w:val="20"/>
                <w:szCs w:val="20"/>
                <w:color w:val="auto"/>
              </w:rPr>
            </w:pPr>
            <w:r>
              <w:rPr>
                <w:rFonts w:ascii="Arial" w:cs="Arial" w:eastAsia="Arial" w:hAnsi="Arial"/>
                <w:sz w:val="18"/>
                <w:szCs w:val="18"/>
                <w:color w:val="auto"/>
              </w:rPr>
              <w:t>Execution of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SUCCESSOR ENTITY</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080" w:type="dxa"/>
            <w:vAlign w:val="bottom"/>
          </w:tcPr>
          <w:p>
            <w:pPr>
              <w:ind w:left="140"/>
              <w:spacing w:after="0"/>
              <w:rPr>
                <w:sz w:val="20"/>
                <w:szCs w:val="20"/>
                <w:color w:val="auto"/>
              </w:rPr>
            </w:pPr>
            <w:r>
              <w:rPr>
                <w:rFonts w:ascii="Arial" w:cs="Arial" w:eastAsia="Arial" w:hAnsi="Arial"/>
                <w:sz w:val="18"/>
                <w:szCs w:val="18"/>
                <w:color w:val="auto"/>
              </w:rPr>
              <w:t>Company May Consolidate, Etc</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080" w:type="dxa"/>
            <w:vAlign w:val="bottom"/>
          </w:tcPr>
          <w:p>
            <w:pPr>
              <w:ind w:left="140"/>
              <w:spacing w:after="0"/>
              <w:rPr>
                <w:sz w:val="20"/>
                <w:szCs w:val="20"/>
                <w:color w:val="auto"/>
              </w:rPr>
            </w:pPr>
            <w:r>
              <w:rPr>
                <w:rFonts w:ascii="Arial" w:cs="Arial" w:eastAsia="Arial" w:hAnsi="Arial"/>
                <w:sz w:val="18"/>
                <w:szCs w:val="18"/>
                <w:color w:val="auto"/>
              </w:rPr>
              <w:t>Successor Entity Substituted</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SATISFACTION AND DISCHARGE</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08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080" w:type="dxa"/>
            <w:vAlign w:val="bottom"/>
          </w:tcPr>
          <w:p>
            <w:pPr>
              <w:ind w:left="140"/>
              <w:spacing w:after="0"/>
              <w:rPr>
                <w:sz w:val="20"/>
                <w:szCs w:val="20"/>
                <w:color w:val="auto"/>
              </w:rPr>
            </w:pPr>
            <w:r>
              <w:rPr>
                <w:rFonts w:ascii="Arial" w:cs="Arial" w:eastAsia="Arial" w:hAnsi="Arial"/>
                <w:sz w:val="18"/>
                <w:szCs w:val="18"/>
                <w:color w:val="auto"/>
              </w:rPr>
              <w:t>Discharge of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080" w:type="dxa"/>
            <w:vAlign w:val="bottom"/>
          </w:tcPr>
          <w:p>
            <w:pPr>
              <w:ind w:left="140"/>
              <w:spacing w:after="0"/>
              <w:rPr>
                <w:sz w:val="20"/>
                <w:szCs w:val="20"/>
                <w:color w:val="auto"/>
              </w:rPr>
            </w:pPr>
            <w:r>
              <w:rPr>
                <w:rFonts w:ascii="Arial" w:cs="Arial" w:eastAsia="Arial" w:hAnsi="Arial"/>
                <w:sz w:val="18"/>
                <w:szCs w:val="18"/>
                <w:color w:val="auto"/>
              </w:rPr>
              <w:t>Deposited Moneys to be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080" w:type="dxa"/>
            <w:vAlign w:val="bottom"/>
          </w:tcPr>
          <w:p>
            <w:pPr>
              <w:ind w:left="140"/>
              <w:spacing w:after="0"/>
              <w:rPr>
                <w:sz w:val="20"/>
                <w:szCs w:val="20"/>
                <w:color w:val="auto"/>
              </w:rPr>
            </w:pPr>
            <w:r>
              <w:rPr>
                <w:rFonts w:ascii="Arial" w:cs="Arial" w:eastAsia="Arial" w:hAnsi="Arial"/>
                <w:sz w:val="18"/>
                <w:szCs w:val="18"/>
                <w:color w:val="auto"/>
              </w:rPr>
              <w:t>Payment of Moneys Held by Paying Agents</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080" w:type="dxa"/>
            <w:vAlign w:val="bottom"/>
          </w:tcPr>
          <w:p>
            <w:pPr>
              <w:ind w:left="140"/>
              <w:spacing w:after="0"/>
              <w:rPr>
                <w:sz w:val="20"/>
                <w:szCs w:val="20"/>
                <w:color w:val="auto"/>
              </w:rPr>
            </w:pPr>
            <w:r>
              <w:rPr>
                <w:rFonts w:ascii="Arial" w:cs="Arial" w:eastAsia="Arial" w:hAnsi="Arial"/>
                <w:sz w:val="18"/>
                <w:szCs w:val="18"/>
                <w:color w:val="auto"/>
              </w:rPr>
              <w:t>Repayment to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12 </w:t>
            </w:r>
            <w:r>
              <w:rPr>
                <w:rFonts w:ascii="Arial" w:cs="Arial" w:eastAsia="Arial" w:hAnsi="Arial"/>
                <w:sz w:val="18"/>
                <w:szCs w:val="18"/>
                <w:color w:val="auto"/>
              </w:rPr>
              <w:t>IMMUNITY OF INCORPORATORS, STOCKHOLDERS, OFFICERS AND DIRECTORS</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720" w:type="dxa"/>
            <w:vAlign w:val="bottom"/>
          </w:tcPr>
          <w:p>
            <w:pPr>
              <w:ind w:left="140"/>
              <w:spacing w:after="0"/>
              <w:rPr>
                <w:sz w:val="20"/>
                <w:szCs w:val="20"/>
                <w:color w:val="auto"/>
              </w:rPr>
            </w:pPr>
            <w:r>
              <w:rPr>
                <w:rFonts w:ascii="Arial" w:cs="Arial" w:eastAsia="Arial" w:hAnsi="Arial"/>
                <w:sz w:val="18"/>
                <w:szCs w:val="18"/>
                <w:color w:val="auto"/>
              </w:rPr>
              <w:t>No Recourse</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13.01   Effect on 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13.02   Actions by Successor</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13.03   Surrender of Company Powers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7720" w:type="dxa"/>
            <w:vAlign w:val="bottom"/>
          </w:tcPr>
          <w:p>
            <w:pPr>
              <w:ind w:left="14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13.05   Governing Law; Jury Trial Waiver</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13.06   Treatment of Securities as Debt</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13.07   Certificates and Opinions as to Conditions Precedent</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13.08   Payments on Business Days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13.09   Conflict with Trust Indenture Act</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13.10</w:t>
            </w:r>
          </w:p>
        </w:tc>
        <w:tc>
          <w:tcPr>
            <w:tcW w:w="77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13.11</w:t>
            </w:r>
          </w:p>
        </w:tc>
        <w:tc>
          <w:tcPr>
            <w:tcW w:w="7720" w:type="dxa"/>
            <w:vAlign w:val="bottom"/>
          </w:tcPr>
          <w:p>
            <w:pPr>
              <w:ind w:left="140"/>
              <w:spacing w:after="0"/>
              <w:rPr>
                <w:sz w:val="20"/>
                <w:szCs w:val="20"/>
                <w:color w:val="auto"/>
              </w:rPr>
            </w:pPr>
            <w:r>
              <w:rPr>
                <w:rFonts w:ascii="Arial" w:cs="Arial" w:eastAsia="Arial" w:hAnsi="Arial"/>
                <w:sz w:val="18"/>
                <w:szCs w:val="18"/>
                <w:color w:val="auto"/>
              </w:rPr>
              <w:t>Separability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13.12</w:t>
            </w:r>
          </w:p>
        </w:tc>
        <w:tc>
          <w:tcPr>
            <w:tcW w:w="7720" w:type="dxa"/>
            <w:vAlign w:val="bottom"/>
          </w:tcPr>
          <w:p>
            <w:pPr>
              <w:ind w:left="140"/>
              <w:spacing w:after="0"/>
              <w:rPr>
                <w:sz w:val="20"/>
                <w:szCs w:val="20"/>
                <w:color w:val="auto"/>
              </w:rPr>
            </w:pPr>
            <w:r>
              <w:rPr>
                <w:rFonts w:ascii="Arial" w:cs="Arial" w:eastAsia="Arial" w:hAnsi="Arial"/>
                <w:sz w:val="18"/>
                <w:szCs w:val="18"/>
                <w:color w:val="auto"/>
              </w:rPr>
              <w:t>Compliance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Section 13.13   USA PATRIOT ACT</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13.14</w:t>
            </w:r>
          </w:p>
        </w:tc>
        <w:tc>
          <w:tcPr>
            <w:tcW w:w="7720" w:type="dxa"/>
            <w:vAlign w:val="bottom"/>
          </w:tcPr>
          <w:p>
            <w:pPr>
              <w:ind w:left="140"/>
              <w:spacing w:after="0"/>
              <w:rPr>
                <w:sz w:val="20"/>
                <w:szCs w:val="20"/>
                <w:color w:val="auto"/>
              </w:rPr>
            </w:pPr>
            <w:r>
              <w:rPr>
                <w:rFonts w:ascii="Arial" w:cs="Arial" w:eastAsia="Arial" w:hAnsi="Arial"/>
                <w:sz w:val="18"/>
                <w:szCs w:val="18"/>
                <w:color w:val="auto"/>
              </w:rPr>
              <w:t>Calculations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TRUST INDENTURE ACT CROSS-REFERENCE TABLE</w:t>
            </w:r>
          </w:p>
        </w:tc>
        <w:tc>
          <w:tcPr>
            <w:tcW w:w="176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0" w:right="479" w:bottom="1440" w:gutter="0" w:footer="0" w:header="0"/>
        </w:sectPr>
      </w:pPr>
    </w:p>
    <w:bookmarkStart w:id="170" w:name="page171"/>
    <w:bookmarkEnd w:id="17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 among</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2" w:lineRule="exact"/>
        <w:rPr>
          <w:sz w:val="20"/>
          <w:szCs w:val="20"/>
          <w:color w:val="auto"/>
        </w:rPr>
      </w:pPr>
    </w:p>
    <w:p>
      <w:pPr>
        <w:jc w:val="both"/>
        <w:ind w:right="20" w:firstLine="44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subordinated debt securities (hereinafter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things necessary to make this Indenture a valid and binding agreement of the Company, in accordance with its terms, have been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07"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4"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xml:space="preserve">” means an authenticating agent with respect to all or any of the series of Securities appointed by the Trustee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ectPr>
          <w:pgSz w:w="11900" w:h="16838" w:orient="portrait"/>
          <w:cols w:equalWidth="0" w:num="1">
            <w:col w:w="10960"/>
          </w:cols>
          <w:pgMar w:left="440" w:top="270" w:right="499" w:bottom="1440" w:gutter="0" w:footer="0" w:header="0"/>
        </w:sectPr>
      </w:pPr>
    </w:p>
    <w:bookmarkStart w:id="171" w:name="page172"/>
    <w:bookmarkEnd w:id="171"/>
    <w:p>
      <w:pPr>
        <w:ind w:right="10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8" w:lineRule="exact"/>
        <w:rPr>
          <w:sz w:val="20"/>
          <w:szCs w:val="20"/>
          <w:color w:val="auto"/>
        </w:rPr>
      </w:pPr>
    </w:p>
    <w:p>
      <w:pPr>
        <w:ind w:right="4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1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AVROBIO, Inc., a corporation duly organized and existing under the laws of the State of Delaware, and, subject to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shall also include its successors and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 Officer of the Company, and delivered to the Trustee.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at any particular time, its corporate trust business shall be administered, which office at the date hereof is located at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w:t>
      </w:r>
      <w:r>
        <w:rPr>
          <w:rFonts w:ascii="Arial" w:cs="Arial" w:eastAsia="Arial" w:hAnsi="Arial"/>
          <w:sz w:val="16"/>
          <w:szCs w:val="16"/>
          <w:color w:val="auto"/>
        </w:rPr>
        <w:t>.</w:t>
      </w:r>
    </w:p>
    <w:p>
      <w:pPr>
        <w:spacing w:after="0" w:line="14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with respect to Securities of a particular series, any event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 continued for the period of time, if any, therein designated.</w:t>
      </w:r>
    </w:p>
    <w:p>
      <w:pPr>
        <w:spacing w:after="0" w:line="162"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72" w:name="page173"/>
    <w:bookmarkEnd w:id="172"/>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Governmenta</w:t>
      </w:r>
      <w:r>
        <w:rPr>
          <w:rFonts w:ascii="Arial" w:cs="Arial" w:eastAsia="Arial" w:hAnsi="Arial"/>
          <w:sz w:val="17"/>
          <w:szCs w:val="17"/>
          <w:color w:val="auto"/>
        </w:rPr>
        <w:t xml:space="preserve">l </w:t>
      </w:r>
      <w:r>
        <w:rPr>
          <w:rFonts w:ascii="Arial" w:cs="Arial" w:eastAsia="Arial" w:hAnsi="Arial"/>
          <w:sz w:val="17"/>
          <w:szCs w:val="17"/>
          <w:b w:val="1"/>
          <w:bCs w:val="1"/>
          <w:color w:val="auto"/>
        </w:rPr>
        <w:t>Obligations</w:t>
      </w:r>
      <w:r>
        <w:rPr>
          <w:rFonts w:ascii="Arial" w:cs="Arial" w:eastAsia="Arial" w:hAnsi="Arial"/>
          <w:sz w:val="17"/>
          <w:szCs w:val="17"/>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receipt from any amount received by the custodian in respect of the Governmental Obligation or the specific payment of principal of or interest on the Governmental Obligation evidenced by such depositary receipt.</w:t>
      </w:r>
    </w:p>
    <w:p>
      <w:pPr>
        <w:spacing w:after="0" w:line="174"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6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6"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signed by any Officer. Each such certificate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62"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76"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when used with reference to Securities of any series, means, subject to the provisions of </w:t>
      </w:r>
      <w:r>
        <w:rPr>
          <w:rFonts w:ascii="Arial" w:cs="Arial" w:eastAsia="Arial" w:hAnsi="Arial"/>
          <w:sz w:val="18"/>
          <w:szCs w:val="18"/>
          <w:u w:val="single" w:color="auto"/>
          <w:color w:val="auto"/>
        </w:rPr>
        <w:t>Section 8.04</w:t>
      </w:r>
      <w:r>
        <w:rPr>
          <w:rFonts w:ascii="Arial" w:cs="Arial" w:eastAsia="Arial" w:hAnsi="Arial"/>
          <w:sz w:val="18"/>
          <w:szCs w:val="18"/>
          <w:color w:val="auto"/>
        </w:rPr>
        <w:t>, as of any particular time, all Securities of that series theretofore authenticated and delivered by the Trustee under this Indenture, except (a) Securities theretofore canceled by the Trustee or any paying agent, or delivered to the Trustee or any paying agent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73" w:name="page174"/>
    <w:bookmarkEnd w:id="17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Securities or portions of such Securities are to be redeemed prior to the maturity thereof, notice of such redemption shall have been given as provided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174" w:lineRule="exact"/>
        <w:rPr>
          <w:sz w:val="20"/>
          <w:szCs w:val="20"/>
          <w:color w:val="auto"/>
        </w:rPr>
      </w:pPr>
    </w:p>
    <w:p>
      <w:pPr>
        <w:jc w:val="center"/>
        <w:ind w:right="2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16" w:lineRule="exact"/>
        <w:rPr>
          <w:sz w:val="20"/>
          <w:szCs w:val="20"/>
          <w:color w:val="auto"/>
        </w:rPr>
      </w:pPr>
    </w:p>
    <w:p>
      <w:pPr>
        <w:ind w:right="2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Security</w:t>
      </w:r>
      <w:r>
        <w:rPr>
          <w:rFonts w:ascii="Arial" w:cs="Arial" w:eastAsia="Arial" w:hAnsi="Arial"/>
          <w:sz w:val="17"/>
          <w:szCs w:val="17"/>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in lieu of a lost, destroyed or stolen Security shall be deemed to evidence the same debt as the lost, destroyed or stolen Security.</w:t>
      </w:r>
    </w:p>
    <w:p>
      <w:pPr>
        <w:spacing w:after="0" w:line="158" w:lineRule="exact"/>
        <w:rPr>
          <w:sz w:val="20"/>
          <w:szCs w:val="20"/>
          <w:color w:val="auto"/>
        </w:rPr>
      </w:pPr>
    </w:p>
    <w:p>
      <w:pPr>
        <w:ind w:right="1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8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62" w:lineRule="exact"/>
        <w:rPr>
          <w:sz w:val="20"/>
          <w:szCs w:val="20"/>
          <w:color w:val="auto"/>
        </w:rPr>
      </w:pPr>
    </w:p>
    <w:p>
      <w:pPr>
        <w:ind w:right="5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Securityholder</w:t>
      </w:r>
      <w:r>
        <w:rPr>
          <w:rFonts w:ascii="Arial" w:cs="Arial" w:eastAsia="Arial" w:hAnsi="Arial"/>
          <w:sz w:val="17"/>
          <w:szCs w:val="17"/>
          <w:color w:val="auto"/>
        </w:rPr>
        <w:t>”, “</w:t>
      </w:r>
      <w:r>
        <w:rPr>
          <w:rFonts w:ascii="Arial" w:cs="Arial" w:eastAsia="Arial" w:hAnsi="Arial"/>
          <w:sz w:val="17"/>
          <w:szCs w:val="17"/>
          <w:b w:val="1"/>
          <w:bCs w:val="1"/>
          <w:color w:val="auto"/>
        </w:rPr>
        <w:t>holder</w:t>
      </w:r>
      <w:r>
        <w:rPr>
          <w:rFonts w:ascii="Arial" w:cs="Arial" w:eastAsia="Arial" w:hAnsi="Arial"/>
          <w:sz w:val="17"/>
          <w:szCs w:val="17"/>
          <w:color w:val="auto"/>
        </w:rPr>
        <w:t>”, “</w:t>
      </w:r>
      <w:r>
        <w:rPr>
          <w:rFonts w:ascii="Arial" w:cs="Arial" w:eastAsia="Arial" w:hAnsi="Arial"/>
          <w:sz w:val="17"/>
          <w:szCs w:val="17"/>
          <w:b w:val="1"/>
          <w:b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xml:space="preserve">” shall have the meanings as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121" w:lineRule="exact"/>
        <w:rPr>
          <w:sz w:val="20"/>
          <w:szCs w:val="20"/>
          <w:color w:val="auto"/>
        </w:rPr>
      </w:pPr>
    </w:p>
    <w:p>
      <w:pPr>
        <w:ind w:left="440" w:right="180" w:firstLine="428"/>
        <w:spacing w:after="0" w:line="264" w:lineRule="auto"/>
        <w:tabs>
          <w:tab w:leader="none" w:pos="11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any corporation or company a majority of whose capital stock with voting power, under ordinary circumstances, to elect directors is, at the date of determination, directly or indirectly, owned by such Person (a </w:t>
      </w:r>
      <w:r>
        <w:rPr>
          <w:rFonts w:ascii="Arial" w:cs="Arial" w:eastAsia="Arial" w:hAnsi="Arial"/>
          <w:sz w:val="18"/>
          <w:szCs w:val="18"/>
          <w:b w:val="1"/>
          <w:bCs w:val="1"/>
          <w:color w:val="auto"/>
        </w:rPr>
        <w:t>“subsidiary</w:t>
      </w:r>
      <w:r>
        <w:rPr>
          <w:rFonts w:ascii="Arial" w:cs="Arial" w:eastAsia="Arial" w:hAnsi="Arial"/>
          <w:sz w:val="18"/>
          <w:szCs w:val="18"/>
          <w:color w:val="auto"/>
        </w:rPr>
        <w:t>”), by one or more subsidiaries of such Person or by such Person and one or more subsidiaries of such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74" w:name="page175"/>
    <w:bookmarkEnd w:id="174"/>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a partnership in which such Person or a subsidiary of such Person is, at the date of determination, a general partner of such partnership;</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440" w:right="140" w:firstLine="428"/>
        <w:spacing w:after="0" w:line="259" w:lineRule="auto"/>
        <w:tabs>
          <w:tab w:leader="none" w:pos="11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xml:space="preserve">” means , and, 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 and in effect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ISSUE, DESCRIPTION, TERMS, EXECUTION, REGISTRATION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EXCHANGE OF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140" w:firstLine="885"/>
        <w:spacing w:after="0" w:line="302" w:lineRule="auto"/>
        <w:tabs>
          <w:tab w:leader="none" w:pos="112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6" w:lineRule="exact"/>
        <w:rPr>
          <w:rFonts w:ascii="Arial" w:cs="Arial" w:eastAsia="Arial" w:hAnsi="Arial"/>
          <w:sz w:val="16"/>
          <w:szCs w:val="16"/>
          <w:color w:val="auto"/>
        </w:rPr>
      </w:pPr>
    </w:p>
    <w:p>
      <w:pPr>
        <w:ind w:left="1540" w:hanging="249"/>
        <w:spacing w:after="0"/>
        <w:tabs>
          <w:tab w:leader="none" w:pos="1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ind w:left="440" w:right="80" w:firstLine="851"/>
        <w:spacing w:after="0" w:line="264" w:lineRule="auto"/>
        <w:tabs>
          <w:tab w:leader="none" w:pos="154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73" w:lineRule="exact"/>
        <w:rPr>
          <w:rFonts w:ascii="Arial" w:cs="Arial" w:eastAsia="Arial" w:hAnsi="Arial"/>
          <w:sz w:val="18"/>
          <w:szCs w:val="18"/>
          <w:color w:val="auto"/>
        </w:rPr>
      </w:pPr>
    </w:p>
    <w:p>
      <w:pPr>
        <w:ind w:left="1540" w:hanging="249"/>
        <w:spacing w:after="0"/>
        <w:tabs>
          <w:tab w:leader="none" w:pos="15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440" w:firstLine="851"/>
        <w:spacing w:after="0" w:line="259" w:lineRule="auto"/>
        <w:tabs>
          <w:tab w:leader="none" w:pos="154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75" w:name="page176"/>
    <w:bookmarkEnd w:id="175"/>
    <w:p>
      <w:pPr>
        <w:ind w:left="1100" w:hanging="249"/>
        <w:spacing w:after="0"/>
        <w:tabs>
          <w:tab w:leader="none" w:pos="11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rate or rates at which the Securities of the series shall bear interest or the manner of calculation of such rate or rates, if any;</w:t>
      </w:r>
    </w:p>
    <w:p>
      <w:pPr>
        <w:spacing w:after="0" w:line="140" w:lineRule="exact"/>
        <w:rPr>
          <w:rFonts w:ascii="Arial" w:cs="Arial" w:eastAsia="Arial" w:hAnsi="Arial"/>
          <w:sz w:val="16"/>
          <w:szCs w:val="16"/>
          <w:color w:val="auto"/>
        </w:rPr>
      </w:pPr>
    </w:p>
    <w:p>
      <w:pPr>
        <w:jc w:val="both"/>
        <w:ind w:right="200" w:firstLine="851"/>
        <w:spacing w:after="0" w:line="286" w:lineRule="auto"/>
        <w:tabs>
          <w:tab w:leader="none" w:pos="11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57" w:lineRule="exact"/>
        <w:rPr>
          <w:rFonts w:ascii="Arial" w:cs="Arial" w:eastAsia="Arial" w:hAnsi="Arial"/>
          <w:sz w:val="17"/>
          <w:szCs w:val="17"/>
          <w:color w:val="auto"/>
        </w:rPr>
      </w:pPr>
    </w:p>
    <w:p>
      <w:pPr>
        <w:ind w:left="1100" w:hanging="249"/>
        <w:spacing w:after="0"/>
        <w:tabs>
          <w:tab w:leader="none" w:pos="11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right="240" w:firstLine="851"/>
        <w:spacing w:after="0" w:line="277" w:lineRule="auto"/>
        <w:tabs>
          <w:tab w:leader="none" w:pos="110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62" w:lineRule="exact"/>
        <w:rPr>
          <w:rFonts w:ascii="Arial" w:cs="Arial" w:eastAsia="Arial" w:hAnsi="Arial"/>
          <w:sz w:val="18"/>
          <w:szCs w:val="18"/>
          <w:color w:val="auto"/>
        </w:rPr>
      </w:pPr>
    </w:p>
    <w:p>
      <w:pPr>
        <w:jc w:val="both"/>
        <w:ind w:right="340" w:firstLine="851"/>
        <w:spacing w:after="0" w:line="279" w:lineRule="auto"/>
        <w:tabs>
          <w:tab w:leader="none" w:pos="11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3" w:lineRule="exact"/>
        <w:rPr>
          <w:rFonts w:ascii="Arial" w:cs="Arial" w:eastAsia="Arial" w:hAnsi="Arial"/>
          <w:sz w:val="17"/>
          <w:szCs w:val="17"/>
          <w:color w:val="auto"/>
        </w:rPr>
      </w:pPr>
    </w:p>
    <w:p>
      <w:pPr>
        <w:ind w:left="1200" w:hanging="349"/>
        <w:spacing w:after="0"/>
        <w:tabs>
          <w:tab w:leader="none" w:pos="12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right="520" w:firstLine="851"/>
        <w:spacing w:after="0" w:line="277" w:lineRule="auto"/>
        <w:tabs>
          <w:tab w:leader="none" w:pos="118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other than minimum denominations of one thousand U.S. dollars ($1,000) or any integral multiple of $1,000 thereof, the denominations in which the Securities of the series shall be issuable;</w:t>
      </w:r>
    </w:p>
    <w:p>
      <w:pPr>
        <w:spacing w:after="0" w:line="62" w:lineRule="exact"/>
        <w:rPr>
          <w:rFonts w:ascii="Arial" w:cs="Arial" w:eastAsia="Arial" w:hAnsi="Arial"/>
          <w:sz w:val="18"/>
          <w:szCs w:val="18"/>
          <w:color w:val="auto"/>
        </w:rPr>
      </w:pPr>
    </w:p>
    <w:p>
      <w:pPr>
        <w:ind w:right="160" w:firstLine="851"/>
        <w:spacing w:after="0" w:line="279" w:lineRule="auto"/>
        <w:tabs>
          <w:tab w:leader="none" w:pos="119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63" w:lineRule="exact"/>
        <w:rPr>
          <w:rFonts w:ascii="Arial" w:cs="Arial" w:eastAsia="Arial" w:hAnsi="Arial"/>
          <w:sz w:val="17"/>
          <w:szCs w:val="17"/>
          <w:color w:val="auto"/>
        </w:rPr>
      </w:pPr>
    </w:p>
    <w:p>
      <w:pPr>
        <w:ind w:firstLine="851"/>
        <w:spacing w:after="0" w:line="264" w:lineRule="auto"/>
        <w:tabs>
          <w:tab w:leader="none" w:pos="119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176" w:name="page177"/>
    <w:bookmarkEnd w:id="176"/>
    <w:p>
      <w:pPr>
        <w:ind w:right="100" w:firstLine="851"/>
        <w:spacing w:after="0" w:line="302" w:lineRule="auto"/>
        <w:tabs>
          <w:tab w:leader="none" w:pos="1191"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46" w:lineRule="exact"/>
        <w:rPr>
          <w:rFonts w:ascii="Arial" w:cs="Arial" w:eastAsia="Arial" w:hAnsi="Arial"/>
          <w:sz w:val="16"/>
          <w:szCs w:val="16"/>
          <w:color w:val="auto"/>
        </w:rPr>
      </w:pPr>
    </w:p>
    <w:p>
      <w:pPr>
        <w:ind w:right="560" w:firstLine="851"/>
        <w:spacing w:after="0" w:line="277" w:lineRule="auto"/>
        <w:tabs>
          <w:tab w:leader="none" w:pos="119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00" w:hanging="349"/>
        <w:spacing w:after="0"/>
        <w:tabs>
          <w:tab w:leader="none" w:pos="12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117" w:lineRule="exact"/>
        <w:rPr>
          <w:rFonts w:ascii="Arial" w:cs="Arial" w:eastAsia="Arial" w:hAnsi="Arial"/>
          <w:sz w:val="18"/>
          <w:szCs w:val="18"/>
          <w:color w:val="auto"/>
        </w:rPr>
      </w:pPr>
    </w:p>
    <w:p>
      <w:pPr>
        <w:ind w:right="160" w:firstLine="851"/>
        <w:spacing w:after="0" w:line="271" w:lineRule="auto"/>
        <w:tabs>
          <w:tab w:leader="none" w:pos="119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70" w:lineRule="exact"/>
        <w:rPr>
          <w:rFonts w:ascii="Arial" w:cs="Arial" w:eastAsia="Arial" w:hAnsi="Arial"/>
          <w:sz w:val="17"/>
          <w:szCs w:val="17"/>
          <w:color w:val="auto"/>
        </w:rPr>
      </w:pPr>
    </w:p>
    <w:p>
      <w:pPr>
        <w:ind w:right="180" w:firstLine="851"/>
        <w:spacing w:after="0" w:line="312" w:lineRule="auto"/>
        <w:tabs>
          <w:tab w:leader="none" w:pos="119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38" w:lineRule="exact"/>
        <w:rPr>
          <w:rFonts w:ascii="Arial" w:cs="Arial" w:eastAsia="Arial" w:hAnsi="Arial"/>
          <w:sz w:val="16"/>
          <w:szCs w:val="16"/>
          <w:color w:val="auto"/>
        </w:rPr>
      </w:pPr>
    </w:p>
    <w:p>
      <w:pPr>
        <w:ind w:right="80" w:firstLine="851"/>
        <w:spacing w:after="0" w:line="264" w:lineRule="auto"/>
        <w:tabs>
          <w:tab w:leader="none" w:pos="119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73" w:lineRule="exact"/>
        <w:rPr>
          <w:rFonts w:ascii="Arial" w:cs="Arial" w:eastAsia="Arial" w:hAnsi="Arial"/>
          <w:sz w:val="18"/>
          <w:szCs w:val="18"/>
          <w:color w:val="auto"/>
        </w:rPr>
      </w:pPr>
    </w:p>
    <w:p>
      <w:pPr>
        <w:ind w:firstLine="851"/>
        <w:spacing w:after="0" w:line="277" w:lineRule="auto"/>
        <w:tabs>
          <w:tab w:leader="none" w:pos="119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62" w:lineRule="exact"/>
        <w:rPr>
          <w:rFonts w:ascii="Arial" w:cs="Arial" w:eastAsia="Arial" w:hAnsi="Arial"/>
          <w:sz w:val="18"/>
          <w:szCs w:val="18"/>
          <w:color w:val="auto"/>
        </w:rPr>
      </w:pPr>
    </w:p>
    <w:p>
      <w:pPr>
        <w:ind w:right="280" w:firstLine="851"/>
        <w:spacing w:after="0" w:line="342" w:lineRule="auto"/>
        <w:tabs>
          <w:tab w:leader="none" w:pos="119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77" w:name="page178"/>
    <w:bookmarkEnd w:id="177"/>
    <w:p>
      <w:pPr>
        <w:ind w:left="1640" w:hanging="349"/>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or alternative provisions, if any, related to defeasance and discharge of the offered Securities;</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Arial" w:cs="Arial" w:eastAsia="Arial" w:hAnsi="Arial"/>
          <w:sz w:val="16"/>
          <w:szCs w:val="16"/>
          <w:u w:val="single" w:color="auto"/>
          <w:color w:val="auto"/>
        </w:rPr>
        <w:t>Section 2.01(a)(18)</w:t>
      </w:r>
      <w:r>
        <w:rPr>
          <w:rFonts w:ascii="Arial" w:cs="Arial" w:eastAsia="Arial" w:hAnsi="Arial"/>
          <w:sz w:val="16"/>
          <w:szCs w:val="16"/>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78" w:name="page179"/>
    <w:bookmarkEnd w:id="178"/>
    <w:p>
      <w:pPr>
        <w:ind w:right="2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173"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9" w:lineRule="exact"/>
        <w:rPr>
          <w:sz w:val="20"/>
          <w:szCs w:val="20"/>
          <w:color w:val="auto"/>
        </w:rPr>
      </w:pPr>
    </w:p>
    <w:p>
      <w:pPr>
        <w:ind w:left="440" w:firstLine="851"/>
        <w:spacing w:after="0" w:line="286" w:lineRule="auto"/>
        <w:tabs>
          <w:tab w:leader="none" w:pos="154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279" w:lineRule="exact"/>
        <w:rPr>
          <w:rFonts w:ascii="Arial" w:cs="Arial" w:eastAsia="Arial" w:hAnsi="Arial"/>
          <w:sz w:val="16"/>
          <w:szCs w:val="16"/>
          <w:color w:val="auto"/>
        </w:rPr>
      </w:pPr>
    </w:p>
    <w:p>
      <w:pPr>
        <w:ind w:left="440" w:right="60" w:firstLine="851"/>
        <w:spacing w:after="0" w:line="259" w:lineRule="auto"/>
        <w:tabs>
          <w:tab w:leader="none" w:pos="154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79" w:name="page180"/>
    <w:bookmarkEnd w:id="179"/>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otherwise set forth in a Board Resolution or one or more indentures supplemental hereto establishing the terms of any series of Securities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first day of a month, or (ii) the first day of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fifteenth day of a month, whether or not such date is a Business Day.</w:t>
      </w:r>
    </w:p>
    <w:p>
      <w:pPr>
        <w:spacing w:after="0" w:line="193" w:lineRule="exact"/>
        <w:rPr>
          <w:sz w:val="20"/>
          <w:szCs w:val="20"/>
          <w:color w:val="auto"/>
        </w:rPr>
      </w:pPr>
    </w:p>
    <w:p>
      <w:pPr>
        <w:jc w:val="both"/>
        <w:ind w:right="100" w:firstLine="441"/>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5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In authenticating such Securities and accepting the additional responsibilities under this Indenture in relation to such Securities, the Trustee shall receive, and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80" w:name="page181"/>
    <w:bookmarkEnd w:id="180"/>
    <w:p>
      <w:pPr>
        <w:ind w:right="18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97" w:lineRule="auto"/>
        <w:tabs>
          <w:tab w:leader="none" w:pos="112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0" w:lineRule="exact"/>
        <w:rPr>
          <w:rFonts w:ascii="Arial" w:cs="Arial" w:eastAsia="Arial" w:hAnsi="Arial"/>
          <w:sz w:val="16"/>
          <w:szCs w:val="16"/>
          <w:color w:val="auto"/>
        </w:rPr>
      </w:pPr>
    </w:p>
    <w:p>
      <w:pPr>
        <w:ind w:right="20" w:firstLine="885"/>
        <w:spacing w:after="0" w:line="257" w:lineRule="auto"/>
        <w:tabs>
          <w:tab w:leader="none" w:pos="11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8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3" w:lineRule="exact"/>
        <w:rPr>
          <w:sz w:val="20"/>
          <w:szCs w:val="20"/>
          <w:color w:val="auto"/>
        </w:rPr>
      </w:pPr>
    </w:p>
    <w:p>
      <w:pPr>
        <w:ind w:right="20" w:firstLine="885"/>
        <w:spacing w:after="0" w:line="302" w:lineRule="auto"/>
        <w:tabs>
          <w:tab w:leader="none" w:pos="112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Except as provided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not involving any transfer.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81" w:name="page182"/>
    <w:bookmarkEnd w:id="181"/>
    <w:p>
      <w:pPr>
        <w:ind w:right="80" w:firstLine="885"/>
        <w:spacing w:after="0" w:line="276" w:lineRule="auto"/>
        <w:tabs>
          <w:tab w:leader="none" w:pos="1136" w:val="left"/>
        </w:tabs>
        <w:numPr>
          <w:ilvl w:val="0"/>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are, with respect to any Global Security,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hereof.</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82" w:name="page183"/>
    <w:bookmarkEnd w:id="182"/>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5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3"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83" w:name="page184"/>
    <w:bookmarkEnd w:id="1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Nothing in this Indenture or in the Securities, express or implied, shall give or be construed to give to any Person, other than the parties hereto and the holders of the Securities (and, with respect to the provisions of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w:t>
      </w:r>
      <w:r>
        <w:rPr>
          <w:rFonts w:ascii="Arial" w:cs="Arial" w:eastAsia="Arial" w:hAnsi="Arial"/>
          <w:sz w:val="18"/>
          <w:szCs w:val="18"/>
          <w:u w:val="single" w:color="auto"/>
          <w:color w:val="auto"/>
        </w:rPr>
        <w:t>Article 14</w:t>
      </w:r>
      <w:r>
        <w:rPr>
          <w:rFonts w:ascii="Arial" w:cs="Arial" w:eastAsia="Arial" w:hAnsi="Arial"/>
          <w:sz w:val="18"/>
          <w:szCs w:val="18"/>
          <w:color w:val="auto"/>
        </w:rPr>
        <w:t>, the holders of any indebtedness of the Company to which the Securities of any series are subordinated).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7"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55" w:lineRule="auto"/>
        <w:tabs>
          <w:tab w:leader="none" w:pos="112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If the Company shall establish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that the Securities of a particular series are to be issued as a Global Security, then the Company shall execute and the Trustee shall, in accordance with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the Indenture, this Security may be transferred, in whole but not in part, only to another nominee of the Depositary or to a successor Depositary or to a nominee of such successor Depositary.”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4" w:name="page185"/>
    <w:bookmarkEnd w:id="184"/>
    <w:p>
      <w:pPr>
        <w:ind w:right="300" w:firstLine="885"/>
        <w:spacing w:after="0" w:line="264" w:lineRule="auto"/>
        <w:tabs>
          <w:tab w:leader="none" w:pos="11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provisions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Global Security of a series may be transferred, in whole but not in part and in the manner provided in </w:t>
      </w:r>
      <w:r>
        <w:rPr>
          <w:rFonts w:ascii="Arial" w:cs="Arial" w:eastAsia="Arial" w:hAnsi="Arial"/>
          <w:sz w:val="18"/>
          <w:szCs w:val="18"/>
          <w:u w:val="single" w:color="auto"/>
          <w:color w:val="auto"/>
        </w:rPr>
        <w:t>Section 2.05</w:t>
      </w:r>
      <w:r>
        <w:rPr>
          <w:rFonts w:ascii="Arial" w:cs="Arial" w:eastAsia="Arial" w:hAnsi="Arial"/>
          <w:sz w:val="18"/>
          <w:szCs w:val="18"/>
          <w:color w:val="auto"/>
        </w:rPr>
        <w:t>, only to another nominee of the Depositary for such series, or to a successor Depositary for such series selected or approved by the Company or to a nominee of such successor Depositary.</w:t>
      </w:r>
    </w:p>
    <w:p>
      <w:pPr>
        <w:spacing w:after="0" w:line="73" w:lineRule="exact"/>
        <w:rPr>
          <w:rFonts w:ascii="Arial" w:cs="Arial" w:eastAsia="Arial" w:hAnsi="Arial"/>
          <w:sz w:val="18"/>
          <w:szCs w:val="18"/>
          <w:color w:val="auto"/>
        </w:rPr>
      </w:pPr>
    </w:p>
    <w:p>
      <w:pPr>
        <w:ind w:firstLine="885"/>
        <w:spacing w:after="0" w:line="267" w:lineRule="auto"/>
        <w:tabs>
          <w:tab w:leader="none" w:pos="112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be applicable to the Securities of such series and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apply to the Securities of such series. In such event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The Company may redeem the Securities of any series issued hereunder on and after the dates and in accordance with the terms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5" w:name="page186"/>
    <w:bookmarkEnd w:id="1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87" w:lineRule="auto"/>
        <w:tabs>
          <w:tab w:leader="none" w:pos="112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3" w:lineRule="exact"/>
        <w:rPr>
          <w:sz w:val="20"/>
          <w:szCs w:val="20"/>
          <w:color w:val="auto"/>
        </w:rPr>
      </w:pPr>
    </w:p>
    <w:p>
      <w:pPr>
        <w:ind w:right="20" w:firstLine="885"/>
        <w:spacing w:after="0" w:line="271" w:lineRule="auto"/>
        <w:tabs>
          <w:tab w:leader="none" w:pos="113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86" w:name="page187"/>
    <w:bookmarkEnd w:id="186"/>
    <w:p>
      <w:pPr>
        <w:ind w:right="2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90" w:lineRule="auto"/>
        <w:tabs>
          <w:tab w:leader="none" w:pos="112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60" w:firstLine="885"/>
        <w:spacing w:after="0" w:line="312" w:lineRule="auto"/>
        <w:tabs>
          <w:tab w:leader="none" w:pos="113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shall be applicable to any sinking fund for the retirement of Securities of a series, except as otherwise specified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for Securities of such series.</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Arial" w:cs="Arial" w:eastAsia="Arial" w:hAnsi="Arial"/>
          <w:sz w:val="18"/>
          <w:szCs w:val="18"/>
          <w:u w:val="single" w:color="auto"/>
          <w:color w:val="auto"/>
        </w:rPr>
        <w:t>Section 3.05</w:t>
      </w:r>
      <w:r>
        <w:rPr>
          <w:rFonts w:ascii="Arial" w:cs="Arial" w:eastAsia="Arial" w:hAnsi="Arial"/>
          <w:sz w:val="18"/>
          <w:szCs w:val="18"/>
          <w:color w:val="auto"/>
        </w:rPr>
        <w:t>. Each sinking fund payment shall be applied to the redemption of Securities of any series as provided for by the terms of Securities of such series.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87" w:name="page188"/>
    <w:bookmarkEnd w:id="1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cause notice of the redemption thereof to be given in the name of and at the expense of the Company in the manner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Such notice having been duly given, the redemption of such Securities shall be made upon the terms and in the manner stated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88" w:name="page189"/>
    <w:bookmarkEnd w:id="1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17" w:lineRule="exact"/>
        <w:rPr>
          <w:sz w:val="20"/>
          <w:szCs w:val="20"/>
          <w:color w:val="auto"/>
        </w:rPr>
      </w:pPr>
    </w:p>
    <w:p>
      <w:pPr>
        <w:ind w:right="160" w:firstLine="885"/>
        <w:spacing w:after="0" w:line="264" w:lineRule="auto"/>
        <w:tabs>
          <w:tab w:leader="none" w:pos="112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3" w:lineRule="exact"/>
        <w:rPr>
          <w:rFonts w:ascii="Arial" w:cs="Arial" w:eastAsia="Arial" w:hAnsi="Arial"/>
          <w:sz w:val="18"/>
          <w:szCs w:val="18"/>
          <w:color w:val="auto"/>
        </w:rPr>
      </w:pPr>
    </w:p>
    <w:p>
      <w:pPr>
        <w:ind w:left="440" w:right="40" w:firstLine="851"/>
        <w:spacing w:after="0" w:line="264" w:lineRule="auto"/>
        <w:tabs>
          <w:tab w:leader="none" w:pos="154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3" w:lineRule="exact"/>
        <w:rPr>
          <w:rFonts w:ascii="Arial" w:cs="Arial" w:eastAsia="Arial" w:hAnsi="Arial"/>
          <w:sz w:val="18"/>
          <w:szCs w:val="18"/>
          <w:color w:val="auto"/>
        </w:rPr>
      </w:pPr>
    </w:p>
    <w:p>
      <w:pPr>
        <w:ind w:left="440" w:right="60" w:firstLine="851"/>
        <w:spacing w:after="0" w:line="308" w:lineRule="auto"/>
        <w:tabs>
          <w:tab w:leader="none" w:pos="1541"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38" w:lineRule="exact"/>
        <w:rPr>
          <w:rFonts w:ascii="Arial" w:cs="Arial" w:eastAsia="Arial" w:hAnsi="Arial"/>
          <w:sz w:val="17"/>
          <w:szCs w:val="17"/>
          <w:color w:val="auto"/>
        </w:rPr>
      </w:pPr>
    </w:p>
    <w:p>
      <w:pPr>
        <w:ind w:left="440" w:right="160" w:firstLine="851"/>
        <w:spacing w:after="0" w:line="277" w:lineRule="auto"/>
        <w:tabs>
          <w:tab w:leader="none" w:pos="154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62" w:lineRule="exact"/>
        <w:rPr>
          <w:rFonts w:ascii="Arial" w:cs="Arial" w:eastAsia="Arial" w:hAnsi="Arial"/>
          <w:sz w:val="18"/>
          <w:szCs w:val="18"/>
          <w:color w:val="auto"/>
        </w:rPr>
      </w:pPr>
    </w:p>
    <w:p>
      <w:pPr>
        <w:ind w:left="440" w:right="60" w:firstLine="851"/>
        <w:spacing w:after="0" w:line="277" w:lineRule="auto"/>
        <w:tabs>
          <w:tab w:leader="none" w:pos="154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62" w:lineRule="exact"/>
        <w:rPr>
          <w:rFonts w:ascii="Arial" w:cs="Arial" w:eastAsia="Arial" w:hAnsi="Arial"/>
          <w:sz w:val="18"/>
          <w:szCs w:val="18"/>
          <w:color w:val="auto"/>
        </w:rPr>
      </w:pPr>
    </w:p>
    <w:p>
      <w:pPr>
        <w:ind w:left="1540" w:hanging="249"/>
        <w:spacing w:after="0"/>
        <w:tabs>
          <w:tab w:leader="none" w:pos="15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ind w:right="40" w:firstLine="885"/>
        <w:spacing w:after="0" w:line="297" w:lineRule="auto"/>
        <w:tabs>
          <w:tab w:leader="none" w:pos="113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89" w:name="page190"/>
    <w:bookmarkEnd w:id="189"/>
    <w:p>
      <w:pPr>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9" w:lineRule="exact"/>
        <w:rPr>
          <w:sz w:val="20"/>
          <w:szCs w:val="20"/>
          <w:color w:val="auto"/>
        </w:rPr>
      </w:pPr>
    </w:p>
    <w:p>
      <w:pPr>
        <w:ind w:firstLine="885"/>
        <w:spacing w:after="0" w:line="255" w:lineRule="auto"/>
        <w:tabs>
          <w:tab w:leader="none" w:pos="112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to the contrary, (i) the agreement to hold sums in trust as provided in this Section is subject to the provisions of </w:t>
      </w:r>
      <w:r>
        <w:rPr>
          <w:rFonts w:ascii="Arial" w:cs="Arial" w:eastAsia="Arial" w:hAnsi="Arial"/>
          <w:sz w:val="18"/>
          <w:szCs w:val="18"/>
          <w:u w:val="single" w:color="auto"/>
          <w:color w:val="auto"/>
        </w:rPr>
        <w:t>Section 11.05</w:t>
      </w:r>
      <w:r>
        <w:rPr>
          <w:rFonts w:ascii="Arial" w:cs="Arial" w:eastAsia="Arial" w:hAnsi="Arial"/>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85" w:lineRule="exact"/>
        <w:rPr>
          <w:rFonts w:ascii="Arial" w:cs="Arial" w:eastAsia="Arial" w:hAnsi="Arial"/>
          <w:sz w:val="18"/>
          <w:szCs w:val="18"/>
          <w:color w:val="auto"/>
        </w:rPr>
      </w:pPr>
    </w:p>
    <w:p>
      <w:pPr>
        <w:ind w:left="1140" w:hanging="255"/>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initially appoints the Trustee at its Corporate Trust Office as its paying agent with respect to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11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The Company, whenever necessary to avoid or fill a vacancy in the office of Trustee, will appoint, in the manner provided in </w:t>
      </w:r>
      <w:r>
        <w:rPr>
          <w:rFonts w:ascii="Arial" w:cs="Arial" w:eastAsia="Arial" w:hAnsi="Arial"/>
          <w:sz w:val="18"/>
          <w:szCs w:val="18"/>
          <w:u w:val="single" w:color="auto"/>
          <w:color w:val="auto"/>
        </w:rPr>
        <w:t>Section 7.10</w:t>
      </w:r>
      <w:r>
        <w:rPr>
          <w:rFonts w:ascii="Arial" w:cs="Arial" w:eastAsia="Arial" w:hAnsi="Arial"/>
          <w:sz w:val="18"/>
          <w:szCs w:val="18"/>
          <w:color w:val="auto"/>
        </w:rPr>
        <w:t>, a Trustee, so that there shall at all times be a Trustee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hereof are complied 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w:t>
      </w:r>
      <w:r>
        <w:rPr>
          <w:rFonts w:ascii="Arial" w:cs="Arial" w:eastAsia="Arial" w:hAnsi="Arial"/>
          <w:sz w:val="18"/>
          <w:szCs w:val="18"/>
          <w:color w:val="auto"/>
        </w:rPr>
        <w:t>s.</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Company will furnish or cause to be furnished to the Trustee (a) within 5 days after each regular record date (as defined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 list, in such form as the Trustee may reasonably require, of the names and addresses of the holders of each series of Securities as of such regular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Company shall not be obligated to furnish or cause to be furnished such list at any time that the list shall not differ in any respect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either case, no such list need be furnished for any series for which the Trustee shall be the Security Registrar.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90" w:name="page191"/>
    <w:bookmarkEnd w:id="190"/>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ind w:left="-40" w:right="40" w:firstLine="885"/>
        <w:spacing w:after="0" w:line="264" w:lineRule="auto"/>
        <w:tabs>
          <w:tab w:leader="none" w:pos="108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as to the names and addresses of holders of Securities received by the Trustee in its capacity as Security Registrar (if acting in such capacity).</w:t>
      </w:r>
    </w:p>
    <w:p>
      <w:pPr>
        <w:spacing w:after="0" w:line="73" w:lineRule="exact"/>
        <w:rPr>
          <w:rFonts w:ascii="Arial" w:cs="Arial" w:eastAsia="Arial" w:hAnsi="Arial"/>
          <w:sz w:val="18"/>
          <w:szCs w:val="18"/>
          <w:color w:val="auto"/>
        </w:rPr>
      </w:pPr>
    </w:p>
    <w:p>
      <w:pPr>
        <w:ind w:left="1100" w:hanging="255"/>
        <w:spacing w:after="0"/>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Trustee may destroy any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upon receipt of a new list so furnished.</w:t>
      </w:r>
    </w:p>
    <w:p>
      <w:pPr>
        <w:spacing w:after="0" w:line="117" w:lineRule="exact"/>
        <w:rPr>
          <w:rFonts w:ascii="Arial" w:cs="Arial" w:eastAsia="Arial" w:hAnsi="Arial"/>
          <w:sz w:val="18"/>
          <w:szCs w:val="18"/>
          <w:color w:val="auto"/>
        </w:rPr>
      </w:pPr>
    </w:p>
    <w:p>
      <w:pPr>
        <w:ind w:left="-40" w:right="20" w:firstLine="885"/>
        <w:spacing w:after="0" w:line="286" w:lineRule="auto"/>
        <w:tabs>
          <w:tab w:leader="none" w:pos="108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left="-40" w:firstLine="885"/>
        <w:spacing w:after="0" w:line="269" w:lineRule="auto"/>
        <w:tabs>
          <w:tab w:leader="none" w:pos="108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Company shall not be required to deliver to the Trustee any materials for which the Company has sought and received confidential treatment by the Commission;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jc w:val="both"/>
        <w:ind w:left="-40" w:firstLine="885"/>
        <w:spacing w:after="0" w:line="259" w:lineRule="auto"/>
        <w:tabs>
          <w:tab w:leader="none" w:pos="109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Delivery of reports, information and documents to the Trustee under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80" w:top="274" w:right="479" w:bottom="1440" w:gutter="0" w:footer="0" w:header="0"/>
        </w:sectPr>
      </w:pPr>
    </w:p>
    <w:bookmarkStart w:id="191" w:name="page192"/>
    <w:bookmarkEnd w:id="191"/>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left="-40" w:right="20" w:firstLine="885"/>
        <w:spacing w:after="0" w:line="259" w:lineRule="auto"/>
        <w:tabs>
          <w:tab w:leader="none" w:pos="108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78" w:lineRule="exact"/>
        <w:rPr>
          <w:rFonts w:ascii="Arial" w:cs="Arial" w:eastAsia="Arial" w:hAnsi="Arial"/>
          <w:sz w:val="18"/>
          <w:szCs w:val="18"/>
          <w:color w:val="auto"/>
        </w:rPr>
      </w:pPr>
    </w:p>
    <w:p>
      <w:pPr>
        <w:ind w:left="1100" w:hanging="255"/>
        <w:spacing w:after="0"/>
        <w:tabs>
          <w:tab w:leader="none" w:pos="11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117" w:lineRule="exact"/>
        <w:rPr>
          <w:rFonts w:ascii="Arial" w:cs="Arial" w:eastAsia="Arial" w:hAnsi="Arial"/>
          <w:sz w:val="18"/>
          <w:szCs w:val="18"/>
          <w:color w:val="auto"/>
        </w:rPr>
      </w:pPr>
    </w:p>
    <w:p>
      <w:pPr>
        <w:ind w:left="-40" w:right="120" w:firstLine="885"/>
        <w:spacing w:after="0" w:line="264" w:lineRule="auto"/>
        <w:tabs>
          <w:tab w:leader="none" w:pos="108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OF THE TRUSTEE AND SECURITYHOLDERS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 OF DEFAULT</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3" w:lineRule="exact"/>
        <w:rPr>
          <w:sz w:val="20"/>
          <w:szCs w:val="20"/>
          <w:color w:val="auto"/>
        </w:rPr>
      </w:pPr>
    </w:p>
    <w:p>
      <w:pPr>
        <w:ind w:left="-40" w:right="460" w:firstLine="885"/>
        <w:spacing w:after="0" w:line="282" w:lineRule="auto"/>
        <w:tabs>
          <w:tab w:leader="none" w:pos="108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57" w:lineRule="exact"/>
        <w:rPr>
          <w:rFonts w:ascii="Arial" w:cs="Arial" w:eastAsia="Arial" w:hAnsi="Arial"/>
          <w:sz w:val="18"/>
          <w:szCs w:val="18"/>
          <w:color w:val="auto"/>
        </w:rPr>
      </w:pPr>
    </w:p>
    <w:p>
      <w:pPr>
        <w:ind w:left="400" w:right="20" w:firstLine="851"/>
        <w:spacing w:after="0" w:line="259" w:lineRule="auto"/>
        <w:tabs>
          <w:tab w:leader="none" w:pos="150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78" w:lineRule="exact"/>
        <w:rPr>
          <w:rFonts w:ascii="Arial" w:cs="Arial" w:eastAsia="Arial" w:hAnsi="Arial"/>
          <w:sz w:val="18"/>
          <w:szCs w:val="18"/>
          <w:color w:val="auto"/>
        </w:rPr>
      </w:pPr>
    </w:p>
    <w:p>
      <w:pPr>
        <w:ind w:left="400" w:right="220" w:firstLine="851"/>
        <w:spacing w:after="0" w:line="302" w:lineRule="auto"/>
        <w:tabs>
          <w:tab w:leader="none" w:pos="150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valid extension of the maturity of such Securities in accordance with the terms of any indenture supplemental hereto shall not constitute a default in the payment of principal or premium, if any;</w:t>
      </w:r>
    </w:p>
    <w:p>
      <w:pPr>
        <w:spacing w:after="0" w:line="46" w:lineRule="exact"/>
        <w:rPr>
          <w:rFonts w:ascii="Arial" w:cs="Arial" w:eastAsia="Arial" w:hAnsi="Arial"/>
          <w:sz w:val="16"/>
          <w:szCs w:val="16"/>
          <w:color w:val="auto"/>
        </w:rPr>
      </w:pPr>
    </w:p>
    <w:p>
      <w:pPr>
        <w:ind w:left="400" w:firstLine="851"/>
        <w:spacing w:after="0" w:line="273" w:lineRule="auto"/>
        <w:tabs>
          <w:tab w:leader="none" w:pos="1501" w:val="left"/>
        </w:tabs>
        <w:numPr>
          <w:ilvl w:val="1"/>
          <w:numId w:val="185"/>
        </w:numPr>
        <w:rPr>
          <w:rFonts w:ascii="Arial" w:cs="Arial" w:eastAsia="Arial" w:hAnsi="Arial"/>
          <w:sz w:val="17"/>
          <w:szCs w:val="17"/>
          <w:color w:val="auto"/>
        </w:rPr>
      </w:pPr>
      <w:r>
        <w:rPr>
          <w:rFonts w:ascii="Arial" w:cs="Arial" w:eastAsia="Arial" w:hAnsi="Arial"/>
          <w:sz w:val="17"/>
          <w:szCs w:val="17"/>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shall have been given to the Company by the Trustee or to the Company and the Trustee by the holders of at least 25% in principal amount of the Securities of that series at the time Outstanding;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80" w:top="274" w:right="459" w:bottom="1440" w:gutter="0" w:footer="0" w:header="0"/>
        </w:sectPr>
      </w:pPr>
    </w:p>
    <w:bookmarkStart w:id="192" w:name="page193"/>
    <w:bookmarkEnd w:id="192"/>
    <w:p>
      <w:pPr>
        <w:ind w:left="436" w:right="120" w:firstLine="851"/>
        <w:spacing w:after="0" w:line="264" w:lineRule="auto"/>
        <w:tabs>
          <w:tab w:leader="none" w:pos="1537" w:val="left"/>
        </w:tabs>
        <w:numPr>
          <w:ilvl w:val="2"/>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73" w:lineRule="exact"/>
        <w:rPr>
          <w:rFonts w:ascii="Arial" w:cs="Arial" w:eastAsia="Arial" w:hAnsi="Arial"/>
          <w:sz w:val="18"/>
          <w:szCs w:val="18"/>
          <w:color w:val="auto"/>
        </w:rPr>
      </w:pPr>
    </w:p>
    <w:p>
      <w:pPr>
        <w:ind w:left="436" w:right="60" w:firstLine="851"/>
        <w:spacing w:after="0" w:line="264" w:lineRule="auto"/>
        <w:tabs>
          <w:tab w:leader="none" w:pos="1537"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73" w:lineRule="exact"/>
        <w:rPr>
          <w:rFonts w:ascii="Arial" w:cs="Arial" w:eastAsia="Arial" w:hAnsi="Arial"/>
          <w:sz w:val="18"/>
          <w:szCs w:val="18"/>
          <w:color w:val="auto"/>
        </w:rPr>
      </w:pPr>
    </w:p>
    <w:p>
      <w:pPr>
        <w:ind w:left="-4" w:right="80" w:firstLine="885"/>
        <w:spacing w:after="0" w:line="285" w:lineRule="auto"/>
        <w:tabs>
          <w:tab w:leader="none" w:pos="1133"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Arial" w:cs="Arial" w:eastAsia="Arial" w:hAnsi="Arial"/>
          <w:sz w:val="16"/>
          <w:szCs w:val="16"/>
          <w:color w:val="auto"/>
        </w:rPr>
      </w:pPr>
    </w:p>
    <w:p>
      <w:pPr>
        <w:ind w:left="-4" w:right="60" w:firstLine="4"/>
        <w:spacing w:after="0" w:line="261" w:lineRule="auto"/>
        <w:tabs>
          <w:tab w:leader="none" w:pos="25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5" w:lineRule="exact"/>
        <w:rPr>
          <w:rFonts w:ascii="Arial" w:cs="Arial" w:eastAsia="Arial" w:hAnsi="Arial"/>
          <w:sz w:val="18"/>
          <w:szCs w:val="18"/>
          <w:color w:val="auto"/>
        </w:rPr>
      </w:pPr>
    </w:p>
    <w:p>
      <w:pPr>
        <w:ind w:left="-4" w:firstLine="885"/>
        <w:spacing w:after="0" w:line="288" w:lineRule="auto"/>
        <w:tabs>
          <w:tab w:leader="none" w:pos="112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6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58" w:lineRule="exact"/>
        <w:rPr>
          <w:sz w:val="20"/>
          <w:szCs w:val="20"/>
          <w:color w:val="auto"/>
        </w:rPr>
      </w:pPr>
    </w:p>
    <w:p>
      <w:pPr>
        <w:ind w:left="54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4" w:right="439" w:bottom="1440" w:gutter="0" w:footer="0" w:header="0"/>
        </w:sectPr>
      </w:pPr>
    </w:p>
    <w:bookmarkStart w:id="193" w:name="page194"/>
    <w:bookmarkEnd w:id="193"/>
    <w:p>
      <w:pPr>
        <w:ind w:left="-20" w:right="60" w:firstLine="885"/>
        <w:spacing w:after="0" w:line="257" w:lineRule="auto"/>
        <w:tabs>
          <w:tab w:leader="none" w:pos="1116"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20" w:right="60" w:firstLine="885"/>
        <w:spacing w:after="0" w:line="273" w:lineRule="auto"/>
        <w:tabs>
          <w:tab w:leader="none" w:pos="110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20" w:firstLine="885"/>
        <w:spacing w:after="0" w:line="276" w:lineRule="auto"/>
        <w:tabs>
          <w:tab w:leader="none" w:pos="111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64" w:lineRule="exact"/>
        <w:rPr>
          <w:rFonts w:ascii="Arial" w:cs="Arial" w:eastAsia="Arial" w:hAnsi="Arial"/>
          <w:sz w:val="17"/>
          <w:szCs w:val="17"/>
          <w:color w:val="auto"/>
        </w:rPr>
      </w:pPr>
    </w:p>
    <w:p>
      <w:pPr>
        <w:ind w:left="-20" w:right="20" w:firstLine="885"/>
        <w:spacing w:after="0" w:line="288" w:lineRule="auto"/>
        <w:tabs>
          <w:tab w:leader="none" w:pos="110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Arial" w:cs="Arial" w:eastAsia="Arial" w:hAnsi="Arial"/>
          <w:sz w:val="16"/>
          <w:szCs w:val="16"/>
          <w:u w:val="single" w:color="auto"/>
          <w:color w:val="auto"/>
        </w:rPr>
        <w:t>Section 7.06</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194" w:name="page195"/>
    <w:bookmarkEnd w:id="194"/>
    <w:p>
      <w:pPr>
        <w:ind w:firstLine="885"/>
        <w:spacing w:after="0" w:line="257" w:lineRule="auto"/>
        <w:tabs>
          <w:tab w:leader="none" w:pos="11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Arial" w:cs="Arial" w:eastAsia="Arial" w:hAnsi="Arial"/>
          <w:sz w:val="18"/>
          <w:szCs w:val="18"/>
          <w:u w:val="single" w:color="auto"/>
          <w:color w:val="auto"/>
        </w:rPr>
        <w:t>Section 7.06</w:t>
      </w:r>
      <w:r>
        <w:rPr>
          <w:rFonts w:ascii="Arial" w:cs="Arial" w:eastAsia="Arial" w:hAnsi="Arial"/>
          <w:sz w:val="18"/>
          <w:szCs w:val="18"/>
          <w:color w:val="auto"/>
        </w:rPr>
        <w:t>, be for the ratable benefit of the holders of the Securities of such series.</w:t>
      </w:r>
    </w:p>
    <w:p>
      <w:pPr>
        <w:spacing w:after="0" w:line="188"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4"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117"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83" w:lineRule="exact"/>
        <w:rPr>
          <w:sz w:val="20"/>
          <w:szCs w:val="20"/>
          <w:color w:val="auto"/>
        </w:rPr>
      </w:pPr>
    </w:p>
    <w:p>
      <w:pPr>
        <w:ind w:right="820" w:firstLine="441"/>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To the payment of all indebtedness of the Company to which such series of Securities is subordinated to the extent required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and any subordination terms of the series specified as contemplated by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To the payment of the amounts then due and unpaid upon Securities of such series for principal (and premium, if any) and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To the payment of the remainder, if any, to the Company or any other Person lawfully entitled thereto.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95" w:name="page196"/>
    <w:bookmarkEnd w:id="195"/>
    <w:p>
      <w:pPr>
        <w:ind w:right="2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w:t>
      </w:r>
    </w:p>
    <w:p>
      <w:pPr>
        <w:spacing w:after="0" w:line="2" w:lineRule="exact"/>
        <w:rPr>
          <w:sz w:val="20"/>
          <w:szCs w:val="20"/>
          <w:color w:val="auto"/>
        </w:rPr>
      </w:pPr>
    </w:p>
    <w:p>
      <w:pPr>
        <w:ind w:right="880" w:firstLine="4"/>
        <w:spacing w:after="0" w:line="261" w:lineRule="auto"/>
        <w:tabs>
          <w:tab w:leader="none" w:pos="2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during such 90 day period, the holders of a majority in principal amount of the Securities of that series do not give the Trustee a direction inconsistent with the request.</w:t>
      </w:r>
    </w:p>
    <w:p>
      <w:pPr>
        <w:spacing w:after="0" w:line="184"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59" w:lineRule="auto"/>
        <w:tabs>
          <w:tab w:leader="none" w:pos="112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right="140" w:firstLine="885"/>
        <w:spacing w:after="0" w:line="302" w:lineRule="auto"/>
        <w:tabs>
          <w:tab w:leader="none" w:pos="113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Arial" w:cs="Arial" w:eastAsia="Arial" w:hAnsi="Arial"/>
          <w:sz w:val="16"/>
          <w:szCs w:val="16"/>
          <w:u w:val="single" w:color="auto"/>
          <w:color w:val="auto"/>
        </w:rPr>
        <w:t>Section 6.04</w:t>
      </w:r>
      <w:r>
        <w:rPr>
          <w:rFonts w:ascii="Arial" w:cs="Arial" w:eastAsia="Arial" w:hAnsi="Arial"/>
          <w:sz w:val="16"/>
          <w:szCs w:val="16"/>
          <w:color w:val="auto"/>
        </w:rPr>
        <w:t>, every power and remedy given by this Article or by law to the Trustee or the Securityholders may be exercised from time to time, and as often as shall be deemed expedient, by the Trustee or by the Securityholders.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96" w:name="page197"/>
    <w:bookmarkEnd w:id="19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The holders of a majority in aggregate principal amount of the Securities of any series at the time Outstanding,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may on behalf of the holders of all of the Securities of such series waive any past default in the performance of any of the covenants contained herein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Arial" w:cs="Arial" w:eastAsia="Arial" w:hAnsi="Arial"/>
          <w:sz w:val="17"/>
          <w:szCs w:val="17"/>
          <w:u w:val="single" w:color="auto"/>
          <w:color w:val="auto"/>
        </w:rPr>
        <w:t>Section 6.01(c)</w:t>
      </w:r>
      <w:r>
        <w:rPr>
          <w:rFonts w:ascii="Arial" w:cs="Arial" w:eastAsia="Arial" w:hAnsi="Arial"/>
          <w:sz w:val="17"/>
          <w:szCs w:val="17"/>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left="-40" w:right="20" w:firstLine="885"/>
        <w:spacing w:after="0" w:line="293" w:lineRule="auto"/>
        <w:tabs>
          <w:tab w:leader="none" w:pos="108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56" w:lineRule="exact"/>
        <w:rPr>
          <w:rFonts w:ascii="Arial" w:cs="Arial" w:eastAsia="Arial" w:hAnsi="Arial"/>
          <w:sz w:val="16"/>
          <w:szCs w:val="16"/>
          <w:color w:val="auto"/>
        </w:rPr>
      </w:pPr>
    </w:p>
    <w:p>
      <w:pPr>
        <w:ind w:left="-40" w:right="400" w:firstLine="885"/>
        <w:spacing w:after="0" w:line="277" w:lineRule="auto"/>
        <w:tabs>
          <w:tab w:leader="none" w:pos="10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400" w:right="180" w:firstLine="851"/>
        <w:spacing w:after="0" w:line="277" w:lineRule="auto"/>
        <w:tabs>
          <w:tab w:leader="none" w:pos="150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62" w:lineRule="exact"/>
        <w:rPr>
          <w:rFonts w:ascii="Arial" w:cs="Arial" w:eastAsia="Arial" w:hAnsi="Arial"/>
          <w:sz w:val="18"/>
          <w:szCs w:val="18"/>
          <w:color w:val="auto"/>
        </w:rPr>
      </w:pPr>
    </w:p>
    <w:p>
      <w:pPr>
        <w:ind w:left="400" w:right="80" w:firstLine="1380"/>
        <w:spacing w:after="0" w:line="259" w:lineRule="auto"/>
        <w:tabs>
          <w:tab w:leader="none" w:pos="207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8" w:lineRule="exact"/>
        <w:rPr>
          <w:rFonts w:ascii="Arial" w:cs="Arial" w:eastAsia="Arial" w:hAnsi="Arial"/>
          <w:sz w:val="18"/>
          <w:szCs w:val="18"/>
          <w:color w:val="auto"/>
        </w:rPr>
      </w:pPr>
    </w:p>
    <w:p>
      <w:pPr>
        <w:ind w:left="400" w:right="20" w:firstLine="1380"/>
        <w:spacing w:after="0" w:line="255" w:lineRule="auto"/>
        <w:tabs>
          <w:tab w:leader="none" w:pos="206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85" w:lineRule="exact"/>
        <w:rPr>
          <w:rFonts w:ascii="Arial" w:cs="Arial" w:eastAsia="Arial" w:hAnsi="Arial"/>
          <w:sz w:val="18"/>
          <w:szCs w:val="18"/>
          <w:color w:val="auto"/>
        </w:rPr>
      </w:pPr>
    </w:p>
    <w:p>
      <w:pPr>
        <w:ind w:left="400" w:firstLine="851"/>
        <w:spacing w:after="0" w:line="277" w:lineRule="auto"/>
        <w:tabs>
          <w:tab w:leader="none" w:pos="150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400" w:right="140" w:firstLine="851"/>
        <w:spacing w:after="0" w:line="259" w:lineRule="auto"/>
        <w:tabs>
          <w:tab w:leader="none" w:pos="150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80" w:top="270" w:right="479" w:bottom="1440" w:gutter="0" w:footer="0" w:header="0"/>
        </w:sectPr>
      </w:pPr>
    </w:p>
    <w:bookmarkStart w:id="198" w:name="page199"/>
    <w:bookmarkEnd w:id="198"/>
    <w:p>
      <w:pPr>
        <w:ind w:left="400" w:right="160" w:firstLine="851"/>
        <w:spacing w:after="0" w:line="259" w:lineRule="auto"/>
        <w:tabs>
          <w:tab w:leader="none" w:pos="15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17" w:lineRule="exact"/>
        <w:rPr>
          <w:sz w:val="20"/>
          <w:szCs w:val="20"/>
          <w:color w:val="auto"/>
        </w:rPr>
      </w:pPr>
    </w:p>
    <w:p>
      <w:pPr>
        <w:ind w:left="-40" w:right="100" w:firstLine="885"/>
        <w:spacing w:after="0" w:line="297" w:lineRule="auto"/>
        <w:tabs>
          <w:tab w:leader="none" w:pos="108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50" w:lineRule="exact"/>
        <w:rPr>
          <w:rFonts w:ascii="Arial" w:cs="Arial" w:eastAsia="Arial" w:hAnsi="Arial"/>
          <w:sz w:val="16"/>
          <w:szCs w:val="16"/>
          <w:color w:val="auto"/>
        </w:rPr>
      </w:pPr>
    </w:p>
    <w:p>
      <w:pPr>
        <w:ind w:left="-40" w:right="140" w:firstLine="885"/>
        <w:spacing w:after="0" w:line="264" w:lineRule="auto"/>
        <w:tabs>
          <w:tab w:leader="none" w:pos="109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3" w:lineRule="exact"/>
        <w:rPr>
          <w:rFonts w:ascii="Arial" w:cs="Arial" w:eastAsia="Arial" w:hAnsi="Arial"/>
          <w:sz w:val="18"/>
          <w:szCs w:val="18"/>
          <w:color w:val="auto"/>
        </w:rPr>
      </w:pPr>
    </w:p>
    <w:p>
      <w:pPr>
        <w:ind w:left="-40" w:right="240" w:firstLine="885"/>
        <w:spacing w:after="0" w:line="342" w:lineRule="auto"/>
        <w:tabs>
          <w:tab w:leader="none" w:pos="108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5" w:lineRule="exact"/>
        <w:rPr>
          <w:rFonts w:ascii="Arial" w:cs="Arial" w:eastAsia="Arial" w:hAnsi="Arial"/>
          <w:sz w:val="16"/>
          <w:szCs w:val="16"/>
          <w:color w:val="auto"/>
        </w:rPr>
      </w:pPr>
    </w:p>
    <w:p>
      <w:pPr>
        <w:jc w:val="both"/>
        <w:ind w:left="-40" w:right="20" w:firstLine="885"/>
        <w:spacing w:after="0" w:line="312" w:lineRule="auto"/>
        <w:tabs>
          <w:tab w:leader="none" w:pos="109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38" w:lineRule="exact"/>
        <w:rPr>
          <w:rFonts w:ascii="Arial" w:cs="Arial" w:eastAsia="Arial" w:hAnsi="Arial"/>
          <w:sz w:val="16"/>
          <w:szCs w:val="16"/>
          <w:color w:val="auto"/>
        </w:rPr>
      </w:pPr>
    </w:p>
    <w:p>
      <w:pPr>
        <w:ind w:left="-40" w:firstLine="885"/>
        <w:spacing w:after="0" w:line="277" w:lineRule="auto"/>
        <w:tabs>
          <w:tab w:leader="none" w:pos="108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0" w:right="180" w:firstLine="885"/>
        <w:spacing w:after="0" w:line="271" w:lineRule="auto"/>
        <w:tabs>
          <w:tab w:leader="none" w:pos="106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80" w:top="274" w:right="479" w:bottom="1440" w:gutter="0" w:footer="0" w:header="0"/>
        </w:sectPr>
      </w:pPr>
    </w:p>
    <w:bookmarkStart w:id="199" w:name="page200"/>
    <w:bookmarkEnd w:id="199"/>
    <w:p>
      <w:pPr>
        <w:ind w:firstLine="885"/>
        <w:spacing w:after="0" w:line="264" w:lineRule="auto"/>
        <w:tabs>
          <w:tab w:leader="none" w:pos="11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right="160" w:firstLine="885"/>
        <w:spacing w:after="0" w:line="276" w:lineRule="auto"/>
        <w:tabs>
          <w:tab w:leader="none" w:pos="113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64" w:lineRule="exact"/>
        <w:rPr>
          <w:rFonts w:ascii="Arial" w:cs="Arial" w:eastAsia="Arial" w:hAnsi="Arial"/>
          <w:sz w:val="17"/>
          <w:szCs w:val="17"/>
          <w:color w:val="auto"/>
        </w:rPr>
      </w:pPr>
    </w:p>
    <w:p>
      <w:pPr>
        <w:ind w:right="240" w:firstLine="885"/>
        <w:spacing w:after="0" w:line="264" w:lineRule="auto"/>
        <w:tabs>
          <w:tab w:leader="none" w:pos="10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left="1100" w:hanging="215"/>
        <w:spacing w:after="0"/>
        <w:tabs>
          <w:tab w:leader="none" w:pos="11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right="100" w:firstLine="885"/>
        <w:spacing w:after="0" w:line="277" w:lineRule="auto"/>
        <w:tabs>
          <w:tab w:leader="none" w:pos="11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62" w:lineRule="exact"/>
        <w:rPr>
          <w:rFonts w:ascii="Arial" w:cs="Arial" w:eastAsia="Arial" w:hAnsi="Arial"/>
          <w:sz w:val="18"/>
          <w:szCs w:val="18"/>
          <w:color w:val="auto"/>
        </w:rPr>
      </w:pPr>
    </w:p>
    <w:p>
      <w:pPr>
        <w:ind w:left="1100" w:hanging="215"/>
        <w:spacing w:after="0"/>
        <w:tabs>
          <w:tab w:leader="none" w:pos="11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3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right="720" w:firstLine="885"/>
        <w:spacing w:after="0" w:line="277" w:lineRule="auto"/>
        <w:tabs>
          <w:tab w:leader="none" w:pos="112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00" w:name="page201"/>
    <w:bookmarkEnd w:id="200"/>
    <w:p>
      <w:pPr>
        <w:ind w:right="540" w:firstLine="885"/>
        <w:spacing w:after="0" w:line="286" w:lineRule="auto"/>
        <w:tabs>
          <w:tab w:leader="none" w:pos="1126" w:val="left"/>
        </w:tabs>
        <w:numPr>
          <w:ilvl w:val="0"/>
          <w:numId w:val="1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or for the use or application of any moneys received by any paying agent other than the Trustee.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17"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11.05</w:t>
      </w:r>
      <w:r>
        <w:rPr>
          <w:rFonts w:ascii="Arial" w:cs="Arial" w:eastAsia="Arial" w:hAnsi="Arial"/>
          <w:sz w:val="16"/>
          <w:szCs w:val="16"/>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87" w:lineRule="auto"/>
        <w:tabs>
          <w:tab w:leader="none" w:pos="112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60" w:lineRule="exact"/>
        <w:rPr>
          <w:rFonts w:ascii="Arial" w:cs="Arial" w:eastAsia="Arial" w:hAnsi="Arial"/>
          <w:sz w:val="16"/>
          <w:szCs w:val="16"/>
          <w:color w:val="auto"/>
        </w:rPr>
      </w:pPr>
    </w:p>
    <w:p>
      <w:pPr>
        <w:ind w:right="340" w:firstLine="885"/>
        <w:spacing w:after="0" w:line="259" w:lineRule="auto"/>
        <w:tabs>
          <w:tab w:leader="none" w:pos="11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201" w:name="page202"/>
    <w:bookmarkEnd w:id="201"/>
    <w:p>
      <w:pPr>
        <w:ind w:firstLine="885"/>
        <w:spacing w:after="0" w:line="297" w:lineRule="auto"/>
        <w:tabs>
          <w:tab w:leader="none" w:pos="1126"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Arial" w:cs="Arial" w:eastAsia="Arial" w:hAnsi="Arial"/>
          <w:sz w:val="16"/>
          <w:szCs w:val="16"/>
          <w:u w:val="single" w:color="auto"/>
          <w:color w:val="auto"/>
        </w:rPr>
        <w:t>Section 6.01(a)(4)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shall survive the termination of this Indenture and the earlier resignation or removal of the Trustee.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 or Opinion of Counsel</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jc w:val="both"/>
        <w:ind w:right="40" w:firstLine="441"/>
        <w:spacing w:after="0" w:line="302"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4"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202" w:name="page203"/>
    <w:bookmarkEnd w:id="2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70" w:lineRule="auto"/>
        <w:tabs>
          <w:tab w:leader="none" w:pos="112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9" w:lineRule="exact"/>
        <w:rPr>
          <w:rFonts w:ascii="Arial" w:cs="Arial" w:eastAsia="Arial" w:hAnsi="Arial"/>
          <w:sz w:val="17"/>
          <w:szCs w:val="17"/>
          <w:color w:val="auto"/>
        </w:rPr>
      </w:pPr>
    </w:p>
    <w:p>
      <w:pPr>
        <w:ind w:left="1140" w:hanging="255"/>
        <w:spacing w:after="0"/>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left="440" w:right="640" w:firstLine="851"/>
        <w:spacing w:after="0" w:line="277" w:lineRule="auto"/>
        <w:tabs>
          <w:tab w:leader="none" w:pos="150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the provisions of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after written request therefor by the Company or by any Securityholder who has been a bona fide holder of a Security or Securities for at least six months; or</w:t>
      </w:r>
    </w:p>
    <w:p>
      <w:pPr>
        <w:spacing w:after="0" w:line="62" w:lineRule="exact"/>
        <w:rPr>
          <w:rFonts w:ascii="Arial" w:cs="Arial" w:eastAsia="Arial" w:hAnsi="Arial"/>
          <w:sz w:val="18"/>
          <w:szCs w:val="18"/>
          <w:color w:val="auto"/>
        </w:rPr>
      </w:pPr>
    </w:p>
    <w:p>
      <w:pPr>
        <w:ind w:left="440" w:right="120" w:firstLine="851"/>
        <w:spacing w:after="0" w:line="277" w:lineRule="auto"/>
        <w:tabs>
          <w:tab w:leader="none" w:pos="1551"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in accordance with the provisions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jc w:val="both"/>
        <w:ind w:left="440" w:right="180" w:firstLine="851"/>
        <w:spacing w:after="0" w:line="286" w:lineRule="auto"/>
        <w:tabs>
          <w:tab w:leader="none" w:pos="160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50" w:lineRule="exact"/>
        <w:rPr>
          <w:sz w:val="20"/>
          <w:szCs w:val="20"/>
          <w:color w:val="auto"/>
        </w:rPr>
      </w:pPr>
    </w:p>
    <w:p>
      <w:pPr>
        <w:ind w:firstLine="885"/>
        <w:spacing w:after="0" w:line="264" w:lineRule="auto"/>
        <w:tabs>
          <w:tab w:leader="none" w:pos="112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03" w:name="page204"/>
    <w:bookmarkEnd w:id="203"/>
    <w:p>
      <w:pPr>
        <w:ind w:left="-100" w:right="200" w:firstLine="885"/>
        <w:spacing w:after="0" w:line="342" w:lineRule="auto"/>
        <w:tabs>
          <w:tab w:leader="none" w:pos="1036"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00" w:right="120" w:firstLine="885"/>
        <w:spacing w:after="0" w:line="277" w:lineRule="auto"/>
        <w:tabs>
          <w:tab w:leader="none" w:pos="102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left="-100" w:firstLine="885"/>
        <w:spacing w:after="0" w:line="255" w:lineRule="auto"/>
        <w:tabs>
          <w:tab w:leader="none" w:pos="102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1" w:lineRule="exact"/>
        <w:rPr>
          <w:rFonts w:ascii="Arial" w:cs="Arial" w:eastAsia="Arial" w:hAnsi="Arial"/>
          <w:sz w:val="18"/>
          <w:szCs w:val="18"/>
          <w:color w:val="auto"/>
        </w:rPr>
      </w:pPr>
    </w:p>
    <w:p>
      <w:pPr>
        <w:ind w:left="-100" w:right="60" w:firstLine="885"/>
        <w:spacing w:after="0" w:line="286" w:lineRule="auto"/>
        <w:tabs>
          <w:tab w:leader="none" w:pos="10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40"/>
          </w:cols>
          <w:pgMar w:left="540" w:top="274" w:right="519" w:bottom="1440" w:gutter="0" w:footer="0" w:header="0"/>
        </w:sectPr>
      </w:pPr>
    </w:p>
    <w:bookmarkStart w:id="204" w:name="page205"/>
    <w:bookmarkEnd w:id="204"/>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0" w:lineRule="exact"/>
        <w:rPr>
          <w:sz w:val="20"/>
          <w:szCs w:val="20"/>
          <w:color w:val="auto"/>
        </w:rPr>
      </w:pPr>
    </w:p>
    <w:p>
      <w:pPr>
        <w:ind w:right="260" w:firstLine="885"/>
        <w:spacing w:after="0" w:line="342" w:lineRule="auto"/>
        <w:tabs>
          <w:tab w:leader="none" w:pos="112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5" w:lineRule="exact"/>
        <w:rPr>
          <w:rFonts w:ascii="Arial" w:cs="Arial" w:eastAsia="Arial" w:hAnsi="Arial"/>
          <w:sz w:val="16"/>
          <w:szCs w:val="16"/>
          <w:color w:val="auto"/>
        </w:rPr>
      </w:pPr>
    </w:p>
    <w:p>
      <w:pPr>
        <w:ind w:right="420" w:firstLine="885"/>
        <w:spacing w:after="0" w:line="277" w:lineRule="auto"/>
        <w:tabs>
          <w:tab w:leader="none" w:pos="11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jc w:val="both"/>
        <w:ind w:firstLine="885"/>
        <w:spacing w:after="0" w:line="259" w:lineRule="auto"/>
        <w:tabs>
          <w:tab w:leader="none" w:pos="112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corporation shall be qualified under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eligible under the provisions of </w:t>
      </w:r>
      <w:r>
        <w:rPr>
          <w:rFonts w:ascii="Arial" w:cs="Arial" w:eastAsia="Arial" w:hAnsi="Arial"/>
          <w:sz w:val="16"/>
          <w:szCs w:val="16"/>
          <w:u w:val="single" w:color="auto"/>
          <w:color w:val="auto"/>
        </w:rPr>
        <w:t>Section 7.09</w:t>
      </w:r>
      <w:r>
        <w:rPr>
          <w:rFonts w:ascii="Arial" w:cs="Arial" w:eastAsia="Arial" w:hAnsi="Arial"/>
          <w:sz w:val="16"/>
          <w:szCs w:val="16"/>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117"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205" w:name="page206"/>
    <w:bookmarkEnd w:id="2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CONCERNING THE SECURITYHOLDERS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Whenever in this Indenture it 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206" w:name="page207"/>
    <w:bookmarkEnd w:id="2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The fact and date of the execution by any such Person of any instrument may be proved in any reasonable manner acceptable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right="460" w:firstLine="885"/>
        <w:spacing w:after="0" w:line="308" w:lineRule="auto"/>
        <w:tabs>
          <w:tab w:leader="none" w:pos="113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Arial" w:cs="Arial" w:eastAsia="Arial" w:hAnsi="Arial"/>
          <w:sz w:val="18"/>
          <w:szCs w:val="18"/>
          <w:u w:val="single" w:color="auto"/>
          <w:color w:val="auto"/>
        </w:rPr>
        <w:t>Section 2.03</w:t>
      </w:r>
      <w:r>
        <w:rPr>
          <w:rFonts w:ascii="Arial" w:cs="Arial" w:eastAsia="Arial" w:hAnsi="Arial"/>
          <w:sz w:val="18"/>
          <w:szCs w:val="18"/>
          <w:color w:val="auto"/>
        </w:rPr>
        <w:t>) interest on such Security and for all other purposes; and neither the Company nor the Trustee nor any paying agent nor any Security Registrar shall be affected by any notice to the contrary.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 xml:space="preserve">At any time prior to (but not after) the evidencing to the Trustee,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revoke such action so far as concerns such Security. Except as aforesaid any such action taken by the holder of any Security shall be conclusive and binding upon such holder and upon all future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07" w:name="page208"/>
    <w:bookmarkEnd w:id="207"/>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57" w:lineRule="exact"/>
        <w:rPr>
          <w:sz w:val="20"/>
          <w:szCs w:val="20"/>
          <w:color w:val="auto"/>
        </w:rPr>
      </w:pPr>
    </w:p>
    <w:p>
      <w:pPr>
        <w:ind w:left="1140" w:hanging="25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firstLine="885"/>
        <w:spacing w:after="0" w:line="257" w:lineRule="auto"/>
        <w:tabs>
          <w:tab w:leader="none" w:pos="11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80" w:lineRule="exact"/>
        <w:rPr>
          <w:rFonts w:ascii="Arial" w:cs="Arial" w:eastAsia="Arial" w:hAnsi="Arial"/>
          <w:sz w:val="18"/>
          <w:szCs w:val="18"/>
          <w:color w:val="auto"/>
        </w:rPr>
      </w:pPr>
    </w:p>
    <w:p>
      <w:pPr>
        <w:ind w:right="540" w:firstLine="885"/>
        <w:spacing w:after="0" w:line="277" w:lineRule="auto"/>
        <w:tabs>
          <w:tab w:leader="none" w:pos="112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17"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to provide for the issuance of and establish the form and terms and conditions of the Securities of any series as provided in </w:t>
      </w:r>
      <w:r>
        <w:rPr>
          <w:rFonts w:ascii="Arial" w:cs="Arial" w:eastAsia="Arial" w:hAnsi="Arial"/>
          <w:sz w:val="18"/>
          <w:szCs w:val="18"/>
          <w:u w:val="single" w:color="auto"/>
          <w:color w:val="auto"/>
        </w:rPr>
        <w:t>Section 2.01</w:t>
      </w:r>
      <w:r>
        <w:rPr>
          <w:rFonts w:ascii="Arial" w:cs="Arial" w:eastAsia="Arial" w:hAnsi="Arial"/>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73" w:lineRule="exact"/>
        <w:rPr>
          <w:rFonts w:ascii="Arial" w:cs="Arial" w:eastAsia="Arial" w:hAnsi="Arial"/>
          <w:sz w:val="18"/>
          <w:szCs w:val="18"/>
          <w:color w:val="auto"/>
        </w:rPr>
      </w:pPr>
    </w:p>
    <w:p>
      <w:pPr>
        <w:ind w:right="80" w:firstLine="885"/>
        <w:spacing w:after="0" w:line="277" w:lineRule="auto"/>
        <w:tabs>
          <w:tab w:leader="none" w:pos="11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appoint a separate trustee with respect to any series; or</w:t>
      </w:r>
    </w:p>
    <w:p>
      <w:pPr>
        <w:spacing w:after="0" w:line="62" w:lineRule="exact"/>
        <w:rPr>
          <w:rFonts w:ascii="Arial" w:cs="Arial" w:eastAsia="Arial" w:hAnsi="Arial"/>
          <w:sz w:val="18"/>
          <w:szCs w:val="18"/>
          <w:color w:val="auto"/>
        </w:rPr>
      </w:pPr>
    </w:p>
    <w:p>
      <w:pPr>
        <w:ind w:right="300" w:firstLine="885"/>
        <w:spacing w:after="0" w:line="277" w:lineRule="auto"/>
        <w:tabs>
          <w:tab w:leader="none" w:pos="109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208" w:name="page209"/>
    <w:bookmarkEnd w:id="208"/>
    <w:p>
      <w:pPr>
        <w:ind w:right="6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With the consent (evidenced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the rights of the holders of the Securities of such series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Upon the execution of any supplemental indenture pursuant to the provisions of this Article or of </w:t>
      </w:r>
      <w:r>
        <w:rPr>
          <w:rFonts w:ascii="Arial" w:cs="Arial" w:eastAsia="Arial" w:hAnsi="Arial"/>
          <w:sz w:val="18"/>
          <w:szCs w:val="18"/>
          <w:u w:val="single" w:color="auto"/>
          <w:color w:val="auto"/>
        </w:rPr>
        <w:t>Section 10.01</w:t>
      </w:r>
      <w:r>
        <w:rPr>
          <w:rFonts w:ascii="Arial" w:cs="Arial" w:eastAsia="Arial" w:hAnsi="Arial"/>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09" w:name="page210"/>
    <w:bookmarkEnd w:id="2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 xml:space="preserve">Securities of any series affected by a supplemental indenture, authenticated and delivered after the execution of such supplemental indenture pursuant to the provisions of this Article or of </w:t>
      </w:r>
      <w:r>
        <w:rPr>
          <w:rFonts w:ascii="Arial" w:cs="Arial" w:eastAsia="Arial" w:hAnsi="Arial"/>
          <w:sz w:val="17"/>
          <w:szCs w:val="17"/>
          <w:u w:val="single" w:color="auto"/>
          <w:color w:val="auto"/>
        </w:rPr>
        <w:t>Section 10.01</w:t>
      </w:r>
      <w:r>
        <w:rPr>
          <w:rFonts w:ascii="Arial" w:cs="Arial" w:eastAsia="Arial" w:hAnsi="Arial"/>
          <w:sz w:val="17"/>
          <w:szCs w:val="17"/>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6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 ENTITY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11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210" w:name="page211"/>
    <w:bookmarkEnd w:id="210"/>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successors) authorized to acquire and operate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w:t>
      </w:r>
    </w:p>
    <w:p>
      <w:pPr>
        <w:spacing w:after="0" w:line="3" w:lineRule="exact"/>
        <w:rPr>
          <w:sz w:val="20"/>
          <w:szCs w:val="20"/>
          <w:color w:val="auto"/>
        </w:rPr>
      </w:pPr>
    </w:p>
    <w:p>
      <w:pPr>
        <w:ind w:firstLine="4"/>
        <w:spacing w:after="0" w:line="268" w:lineRule="auto"/>
        <w:tabs>
          <w:tab w:leader="none" w:pos="25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right="220" w:firstLine="885"/>
        <w:spacing w:after="0" w:line="302" w:lineRule="auto"/>
        <w:tabs>
          <w:tab w:leader="none" w:pos="112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46" w:lineRule="exact"/>
        <w:rPr>
          <w:rFonts w:ascii="Arial" w:cs="Arial" w:eastAsia="Arial" w:hAnsi="Arial"/>
          <w:sz w:val="16"/>
          <w:szCs w:val="16"/>
          <w:color w:val="auto"/>
        </w:rPr>
      </w:pPr>
    </w:p>
    <w:p>
      <w:pPr>
        <w:ind w:right="20" w:firstLine="885"/>
        <w:spacing w:after="0" w:line="277" w:lineRule="auto"/>
        <w:tabs>
          <w:tab w:leader="none" w:pos="11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ind w:right="40" w:firstLine="885"/>
        <w:spacing w:after="0" w:line="264" w:lineRule="auto"/>
        <w:tabs>
          <w:tab w:leader="none" w:pos="112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Arial" w:cs="Arial" w:eastAsia="Arial" w:hAnsi="Arial"/>
          <w:sz w:val="16"/>
          <w:szCs w:val="16"/>
          <w:u w:val="single" w:color="auto"/>
          <w:color w:val="auto"/>
        </w:rPr>
        <w:t>Section 11.05</w:t>
      </w:r>
      <w:r>
        <w:rPr>
          <w:rFonts w:ascii="Arial" w:cs="Arial" w:eastAsia="Arial" w:hAnsi="Arial"/>
          <w:sz w:val="16"/>
          <w:szCs w:val="16"/>
          <w:color w:val="auto"/>
        </w:rPr>
        <w:t>); or</w:t>
      </w:r>
    </w:p>
    <w:p>
      <w:pPr>
        <w:spacing w:after="0" w:line="2" w:lineRule="exact"/>
        <w:rPr>
          <w:sz w:val="20"/>
          <w:szCs w:val="20"/>
          <w:color w:val="auto"/>
        </w:rPr>
      </w:pPr>
    </w:p>
    <w:p>
      <w:pPr>
        <w:ind w:firstLine="4"/>
        <w:spacing w:after="0" w:line="286" w:lineRule="auto"/>
        <w:tabs>
          <w:tab w:leader="none" w:pos="25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that shall survive until the date of maturity or redemption date, as the case may be, and </w:t>
      </w:r>
      <w:r>
        <w:rPr>
          <w:rFonts w:ascii="Arial" w:cs="Arial" w:eastAsia="Arial" w:hAnsi="Arial"/>
          <w:sz w:val="16"/>
          <w:szCs w:val="16"/>
          <w:u w:val="single" w:color="auto"/>
          <w:color w:val="auto"/>
        </w:rPr>
        <w:t>Sections 7.06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11.05</w:t>
      </w:r>
      <w:r>
        <w:rPr>
          <w:rFonts w:ascii="Arial" w:cs="Arial" w:eastAsia="Arial" w:hAnsi="Arial"/>
          <w:sz w:val="16"/>
          <w:szCs w:val="16"/>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 xml:space="preserve">If at any time all such Securities of a particular series not heretofore delivered to the Trustee for cancellation or that have not become due and payable as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11.05</w:t>
      </w:r>
      <w:r>
        <w:rPr>
          <w:rFonts w:ascii="Arial" w:cs="Arial" w:eastAsia="Arial" w:hAnsi="Arial"/>
          <w:sz w:val="16"/>
          <w:szCs w:val="16"/>
          <w:color w:val="auto"/>
        </w:rPr>
        <w:t xml:space="preserve"> hereof that shall survive until such Securities shall mature and be paid.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Thereafter, </w:t>
      </w:r>
      <w:r>
        <w:rPr>
          <w:rFonts w:ascii="Arial" w:cs="Arial" w:eastAsia="Arial" w:hAnsi="Arial"/>
          <w:sz w:val="18"/>
          <w:szCs w:val="18"/>
          <w:u w:val="single" w:color="auto"/>
          <w:color w:val="auto"/>
        </w:rPr>
        <w:t>Sections 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11.05</w:t>
      </w:r>
      <w:r>
        <w:rPr>
          <w:rFonts w:ascii="Arial" w:cs="Arial" w:eastAsia="Arial" w:hAnsi="Arial"/>
          <w:sz w:val="18"/>
          <w:szCs w:val="18"/>
          <w:color w:val="auto"/>
        </w:rPr>
        <w:t xml:space="preserve"> shall survive.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0" w:right="439" w:bottom="1440" w:gutter="0" w:footer="0" w:header="0"/>
        </w:sectPr>
      </w:pPr>
    </w:p>
    <w:bookmarkStart w:id="212" w:name="page213"/>
    <w:bookmarkEnd w:id="2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 xml:space="preserve">All moneys or Governmental Obligations deposited with the Trustee pursuant to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11.02</w:t>
      </w:r>
      <w:r>
        <w:rPr>
          <w:rFonts w:ascii="Arial" w:cs="Arial" w:eastAsia="Arial" w:hAnsi="Arial"/>
          <w:sz w:val="16"/>
          <w:szCs w:val="16"/>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11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11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214" w:name="page215"/>
    <w:bookmarkEnd w:id="2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13.05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79" w:lineRule="auto"/>
        <w:tabs>
          <w:tab w:leader="none" w:pos="112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Arial" w:cs="Arial" w:eastAsia="Arial" w:hAnsi="Arial"/>
          <w:sz w:val="17"/>
          <w:szCs w:val="17"/>
          <w:u w:val="single" w:color="auto"/>
          <w:color w:val="auto"/>
        </w:rPr>
        <w:t>Section 13.12</w:t>
      </w:r>
      <w:r>
        <w:rPr>
          <w:rFonts w:ascii="Arial" w:cs="Arial" w:eastAsia="Arial" w:hAnsi="Arial"/>
          <w:sz w:val="17"/>
          <w:szCs w:val="17"/>
          <w:color w:val="auto"/>
        </w:rPr>
        <w:t>) relating to the proposed action have been complied with and an Opinion of Counsel stating that in the opinion of such counsel all such covenants and conditions precedent have been complied with.</w:t>
      </w:r>
    </w:p>
    <w:p>
      <w:pPr>
        <w:spacing w:after="0" w:line="63" w:lineRule="exact"/>
        <w:rPr>
          <w:rFonts w:ascii="Arial" w:cs="Arial" w:eastAsia="Arial" w:hAnsi="Arial"/>
          <w:sz w:val="17"/>
          <w:szCs w:val="17"/>
          <w:color w:val="auto"/>
        </w:rPr>
      </w:pPr>
    </w:p>
    <w:p>
      <w:pPr>
        <w:ind w:firstLine="885"/>
        <w:spacing w:after="0" w:line="273" w:lineRule="auto"/>
        <w:tabs>
          <w:tab w:leader="none" w:pos="113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Except as provided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215" w:name="page216"/>
    <w:bookmarkEnd w:id="2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11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Arial" w:cs="Arial" w:eastAsia="Arial" w:hAnsi="Arial"/>
          <w:sz w:val="17"/>
          <w:szCs w:val="17"/>
          <w:u w:val="single" w:color="auto"/>
          <w:color w:val="auto"/>
        </w:rPr>
        <w:t>Section 13.12</w:t>
      </w:r>
      <w:r>
        <w:rPr>
          <w:rFonts w:ascii="Arial" w:cs="Arial" w:eastAsia="Arial" w:hAnsi="Arial"/>
          <w:sz w:val="17"/>
          <w:szCs w:val="17"/>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216" w:name="page217"/>
    <w:bookmarkEnd w:id="2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13.14 </w:t>
      </w:r>
      <w:r>
        <w:rPr>
          <w:rFonts w:ascii="Arial" w:cs="Arial" w:eastAsia="Arial" w:hAnsi="Arial"/>
          <w:sz w:val="18"/>
          <w:szCs w:val="18"/>
          <w:u w:val="single" w:color="auto"/>
          <w:color w:val="auto"/>
        </w:rPr>
        <w:t>Calculations</w:t>
      </w:r>
      <w:r>
        <w:rPr>
          <w:rFonts w:ascii="Arial" w:cs="Arial" w:eastAsia="Arial" w:hAnsi="Arial"/>
          <w:sz w:val="18"/>
          <w:szCs w:val="18"/>
          <w:color w:val="auto"/>
        </w:rPr>
        <w:t>.</w:t>
      </w:r>
    </w:p>
    <w:p>
      <w:pPr>
        <w:spacing w:after="0" w:line="117"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SUBORDINATION OF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80"/>
          </w:cols>
          <w:pgMar w:left="440" w:top="274" w:right="579" w:bottom="1440" w:gutter="0" w:footer="0" w:header="0"/>
        </w:sectPr>
      </w:pPr>
    </w:p>
    <w:bookmarkStart w:id="217" w:name="page218"/>
    <w:bookmarkEnd w:id="2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Indenture to be duly executed all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 xml:space="preserve">AVROBIO, INC., </w:t>
      </w:r>
      <w:r>
        <w:rPr>
          <w:rFonts w:ascii="Arial" w:cs="Arial" w:eastAsia="Arial" w:hAnsi="Arial"/>
          <w:sz w:val="18"/>
          <w:szCs w:val="18"/>
          <w:color w:val="auto"/>
        </w:rPr>
        <w:t>as Issuer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 as Trustee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Form of Indenture</w:t>
      </w:r>
    </w:p>
    <w:p>
      <w:pPr>
        <w:sectPr>
          <w:pgSz w:w="11900" w:h="16838" w:orient="portrait"/>
          <w:cols w:equalWidth="0" w:num="1">
            <w:col w:w="10040"/>
          </w:cols>
          <w:pgMar w:left="880" w:top="270" w:right="97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 INDENTURE ACT CROSS-REFERENCE TABLE</w:t>
      </w:r>
      <w:r>
        <w:rPr>
          <w:rFonts w:ascii="Arial" w:cs="Arial" w:eastAsia="Arial" w:hAnsi="Arial"/>
          <w:sz w:val="15"/>
          <w:szCs w:val="15"/>
          <w:b w:val="1"/>
          <w:bCs w:val="1"/>
          <w:color w:val="auto"/>
        </w:rPr>
        <w:t>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Section of Trust Indenture Act of 1939, as amended</w:t>
            </w:r>
          </w:p>
        </w:tc>
        <w:tc>
          <w:tcPr>
            <w:tcW w:w="5100" w:type="dxa"/>
            <w:vAlign w:val="bottom"/>
          </w:tcPr>
          <w:p>
            <w:pPr>
              <w:spacing w:after="0"/>
              <w:rPr>
                <w:sz w:val="16"/>
                <w:szCs w:val="16"/>
                <w:color w:val="auto"/>
              </w:rPr>
            </w:pPr>
          </w:p>
        </w:tc>
        <w:tc>
          <w:tcPr>
            <w:tcW w:w="2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Section of Indenture</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5100" w:type="dxa"/>
            <w:vAlign w:val="bottom"/>
          </w:tcPr>
          <w:p>
            <w:pPr>
              <w:spacing w:after="0"/>
              <w:rPr>
                <w:sz w:val="16"/>
                <w:szCs w:val="16"/>
                <w:color w:val="auto"/>
              </w:rPr>
            </w:pPr>
          </w:p>
        </w:tc>
        <w:tc>
          <w:tcPr>
            <w:tcW w:w="2760" w:type="dxa"/>
            <w:vAlign w:val="bottom"/>
          </w:tcPr>
          <w:p>
            <w:pPr>
              <w:spacing w:after="0" w:line="189" w:lineRule="exact"/>
              <w:rPr>
                <w:sz w:val="20"/>
                <w:szCs w:val="20"/>
                <w:color w:val="auto"/>
              </w:rPr>
            </w:pPr>
            <w:r>
              <w:rPr>
                <w:rFonts w:ascii="Arial" w:cs="Arial" w:eastAsia="Arial" w:hAnsi="Arial"/>
                <w:sz w:val="18"/>
                <w:szCs w:val="18"/>
                <w:color w:val="auto"/>
              </w:rPr>
              <w:t>7.09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7.08</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310(c)</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7.13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7.13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311(c)</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5.01</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5.02(a)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5.02(c)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312(c)</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5.02(c)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5.04(a)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5.04(b)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313(c)</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5.04(a)</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5.04(b)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313(d)</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5.04(c)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5.03</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13.12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314(c)</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13.07(a)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314(d)</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314(e)</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13.07(b)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314(f)</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7.01(a)</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7.01(b)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7.14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315(c)</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7.01(a)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315(d)</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7.01(b)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315(e)</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6.07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6.06</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8.04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6.04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316(c)</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8.01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6.02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317(b)</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4.03</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318(a)</w:t>
            </w:r>
          </w:p>
        </w:tc>
        <w:tc>
          <w:tcPr>
            <w:tcW w:w="7860" w:type="dxa"/>
            <w:vAlign w:val="bottom"/>
            <w:gridSpan w:val="2"/>
          </w:tcPr>
          <w:p>
            <w:pPr>
              <w:ind w:left="5080"/>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440" w:right="380" w:hanging="436"/>
        <w:spacing w:after="0" w:line="277" w:lineRule="auto"/>
        <w:tabs>
          <w:tab w:leader="none" w:pos="440" w:val="left"/>
        </w:tabs>
        <w:numPr>
          <w:ilvl w:val="0"/>
          <w:numId w:val="213"/>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40"/>
          </w:cols>
          <w:pgMar w:left="440" w:top="270" w:right="4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(as amended or supplemented, the “Registration Statement”) pursuant to the Securities Act of 1933, as amended (the “Securities Act”), relating to the offering by AVROBIO, Inc., a Delaware corporation (the “Company”), of up to $200,000,000 of any combination of (i) common stock, par value $0.0001 per share (the “Common Stock”), of the Company, (ii) preferred stock, par value $0.0001 per share, of the Company (the “Preferred Stock”), (iii) debt securities of the Company (“Debt Securities”), (iv) warrants to purchase Common Stock, Preferred Stock and/or Debt Securities (“Warrants”) and (v) units comprised of Common Stock, Preferred Stock, Debt Securities and Warrants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to the prospectus contained in the Registration Statement.</w:t>
      </w:r>
    </w:p>
    <w:p>
      <w:pPr>
        <w:spacing w:after="0" w:line="17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w:t>
      </w:r>
    </w:p>
    <w:p>
      <w:pPr>
        <w:sectPr>
          <w:pgSz w:w="11900" w:h="16838" w:orient="portrait"/>
          <w:cols w:equalWidth="0" w:num="1">
            <w:col w:w="11020"/>
          </w:cols>
          <w:pgMar w:left="440" w:top="121" w:right="4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available for issuance under the Company’s certificate of incorporation as then in effect (the “Charter”).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opinions set forth below, we refer to the following as the “Future Authorization and Issuance” of Securities:</w:t>
      </w:r>
    </w:p>
    <w:p>
      <w:pPr>
        <w:spacing w:after="0" w:line="131" w:lineRule="exact"/>
        <w:rPr>
          <w:sz w:val="20"/>
          <w:szCs w:val="20"/>
          <w:color w:val="auto"/>
        </w:rPr>
      </w:pPr>
    </w:p>
    <w:p>
      <w:pPr>
        <w:ind w:left="1420" w:right="40" w:hanging="538"/>
        <w:spacing w:after="0" w:line="259" w:lineRule="auto"/>
        <w:tabs>
          <w:tab w:leader="none" w:pos="1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92" w:lineRule="exact"/>
        <w:rPr>
          <w:rFonts w:ascii="Arial" w:cs="Arial" w:eastAsia="Arial" w:hAnsi="Arial"/>
          <w:sz w:val="18"/>
          <w:szCs w:val="18"/>
          <w:color w:val="auto"/>
        </w:rPr>
      </w:pPr>
    </w:p>
    <w:p>
      <w:pPr>
        <w:ind w:left="1420" w:right="180" w:hanging="538"/>
        <w:spacing w:after="0" w:line="259" w:lineRule="auto"/>
        <w:tabs>
          <w:tab w:leader="none" w:pos="1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92" w:lineRule="exact"/>
        <w:rPr>
          <w:rFonts w:ascii="Arial" w:cs="Arial" w:eastAsia="Arial" w:hAnsi="Arial"/>
          <w:sz w:val="18"/>
          <w:szCs w:val="18"/>
          <w:color w:val="auto"/>
        </w:rPr>
      </w:pPr>
    </w:p>
    <w:p>
      <w:pPr>
        <w:ind w:left="1420" w:right="40" w:hanging="538"/>
        <w:spacing w:after="0" w:line="257" w:lineRule="auto"/>
        <w:tabs>
          <w:tab w:leader="none" w:pos="14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93" w:lineRule="exact"/>
        <w:rPr>
          <w:rFonts w:ascii="Arial" w:cs="Arial" w:eastAsia="Arial" w:hAnsi="Arial"/>
          <w:sz w:val="18"/>
          <w:szCs w:val="18"/>
          <w:color w:val="auto"/>
        </w:rPr>
      </w:pPr>
    </w:p>
    <w:p>
      <w:pPr>
        <w:jc w:val="both"/>
        <w:ind w:left="1420" w:right="60" w:hanging="538"/>
        <w:spacing w:after="0" w:line="286" w:lineRule="auto"/>
        <w:tabs>
          <w:tab w:leader="none" w:pos="14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ectPr>
          <w:pgSz w:w="11900" w:h="16838" w:orient="portrait"/>
          <w:cols w:equalWidth="0" w:num="1">
            <w:col w:w="10960"/>
          </w:cols>
          <w:pgMar w:left="440" w:top="274" w:right="49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80" w:firstLine="444"/>
        <w:spacing w:after="0" w:line="277" w:lineRule="auto"/>
        <w:tabs>
          <w:tab w:leader="none" w:pos="62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Common Stock, such shares of Common Stock will be validly issued, fully paid and nonassessable.</w:t>
      </w:r>
    </w:p>
    <w:p>
      <w:pPr>
        <w:spacing w:after="0" w:line="62" w:lineRule="exact"/>
        <w:rPr>
          <w:rFonts w:ascii="Arial" w:cs="Arial" w:eastAsia="Arial" w:hAnsi="Arial"/>
          <w:sz w:val="18"/>
          <w:szCs w:val="18"/>
          <w:color w:val="auto"/>
        </w:rPr>
      </w:pPr>
    </w:p>
    <w:p>
      <w:pPr>
        <w:ind w:right="80" w:firstLine="444"/>
        <w:spacing w:after="0" w:line="277" w:lineRule="auto"/>
        <w:tabs>
          <w:tab w:leader="none" w:pos="62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Preferred Stock, such shares of Preferred Stock will be validly issued, fully paid and nonassessable.</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Upon the Future Authorization and Issuance of Debt Securities, such Debt Securities will be valid and binding obligations of the Company.</w:t>
      </w:r>
    </w:p>
    <w:p>
      <w:pPr>
        <w:spacing w:after="0" w:line="140" w:lineRule="exact"/>
        <w:rPr>
          <w:rFonts w:ascii="Arial" w:cs="Arial" w:eastAsia="Arial" w:hAnsi="Arial"/>
          <w:sz w:val="16"/>
          <w:szCs w:val="16"/>
          <w:color w:val="auto"/>
        </w:rPr>
      </w:pPr>
    </w:p>
    <w:p>
      <w:pPr>
        <w:ind w:left="620" w:hanging="176"/>
        <w:spacing w:after="0"/>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the Future Authorization and Issuance of Warrants, such Warrants will be valid and binding obligations of the Company.</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 xml:space="preserve">This opinion letter and the opinions it contains shall be interpreted in accordance with the Legal Opinion Principles issued by the Committee on Legal Opinions of the American Bar Association’s Business Law Section as published in 53 </w:t>
      </w:r>
      <w:r>
        <w:rPr>
          <w:rFonts w:ascii="Arial" w:cs="Arial" w:eastAsia="Arial" w:hAnsi="Arial"/>
          <w:sz w:val="17"/>
          <w:szCs w:val="17"/>
          <w:i w:val="1"/>
          <w:iCs w:val="1"/>
          <w:color w:val="auto"/>
        </w:rPr>
        <w:t>Business Lawyer</w:t>
      </w:r>
      <w:r>
        <w:rPr>
          <w:rFonts w:ascii="Arial" w:cs="Arial" w:eastAsia="Arial" w:hAnsi="Arial"/>
          <w:sz w:val="17"/>
          <w:szCs w:val="17"/>
          <w:color w:val="auto"/>
        </w:rPr>
        <w:t xml:space="preserve"> 831 (May 1998).</w:t>
      </w:r>
    </w:p>
    <w:p>
      <w:pPr>
        <w:spacing w:after="0" w:line="14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Goodwin Procter </w:t>
      </w:r>
      <w:r>
        <w:rPr>
          <w:rFonts w:ascii="Arial" w:cs="Arial" w:eastAsia="Arial" w:hAnsi="Arial"/>
          <w:sz w:val="15"/>
          <w:szCs w:val="15"/>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900"/>
          </w:cols>
          <w:pgMar w:left="440" w:top="274" w:right="55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S-3 (as amended or supplemented, the “Registration Statement”) filed on July 1, 2019 with the Securities and Exchange Commission (the “Commission”) pursuant to the Securities Act of 1933, as amended (the “Securities Act”), relating to the registration of the offering by AVROBIO, Inc., a Delaware corporation (the “Company”) of up to $200,000,000 of any combination of securities of the types specified therein. Reference is made to our opinion letter dated July 1, 2019 and included as Exhibit 5.1 to the Registration Statement. We are delivering this supplemental opinion letter in connection with the sales agreement prospectus (the “Prospectus”) contained in the Registration Statement. The Prospectus relates to the offering by the Company of up to $50,000,000 in shares (the “Shares”) of the Company’s common stock, par value $0.0001 per share (“Common Stock”) covered by the Registration Statement. The Shares are being offered and sold by the sales agent named in, and pursuant to, the sales agreement among the Company and such sales agent.</w:t>
      </w:r>
    </w:p>
    <w:p>
      <w:pPr>
        <w:spacing w:after="0" w:line="166"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8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ectPr>
          <w:pgSz w:w="11900" w:h="16838" w:orient="portrait"/>
          <w:cols w:equalWidth="0" w:num="1">
            <w:col w:w="11020"/>
          </w:cols>
          <w:pgMar w:left="440" w:top="121" w:right="4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Future Approval and Issuance, will be validly issued, fully paid and nonassessable.</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letter as Exhibit 5.2 to the Registration Statement and the reference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Goodwin Procter </w:t>
      </w:r>
      <w:r>
        <w:rPr>
          <w:rFonts w:ascii="Arial" w:cs="Arial" w:eastAsia="Arial" w:hAnsi="Arial"/>
          <w:sz w:val="15"/>
          <w:szCs w:val="15"/>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880"/>
          </w:cols>
          <w:pgMar w:left="440" w:top="274" w:right="57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AVROBIO, Inc. for the registration of common stock, preferred stock, debt securities, warrants and units, and to the incorporation by reference therein of our report dated March 25, 2019, with respect to the consolidated financial statements of AVROBIO, Inc., included in its Annual Report (Form 10-K) for the year ended December 31, 2018,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1,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1)"/>
      <w:numFmt w:val="decimal"/>
      <w:start w:val="1"/>
    </w:lvl>
  </w:abstractNum>
  <w:abstractNum w:abstractNumId="1">
    <w:nsid w:val="2A155DBC"/>
    <w:multiLevelType w:val="hybridMultilevel"/>
    <w:lvl w:ilvl="0">
      <w:lvlJc w:val="left"/>
      <w:lvlText w:val="∎"/>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1)"/>
      <w:numFmt w:val="decimal"/>
      <w:start w:val="2"/>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
      <w:numFmt w:val="bullet"/>
      <w:start w:val="1"/>
    </w:lvl>
  </w:abstractNum>
  <w:abstractNum w:abstractNumId="12">
    <w:nsid w:val="E7FFA2B"/>
    <w:multiLevelType w:val="hybridMultilevel"/>
    <w:lvl w:ilvl="0">
      <w:lvlJc w:val="left"/>
      <w:lvlText w:val="∎"/>
      <w:numFmt w:val="bullet"/>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
      <w:numFmt w:val="bullet"/>
      <w:start w:val="1"/>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
      <w:numFmt w:val="bullet"/>
      <w:start w:val="1"/>
    </w:lvl>
  </w:abstractNum>
  <w:abstractNum w:abstractNumId="27">
    <w:nsid w:val="3DB012B3"/>
    <w:multiLevelType w:val="hybridMultilevel"/>
    <w:lvl w:ilvl="0">
      <w:lvlJc w:val="left"/>
      <w:lvlText w:val="∎"/>
      <w:numFmt w:val="bullet"/>
      <w:start w:val="1"/>
    </w:lvl>
  </w:abstractNum>
  <w:abstractNum w:abstractNumId="28">
    <w:nsid w:val="2708C9AF"/>
    <w:multiLevelType w:val="hybridMultilevel"/>
    <w:lvl w:ilvl="0">
      <w:lvlJc w:val="left"/>
      <w:lvlText w:val="∎"/>
      <w:numFmt w:val="bullet"/>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
      <w:numFmt w:val="bullet"/>
      <w:start w:val="1"/>
    </w:lvl>
  </w:abstractNum>
  <w:abstractNum w:abstractNumId="32">
    <w:nsid w:val="53B0A9E"/>
    <w:multiLevelType w:val="hybridMultilevel"/>
    <w:lvl w:ilvl="0">
      <w:lvlJc w:val="left"/>
      <w:lvlText w:val="(%1)"/>
      <w:numFmt w:val="decimal"/>
      <w:start w:val="617"/>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1)"/>
      <w:numFmt w:val="decimal"/>
    </w:lvl>
    <w:lvl w:ilvl="1">
      <w:lvlJc w:val="left"/>
      <w:lvlText w:val="∎"/>
      <w:numFmt w:val="bullet"/>
      <w:start w:val="1"/>
    </w:lvl>
  </w:abstractNum>
  <w:abstractNum w:abstractNumId="44">
    <w:nsid w:val="19E21BB2"/>
    <w:multiLevelType w:val="hybridMultilevel"/>
    <w:lvl w:ilvl="0">
      <w:lvlJc w:val="left"/>
      <w:lvlText w:val="∎"/>
      <w:numFmt w:val="bullet"/>
      <w:start w:val="1"/>
    </w:lvl>
  </w:abstractNum>
  <w:abstractNum w:abstractNumId="45">
    <w:nsid w:val="75E0858A"/>
    <w:multiLevelType w:val="hybridMultilevel"/>
    <w:lvl w:ilvl="0">
      <w:lvlJc w:val="left"/>
      <w:lvlText w:val="∎"/>
      <w:numFmt w:val="bullet"/>
      <w:start w:val="1"/>
    </w:lvl>
  </w:abstractNum>
  <w:abstractNum w:abstractNumId="46">
    <w:nsid w:val="57A61A29"/>
    <w:multiLevelType w:val="hybridMultilevel"/>
    <w:lvl w:ilvl="0">
      <w:lvlJc w:val="left"/>
      <w:lvlText w:val="(%1)"/>
      <w:numFmt w:val="decimal"/>
      <w:start w:val="2"/>
    </w:lvl>
  </w:abstractNum>
  <w:abstractNum w:abstractNumId="47">
    <w:nsid w:val="5399C654"/>
    <w:multiLevelType w:val="hybridMultilevel"/>
    <w:lvl w:ilvl="0">
      <w:lvlJc w:val="left"/>
      <w:lvlText w:val="∎"/>
      <w:numFmt w:val="bullet"/>
      <w:start w:val="1"/>
    </w:lvl>
  </w:abstractNum>
  <w:abstractNum w:abstractNumId="48">
    <w:nsid w:val="20EE1348"/>
    <w:multiLevelType w:val="hybridMultilevel"/>
    <w:lvl w:ilvl="0">
      <w:lvlJc w:val="left"/>
      <w:lvlText w:val="∎"/>
      <w:numFmt w:val="bullet"/>
      <w:start w:val="1"/>
    </w:lvl>
  </w:abstractNum>
  <w:abstractNum w:abstractNumId="49">
    <w:nsid w:val="4427069A"/>
    <w:multiLevelType w:val="hybridMultilevel"/>
    <w:lvl w:ilvl="0">
      <w:lvlJc w:val="left"/>
      <w:lvlText w:val="∎"/>
      <w:numFmt w:val="bullet"/>
      <w:start w:val="1"/>
    </w:lvl>
  </w:abstractNum>
  <w:abstractNum w:abstractNumId="50">
    <w:nsid w:val="B37E80A"/>
    <w:multiLevelType w:val="hybridMultilevel"/>
    <w:lvl w:ilvl="0">
      <w:lvlJc w:val="left"/>
      <w:lvlText w:val="•"/>
      <w:numFmt w:val="bullet"/>
      <w:start w:val="1"/>
    </w:lvl>
  </w:abstractNum>
  <w:abstractNum w:abstractNumId="51">
    <w:nsid w:val="2157F6BC"/>
    <w:multiLevelType w:val="hybridMultilevel"/>
    <w:lvl w:ilvl="0">
      <w:lvlJc w:val="left"/>
      <w:lvlText w:val="•"/>
      <w:numFmt w:val="bullet"/>
      <w:start w:val="1"/>
    </w:lvl>
  </w:abstractNum>
  <w:abstractNum w:abstractNumId="52">
    <w:nsid w:val="704E1DD5"/>
    <w:multiLevelType w:val="hybridMultilevel"/>
    <w:lvl w:ilvl="0">
      <w:lvlJc w:val="left"/>
      <w:lvlText w:val="•"/>
      <w:numFmt w:val="bullet"/>
      <w:start w:val="1"/>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
      <w:numFmt w:val="bullet"/>
      <w:start w:val="1"/>
    </w:lvl>
  </w:abstractNum>
  <w:abstractNum w:abstractNumId="55">
    <w:nsid w:val="E3E47A8"/>
    <w:multiLevelType w:val="hybridMultilevel"/>
    <w:lvl w:ilvl="0">
      <w:lvlJc w:val="left"/>
      <w:lvlText w:val="(%1)"/>
      <w:numFmt w:val="decimal"/>
      <w:start w:val="1"/>
    </w:lvl>
  </w:abstractNum>
  <w:abstractNum w:abstractNumId="56">
    <w:nsid w:val="2E48F044"/>
    <w:multiLevelType w:val="hybridMultilevel"/>
    <w:lvl w:ilvl="0">
      <w:lvlJc w:val="left"/>
      <w:lvlText w:val="(%1)"/>
      <w:numFmt w:val="lowerRoman"/>
      <w:start w:val="2"/>
    </w:lvl>
  </w:abstractNum>
  <w:abstractNum w:abstractNumId="57">
    <w:nsid w:val="49D0FEAC"/>
    <w:multiLevelType w:val="hybridMultilevel"/>
    <w:lvl w:ilvl="0">
      <w:lvlJc w:val="left"/>
      <w:lvlText w:val="(%1)"/>
      <w:numFmt w:val="decimal"/>
      <w:start w:val="2"/>
    </w:lvl>
  </w:abstractNum>
  <w:abstractNum w:abstractNumId="58">
    <w:nsid w:val="4BEE5A5B"/>
    <w:multiLevelType w:val="hybridMultilevel"/>
    <w:lvl w:ilvl="0">
      <w:lvlJc w:val="left"/>
      <w:lvlText w:val="(%1)"/>
      <w:numFmt w:val="lowerRoman"/>
      <w:start w:val="1"/>
    </w:lvl>
  </w:abstractNum>
  <w:abstractNum w:abstractNumId="59">
    <w:nsid w:val="5551B9F3"/>
    <w:multiLevelType w:val="hybridMultilevel"/>
    <w:lvl w:ilvl="0">
      <w:lvlJc w:val="left"/>
      <w:lvlText w:val="(%1)"/>
      <w:numFmt w:val="decimal"/>
      <w:start w:val="5"/>
    </w:lvl>
  </w:abstractNum>
  <w:abstractNum w:abstractNumId="60">
    <w:nsid w:val="24F6AB8E"/>
    <w:multiLevelType w:val="hybridMultilevel"/>
    <w:lvl w:ilvl="0">
      <w:lvlJc w:val="left"/>
      <w:lvlText w:val="(%1)"/>
      <w:numFmt w:val="lowerRoman"/>
      <w:start w:val="1"/>
    </w:lvl>
  </w:abstractNum>
  <w:abstractNum w:abstractNumId="61">
    <w:nsid w:val="634C574C"/>
    <w:multiLevelType w:val="hybridMultilevel"/>
    <w:lvl w:ilvl="0">
      <w:lvlJc w:val="left"/>
      <w:lvlText w:val="(%1)"/>
      <w:numFmt w:val="decimal"/>
      <w:start w:val="6"/>
    </w:lvl>
  </w:abstractNum>
  <w:abstractNum w:abstractNumId="62">
    <w:nsid w:val="24E99DD7"/>
    <w:multiLevelType w:val="hybridMultilevel"/>
    <w:lvl w:ilvl="0">
      <w:lvlJc w:val="left"/>
      <w:lvlText w:val="%1."/>
      <w:numFmt w:val="decimal"/>
      <w:start w:val="1"/>
    </w:lvl>
  </w:abstractNum>
  <w:abstractNum w:abstractNumId="63">
    <w:nsid w:val="2A31B62D"/>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64">
    <w:nsid w:val="1849C29B"/>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65">
    <w:nsid w:val="7DFF9D09"/>
    <w:multiLevelType w:val="hybridMultilevel"/>
    <w:lvl w:ilvl="0">
      <w:lvlJc w:val="left"/>
      <w:lvlText w:val="%1"/>
      <w:numFmt w:val="lowerRoman"/>
      <w:start w:val="1"/>
    </w:lvl>
    <w:lvl w:ilvl="1">
      <w:lvlJc w:val="left"/>
      <w:lvlText w:val="%2."/>
      <w:numFmt w:val="decimal"/>
      <w:start w:val="3"/>
    </w:lvl>
  </w:abstractNum>
  <w:abstractNum w:abstractNumId="66">
    <w:nsid w:val="754342"/>
    <w:multiLevelType w:val="hybridMultilevel"/>
    <w:lvl w:ilvl="0">
      <w:lvlJc w:val="left"/>
      <w:lvlText w:val="(%1)"/>
      <w:numFmt w:val="lowerRoman"/>
      <w:start w:val="2"/>
    </w:lvl>
    <w:lvl w:ilvl="1">
      <w:lvlJc w:val="left"/>
      <w:lvlText w:val="%2."/>
      <w:numFmt w:val="decimal"/>
      <w:start w:val="4"/>
    </w:lvl>
  </w:abstractNum>
  <w:abstractNum w:abstractNumId="67">
    <w:nsid w:val="69E7F3E5"/>
    <w:multiLevelType w:val="hybridMultilevel"/>
    <w:lvl w:ilvl="0">
      <w:lvlJc w:val="left"/>
      <w:lvlText w:val="(%1)"/>
      <w:numFmt w:val="lowerLetter"/>
      <w:start w:val="1"/>
    </w:lvl>
    <w:lvl w:ilvl="1">
      <w:lvlJc w:val="left"/>
      <w:lvlText w:val="-"/>
      <w:numFmt w:val="bullet"/>
      <w:start w:val="1"/>
    </w:lvl>
  </w:abstractNum>
  <w:abstractNum w:abstractNumId="68">
    <w:nsid w:val="2A6DE806"/>
    <w:multiLevelType w:val="hybridMultilevel"/>
    <w:lvl w:ilvl="0">
      <w:lvlJc w:val="left"/>
      <w:lvlText w:val="(%1)"/>
      <w:numFmt w:val="lowerLetter"/>
      <w:start w:val="3"/>
    </w:lvl>
  </w:abstractNum>
  <w:abstractNum w:abstractNumId="69">
    <w:nsid w:val="1816F8C4"/>
    <w:multiLevelType w:val="hybridMultilevel"/>
    <w:lvl w:ilvl="0">
      <w:lvlJc w:val="left"/>
      <w:lvlText w:val="%1."/>
      <w:numFmt w:val="decimal"/>
      <w:start w:val="5"/>
    </w:lvl>
  </w:abstractNum>
  <w:abstractNum w:abstractNumId="70">
    <w:nsid w:val="37DF2233"/>
    <w:multiLevelType w:val="hybridMultilevel"/>
    <w:lvl w:ilvl="0">
      <w:lvlJc w:val="left"/>
      <w:lvlText w:val="(%1)"/>
      <w:numFmt w:val="lowerLetter"/>
      <w:start w:val="1"/>
    </w:lvl>
    <w:lvl w:ilvl="1">
      <w:lvlJc w:val="left"/>
      <w:lvlText w:val="-"/>
      <w:numFmt w:val="bullet"/>
      <w:start w:val="1"/>
    </w:lvl>
  </w:abstractNum>
  <w:abstractNum w:abstractNumId="71">
    <w:nsid w:val="7AB49DAF"/>
    <w:multiLevelType w:val="hybridMultilevel"/>
    <w:lvl w:ilvl="0">
      <w:lvlJc w:val="left"/>
      <w:lvlText w:val="%1."/>
      <w:numFmt w:val="decimal"/>
      <w:start w:val="6"/>
    </w:lvl>
  </w:abstractNum>
  <w:abstractNum w:abstractNumId="72">
    <w:nsid w:val="759F82CD"/>
    <w:multiLevelType w:val="hybridMultilevel"/>
    <w:lvl w:ilvl="0">
      <w:lvlJc w:val="left"/>
      <w:lvlText w:val="(%1)"/>
      <w:numFmt w:val="lowerLetter"/>
      <w:start w:val="1"/>
    </w:lvl>
    <w:lvl w:ilvl="1">
      <w:lvlJc w:val="left"/>
      <w:lvlText w:val="-"/>
      <w:numFmt w:val="bullet"/>
      <w:start w:val="1"/>
    </w:lvl>
  </w:abstractNum>
  <w:abstractNum w:abstractNumId="73">
    <w:nsid w:val="61E74EA3"/>
    <w:multiLevelType w:val="hybridMultilevel"/>
    <w:lvl w:ilvl="0">
      <w:lvlJc w:val="left"/>
      <w:lvlText w:val="(%1)"/>
      <w:numFmt w:val="lowerLetter"/>
      <w:start w:val="6"/>
    </w:lvl>
    <w:lvl w:ilvl="1">
      <w:lvlJc w:val="left"/>
      <w:lvlText w:val="-"/>
      <w:numFmt w:val="bullet"/>
      <w:start w:val="1"/>
    </w:lvl>
  </w:abstractNum>
  <w:abstractNum w:abstractNumId="74">
    <w:nsid w:val="597B4D84"/>
    <w:multiLevelType w:val="hybridMultilevel"/>
    <w:lvl w:ilvl="0">
      <w:lvlJc w:val="left"/>
      <w:lvlText w:val="(%1)"/>
      <w:numFmt w:val="lowerLetter"/>
      <w:start w:val="13"/>
    </w:lvl>
    <w:lvl w:ilvl="1">
      <w:lvlJc w:val="left"/>
      <w:lvlText w:val="-"/>
      <w:numFmt w:val="bullet"/>
      <w:start w:val="1"/>
    </w:lvl>
  </w:abstractNum>
  <w:abstractNum w:abstractNumId="75">
    <w:nsid w:val="F819E7F"/>
    <w:multiLevelType w:val="hybridMultilevel"/>
    <w:lvl w:ilvl="0">
      <w:lvlJc w:val="left"/>
      <w:lvlText w:val="(%1)"/>
      <w:numFmt w:val="lowerLetter"/>
      <w:start w:val="18"/>
    </w:lvl>
    <w:lvl w:ilvl="1">
      <w:lvlJc w:val="left"/>
      <w:lvlText w:val="-"/>
      <w:numFmt w:val="bullet"/>
      <w:start w:val="1"/>
    </w:lvl>
  </w:abstractNum>
  <w:abstractNum w:abstractNumId="76">
    <w:nsid w:val="57C7D42D"/>
    <w:multiLevelType w:val="hybridMultilevel"/>
    <w:lvl w:ilvl="0">
      <w:lvlJc w:val="left"/>
      <w:lvlText w:val="(%1)"/>
      <w:numFmt w:val="lowerRoman"/>
      <w:start w:val="5"/>
    </w:lvl>
    <w:lvl w:ilvl="1">
      <w:lvlJc w:val="left"/>
      <w:lvlText w:val="(%2)"/>
      <w:numFmt w:val="upperLetter"/>
      <w:start w:val="1"/>
    </w:lvl>
  </w:abstractNum>
  <w:abstractNum w:abstractNumId="77">
    <w:nsid w:val="312167AD"/>
    <w:multiLevelType w:val="hybridMultilevel"/>
    <w:lvl w:ilvl="0">
      <w:lvlJc w:val="left"/>
      <w:lvlText w:val="(%1)"/>
      <w:numFmt w:val="lowerRoman"/>
      <w:start w:val="2"/>
    </w:lvl>
  </w:abstractNum>
  <w:abstractNum w:abstractNumId="78">
    <w:nsid w:val="631B64D4"/>
    <w:multiLevelType w:val="hybridMultilevel"/>
    <w:lvl w:ilvl="0">
      <w:lvlJc w:val="left"/>
      <w:lvlText w:val="(%1)"/>
      <w:numFmt w:val="upperLetter"/>
      <w:start w:val="1"/>
    </w:lvl>
  </w:abstractNum>
  <w:abstractNum w:abstractNumId="79">
    <w:nsid w:val="78B5E776"/>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80">
    <w:nsid w:val="75486E47"/>
    <w:multiLevelType w:val="hybridMultilevel"/>
    <w:lvl w:ilvl="0">
      <w:lvlJc w:val="left"/>
      <w:lvlText w:val="(%1)"/>
      <w:numFmt w:val="lowerLetter"/>
      <w:start w:val="23"/>
    </w:lvl>
    <w:lvl w:ilvl="1">
      <w:lvlJc w:val="left"/>
      <w:lvlText w:val="%2"/>
      <w:numFmt w:val="lowerLetter"/>
      <w:start w:val="1"/>
    </w:lvl>
    <w:lvl w:ilvl="2">
      <w:lvlJc w:val="left"/>
      <w:lvlText w:val="-"/>
      <w:numFmt w:val="bullet"/>
      <w:start w:val="1"/>
    </w:lvl>
  </w:abstractNum>
  <w:abstractNum w:abstractNumId="81">
    <w:nsid w:val="6E534CDE"/>
    <w:multiLevelType w:val="hybridMultilevel"/>
    <w:lvl w:ilvl="0">
      <w:lvlJc w:val="left"/>
      <w:lvlText w:val="%1"/>
      <w:numFmt w:val="lowerLetter"/>
      <w:start w:val="1"/>
    </w:lvl>
    <w:lvl w:ilvl="1">
      <w:lvlJc w:val="left"/>
      <w:lvlText w:val="(%2)"/>
      <w:numFmt w:val="lowerLetter"/>
      <w:start w:val="25"/>
    </w:lvl>
    <w:lvl w:ilvl="2">
      <w:lvlJc w:val="left"/>
      <w:lvlText w:val="-"/>
      <w:numFmt w:val="bullet"/>
      <w:start w:val="1"/>
    </w:lvl>
  </w:abstractNum>
  <w:abstractNum w:abstractNumId="82">
    <w:nsid w:val="1A0DDE32"/>
    <w:multiLevelType w:val="hybridMultilevel"/>
    <w:lvl w:ilvl="0">
      <w:lvlJc w:val="left"/>
      <w:lvlText w:val="(%1)"/>
      <w:numFmt w:val="lowerLetter"/>
      <w:start w:val="35"/>
    </w:lvl>
    <w:lvl w:ilvl="1">
      <w:lvlJc w:val="left"/>
      <w:lvlText w:val="(%2)"/>
      <w:numFmt w:val="lowerLetter"/>
      <w:start w:val="26"/>
    </w:lvl>
    <w:lvl w:ilvl="2">
      <w:lvlJc w:val="left"/>
      <w:lvlText w:val="-"/>
      <w:numFmt w:val="bullet"/>
      <w:start w:val="1"/>
    </w:lvl>
  </w:abstractNum>
  <w:abstractNum w:abstractNumId="83">
    <w:nsid w:val="65968C1C"/>
    <w:multiLevelType w:val="hybridMultilevel"/>
    <w:lvl w:ilvl="0">
      <w:lvlJc w:val="left"/>
      <w:lvlText w:val="(%1)"/>
      <w:numFmt w:val="lowerLetter"/>
      <w:start w:val="27"/>
    </w:lvl>
    <w:lvl w:ilvl="1">
      <w:lvlJc w:val="left"/>
      <w:lvlText w:val="-"/>
      <w:numFmt w:val="bullet"/>
      <w:start w:val="1"/>
    </w:lvl>
  </w:abstractNum>
  <w:abstractNum w:abstractNumId="84">
    <w:nsid w:val="46263DEC"/>
    <w:multiLevelType w:val="hybridMultilevel"/>
    <w:lvl w:ilvl="0">
      <w:lvlJc w:val="left"/>
      <w:lvlText w:val="(%1)"/>
      <w:numFmt w:val="lowerLetter"/>
      <w:start w:val="29"/>
    </w:lvl>
    <w:lvl w:ilvl="1">
      <w:lvlJc w:val="left"/>
      <w:lvlText w:val="-"/>
      <w:numFmt w:val="bullet"/>
      <w:start w:val="1"/>
    </w:lvl>
  </w:abstractNum>
  <w:abstractNum w:abstractNumId="85">
    <w:nsid w:val="260D8C4A"/>
    <w:multiLevelType w:val="hybridMultilevel"/>
    <w:lvl w:ilvl="0">
      <w:lvlJc w:val="left"/>
      <w:lvlText w:val="(%1)"/>
      <w:numFmt w:val="lowerLetter"/>
      <w:start w:val="35"/>
    </w:lvl>
    <w:lvl w:ilvl="1">
      <w:lvlJc w:val="left"/>
      <w:lvlText w:val="-"/>
      <w:numFmt w:val="bullet"/>
      <w:start w:val="1"/>
    </w:lvl>
  </w:abstractNum>
  <w:abstractNum w:abstractNumId="86">
    <w:nsid w:val="73D4D3C4"/>
    <w:multiLevelType w:val="hybridMultilevel"/>
    <w:lvl w:ilvl="0">
      <w:lvlJc w:val="left"/>
      <w:lvlText w:val="%1"/>
      <w:numFmt w:val="lowerLetter"/>
      <w:start w:val="1"/>
    </w:lvl>
    <w:lvl w:ilvl="1">
      <w:lvlJc w:val="left"/>
      <w:lvlText w:val="(%2)"/>
      <w:numFmt w:val="lowerLetter"/>
      <w:start w:val="39"/>
    </w:lvl>
    <w:lvl w:ilvl="2">
      <w:lvlJc w:val="left"/>
      <w:lvlText w:val="-"/>
      <w:numFmt w:val="bullet"/>
      <w:start w:val="1"/>
    </w:lvl>
  </w:abstractNum>
  <w:abstractNum w:abstractNumId="87">
    <w:nsid w:val="746F2E30"/>
    <w:multiLevelType w:val="hybridMultilevel"/>
    <w:lvl w:ilvl="0">
      <w:lvlJc w:val="left"/>
      <w:lvlText w:val="(%1)"/>
      <w:numFmt w:val="lowerLetter"/>
      <w:start w:val="9"/>
    </w:lvl>
    <w:lvl w:ilvl="1">
      <w:lvlJc w:val="left"/>
      <w:lvlText w:val="(%2)"/>
      <w:numFmt w:val="lowerLetter"/>
      <w:start w:val="40"/>
    </w:lvl>
    <w:lvl w:ilvl="2">
      <w:lvlJc w:val="left"/>
      <w:lvlText w:val="-"/>
      <w:numFmt w:val="bullet"/>
      <w:start w:val="1"/>
    </w:lvl>
  </w:abstractNum>
  <w:abstractNum w:abstractNumId="88">
    <w:nsid w:val="6FDE8AF6"/>
    <w:multiLevelType w:val="hybridMultilevel"/>
    <w:lvl w:ilvl="0">
      <w:lvlJc w:val="left"/>
      <w:lvlText w:val="(%1)"/>
      <w:numFmt w:val="lowerLetter"/>
      <w:start w:val="44"/>
    </w:lvl>
    <w:lvl w:ilvl="1">
      <w:lvlJc w:val="left"/>
      <w:lvlText w:val="-"/>
      <w:numFmt w:val="bullet"/>
      <w:start w:val="1"/>
    </w:lvl>
  </w:abstractNum>
  <w:abstractNum w:abstractNumId="89">
    <w:nsid w:val="3FC32E20"/>
    <w:multiLevelType w:val="hybridMultilevel"/>
    <w:lvl w:ilvl="0">
      <w:lvlJc w:val="left"/>
      <w:lvlText w:val="(%1)"/>
      <w:numFmt w:val="lowerLetter"/>
      <w:start w:val="1"/>
    </w:lvl>
    <w:lvl w:ilvl="1">
      <w:lvlJc w:val="left"/>
      <w:lvlText w:val="-"/>
      <w:numFmt w:val="bullet"/>
      <w:start w:val="1"/>
    </w:lvl>
  </w:abstractNum>
  <w:abstractNum w:abstractNumId="90">
    <w:nsid w:val="49C0E823"/>
    <w:multiLevelType w:val="hybridMultilevel"/>
    <w:lvl w:ilvl="0">
      <w:lvlJc w:val="left"/>
      <w:lvlText w:val="(%1)"/>
      <w:numFmt w:val="lowerLetter"/>
      <w:start w:val="2"/>
    </w:lvl>
    <w:lvl w:ilvl="1">
      <w:lvlJc w:val="left"/>
      <w:lvlText w:val="-"/>
      <w:numFmt w:val="bullet"/>
      <w:start w:val="1"/>
    </w:lvl>
  </w:abstractNum>
  <w:abstractNum w:abstractNumId="91">
    <w:nsid w:val="14D53685"/>
    <w:multiLevelType w:val="hybridMultilevel"/>
    <w:lvl w:ilvl="0">
      <w:lvlJc w:val="left"/>
      <w:lvlText w:val="(%1)"/>
      <w:numFmt w:val="lowerLetter"/>
      <w:start w:val="6"/>
    </w:lvl>
    <w:lvl w:ilvl="1">
      <w:lvlJc w:val="left"/>
      <w:lvlText w:val="-"/>
      <w:numFmt w:val="bullet"/>
      <w:start w:val="1"/>
    </w:lvl>
  </w:abstractNum>
  <w:abstractNum w:abstractNumId="92">
    <w:nsid w:val="230F856C"/>
    <w:multiLevelType w:val="hybridMultilevel"/>
    <w:lvl w:ilvl="0">
      <w:lvlJc w:val="left"/>
      <w:lvlText w:val="%1"/>
      <w:numFmt w:val="lowerLetter"/>
      <w:start w:val="1"/>
    </w:lvl>
    <w:lvl w:ilvl="1">
      <w:lvlJc w:val="left"/>
      <w:lvlText w:val="(%2)"/>
      <w:numFmt w:val="lowerLetter"/>
      <w:start w:val="10"/>
    </w:lvl>
    <w:lvl w:ilvl="2">
      <w:lvlJc w:val="left"/>
      <w:lvlText w:val="-"/>
      <w:numFmt w:val="bullet"/>
      <w:start w:val="1"/>
    </w:lvl>
  </w:abstractNum>
  <w:abstractNum w:abstractNumId="93">
    <w:nsid w:val="6EAA85FB"/>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94">
    <w:nsid w:val="3F06ECB2"/>
    <w:multiLevelType w:val="hybridMultilevel"/>
    <w:lvl w:ilvl="0">
      <w:lvlJc w:val="left"/>
      <w:lvlText w:val="(%1)"/>
      <w:numFmt w:val="lowerLetter"/>
      <w:start w:val="14"/>
    </w:lvl>
    <w:lvl w:ilvl="1">
      <w:lvlJc w:val="left"/>
      <w:lvlText w:val="-"/>
      <w:numFmt w:val="bullet"/>
      <w:start w:val="1"/>
    </w:lvl>
  </w:abstractNum>
  <w:abstractNum w:abstractNumId="95">
    <w:nsid w:val="3B594807"/>
    <w:multiLevelType w:val="hybridMultilevel"/>
    <w:lvl w:ilvl="0">
      <w:lvlJc w:val="left"/>
      <w:lvlText w:val="(%1)"/>
      <w:numFmt w:val="lowerLetter"/>
      <w:start w:val="16"/>
    </w:lvl>
    <w:lvl w:ilvl="1">
      <w:lvlJc w:val="left"/>
      <w:lvlText w:val="-"/>
      <w:numFmt w:val="bullet"/>
      <w:start w:val="1"/>
    </w:lvl>
  </w:abstractNum>
  <w:abstractNum w:abstractNumId="96">
    <w:nsid w:val="6CAA2304"/>
    <w:multiLevelType w:val="hybridMultilevel"/>
    <w:lvl w:ilvl="0">
      <w:lvlJc w:val="left"/>
      <w:lvlText w:val="(%1)"/>
      <w:numFmt w:val="lowerLetter"/>
      <w:start w:val="23"/>
    </w:lvl>
  </w:abstractNum>
  <w:abstractNum w:abstractNumId="97">
    <w:nsid w:val="3F7C2FF4"/>
    <w:multiLevelType w:val="hybridMultilevel"/>
    <w:lvl w:ilvl="0">
      <w:lvlJc w:val="left"/>
      <w:lvlText w:val="%1."/>
      <w:numFmt w:val="decimal"/>
      <w:start w:val="8"/>
    </w:lvl>
  </w:abstractNum>
  <w:abstractNum w:abstractNumId="98">
    <w:nsid w:val="25413BEC"/>
    <w:multiLevelType w:val="hybridMultilevel"/>
    <w:lvl w:ilvl="0">
      <w:lvlJc w:val="left"/>
      <w:lvlText w:val="(%1)"/>
      <w:numFmt w:val="lowerLetter"/>
      <w:start w:val="1"/>
    </w:lvl>
    <w:lvl w:ilvl="1">
      <w:lvlJc w:val="left"/>
      <w:lvlText w:val="-"/>
      <w:numFmt w:val="bullet"/>
      <w:start w:val="1"/>
    </w:lvl>
  </w:abstractNum>
  <w:abstractNum w:abstractNumId="99">
    <w:nsid w:val="17180B0B"/>
    <w:multiLevelType w:val="hybridMultilevel"/>
    <w:lvl w:ilvl="0">
      <w:lvlJc w:val="left"/>
      <w:lvlText w:val="(%1)"/>
      <w:numFmt w:val="lowerLetter"/>
      <w:start w:val="4"/>
    </w:lvl>
    <w:lvl w:ilvl="1">
      <w:lvlJc w:val="left"/>
      <w:lvlText w:val="-"/>
      <w:numFmt w:val="bullet"/>
      <w:start w:val="1"/>
    </w:lvl>
  </w:abstractNum>
  <w:abstractNum w:abstractNumId="100">
    <w:nsid w:val="579328B9"/>
    <w:multiLevelType w:val="hybridMultilevel"/>
    <w:lvl w:ilvl="0">
      <w:lvlJc w:val="left"/>
      <w:lvlText w:val="%1"/>
      <w:numFmt w:val="lowerLetter"/>
      <w:start w:val="1"/>
    </w:lvl>
    <w:lvl w:ilvl="1">
      <w:lvlJc w:val="left"/>
      <w:lvlText w:val="(%2)"/>
      <w:numFmt w:val="lowerLetter"/>
      <w:start w:val="13"/>
    </w:lvl>
  </w:abstractNum>
  <w:abstractNum w:abstractNumId="101">
    <w:nsid w:val="5D205E20"/>
    <w:multiLevelType w:val="hybridMultilevel"/>
    <w:lvl w:ilvl="0">
      <w:lvlJc w:val="left"/>
      <w:lvlText w:val="(%1)"/>
      <w:numFmt w:val="lowerLetter"/>
      <w:start w:val="35"/>
    </w:lvl>
    <w:lvl w:ilvl="1">
      <w:lvlJc w:val="left"/>
      <w:lvlText w:val="(%2)"/>
      <w:numFmt w:val="lowerLetter"/>
      <w:start w:val="14"/>
    </w:lvl>
  </w:abstractNum>
  <w:abstractNum w:abstractNumId="102">
    <w:nsid w:val="11CCA8BA"/>
    <w:multiLevelType w:val="hybridMultilevel"/>
    <w:lvl w:ilvl="0">
      <w:lvlJc w:val="left"/>
      <w:lvlText w:val="%1."/>
      <w:numFmt w:val="decimal"/>
      <w:start w:val="9"/>
    </w:lvl>
  </w:abstractNum>
  <w:abstractNum w:abstractNumId="103">
    <w:nsid w:val="4D32AB86"/>
    <w:multiLevelType w:val="hybridMultilevel"/>
    <w:lvl w:ilvl="0">
      <w:lvlJc w:val="left"/>
      <w:lvlText w:val="(%1)"/>
      <w:numFmt w:val="lowerLetter"/>
      <w:start w:val="1"/>
    </w:lvl>
    <w:lvl w:ilvl="1">
      <w:lvlJc w:val="left"/>
      <w:lvlText w:val="-"/>
      <w:numFmt w:val="bullet"/>
      <w:start w:val="1"/>
    </w:lvl>
  </w:abstractNum>
  <w:abstractNum w:abstractNumId="104">
    <w:nsid w:val="3F07ACC3"/>
    <w:multiLevelType w:val="hybridMultilevel"/>
    <w:lvl w:ilvl="0">
      <w:lvlJc w:val="left"/>
      <w:lvlText w:val="(%1)"/>
      <w:numFmt w:val="lowerLetter"/>
      <w:start w:val="3"/>
    </w:lvl>
    <w:lvl w:ilvl="1">
      <w:lvlJc w:val="left"/>
      <w:lvlText w:val="-"/>
      <w:numFmt w:val="bullet"/>
      <w:start w:val="1"/>
    </w:lvl>
  </w:abstractNum>
  <w:abstractNum w:abstractNumId="105">
    <w:nsid w:val="6B47F63E"/>
    <w:multiLevelType w:val="hybridMultilevel"/>
    <w:lvl w:ilvl="0">
      <w:lvlJc w:val="left"/>
      <w:lvlText w:val="(%1)"/>
      <w:numFmt w:val="lowerLetter"/>
      <w:start w:val="4"/>
    </w:lvl>
    <w:lvl w:ilvl="1">
      <w:lvlJc w:val="left"/>
      <w:lvlText w:val="-"/>
      <w:numFmt w:val="bullet"/>
      <w:start w:val="1"/>
    </w:lvl>
  </w:abstractNum>
  <w:abstractNum w:abstractNumId="106">
    <w:nsid w:val="5CB44A05"/>
    <w:multiLevelType w:val="hybridMultilevel"/>
    <w:lvl w:ilvl="0">
      <w:lvlJc w:val="left"/>
      <w:lvlText w:val="%1."/>
      <w:numFmt w:val="decimal"/>
      <w:start w:val="10"/>
    </w:lvl>
  </w:abstractNum>
  <w:abstractNum w:abstractNumId="107">
    <w:nsid w:val="16CF80F1"/>
    <w:multiLevelType w:val="hybridMultilevel"/>
    <w:lvl w:ilvl="0">
      <w:lvlJc w:val="left"/>
      <w:lvlText w:val="(%1)"/>
      <w:numFmt w:val="lowerLetter"/>
      <w:start w:val="1"/>
    </w:lvl>
    <w:lvl w:ilvl="1">
      <w:lvlJc w:val="left"/>
      <w:lvlText w:val="-"/>
      <w:numFmt w:val="bullet"/>
      <w:start w:val="1"/>
    </w:lvl>
  </w:abstractNum>
  <w:abstractNum w:abstractNumId="108">
    <w:nsid w:val="1C695DEC"/>
    <w:multiLevelType w:val="hybridMultilevel"/>
    <w:lvl w:ilvl="0">
      <w:lvlJc w:val="left"/>
      <w:lvlText w:val="(%1)"/>
      <w:numFmt w:val="lowerLetter"/>
      <w:start w:val="4"/>
    </w:lvl>
  </w:abstractNum>
  <w:abstractNum w:abstractNumId="109">
    <w:nsid w:val="3FCFAED9"/>
    <w:multiLevelType w:val="hybridMultilevel"/>
    <w:lvl w:ilvl="0">
      <w:lvlJc w:val="left"/>
      <w:lvlText w:val="%1."/>
      <w:numFmt w:val="decimal"/>
      <w:start w:val="12"/>
    </w:lvl>
    <w:lvl w:ilvl="1">
      <w:lvlJc w:val="left"/>
      <w:lvlText w:val="-"/>
      <w:numFmt w:val="bullet"/>
      <w:start w:val="1"/>
    </w:lvl>
  </w:abstractNum>
  <w:abstractNum w:abstractNumId="110">
    <w:nsid w:val="F856867"/>
    <w:multiLevelType w:val="hybridMultilevel"/>
    <w:lvl w:ilvl="0">
      <w:lvlJc w:val="left"/>
      <w:lvlText w:val="%1."/>
      <w:numFmt w:val="decimal"/>
      <w:start w:val="14"/>
    </w:lvl>
  </w:abstractNum>
  <w:abstractNum w:abstractNumId="111">
    <w:nsid w:val="11B1CC33"/>
    <w:multiLevelType w:val="hybridMultilevel"/>
    <w:lvl w:ilvl="0">
      <w:lvlJc w:val="left"/>
      <w:lvlText w:val="(%1)"/>
      <w:numFmt w:val="lowerLetter"/>
      <w:start w:val="1"/>
    </w:lvl>
    <w:lvl w:ilvl="1">
      <w:lvlJc w:val="left"/>
      <w:lvlText w:val="-"/>
      <w:numFmt w:val="bullet"/>
      <w:start w:val="1"/>
    </w:lvl>
  </w:abstractNum>
  <w:abstractNum w:abstractNumId="112">
    <w:nsid w:val="2E22FBB7"/>
    <w:multiLevelType w:val="hybridMultilevel"/>
    <w:lvl w:ilvl="0">
      <w:lvlJc w:val="left"/>
      <w:lvlText w:val="(%1)"/>
      <w:numFmt w:val="lowerLetter"/>
      <w:start w:val="2"/>
    </w:lvl>
  </w:abstractNum>
  <w:abstractNum w:abstractNumId="113">
    <w:nsid w:val="29934699"/>
    <w:multiLevelType w:val="hybridMultilevel"/>
    <w:lvl w:ilvl="0">
      <w:lvlJc w:val="left"/>
      <w:lvlText w:val="%1."/>
      <w:numFmt w:val="decimal"/>
      <w:start w:val="19"/>
    </w:lvl>
  </w:abstractNum>
  <w:abstractNum w:abstractNumId="114">
    <w:nsid w:val="77485850"/>
    <w:multiLevelType w:val="hybridMultilevel"/>
    <w:lvl w:ilvl="0">
      <w:lvlJc w:val="left"/>
      <w:lvlText w:val="(%1)"/>
      <w:numFmt w:val="lowerLetter"/>
      <w:start w:val="1"/>
    </w:lvl>
  </w:abstractNum>
  <w:abstractNum w:abstractNumId="115">
    <w:nsid w:val="744939A3"/>
    <w:multiLevelType w:val="hybridMultilevel"/>
    <w:lvl w:ilvl="0">
      <w:lvlJc w:val="left"/>
      <w:lvlText w:val="(%1)"/>
      <w:numFmt w:val="lowerRoman"/>
      <w:start w:val="1"/>
    </w:lvl>
  </w:abstractNum>
  <w:abstractNum w:abstractNumId="116">
    <w:nsid w:val="4FA0D2E3"/>
    <w:multiLevelType w:val="hybridMultilevel"/>
    <w:lvl w:ilvl="0">
      <w:lvlJc w:val="left"/>
      <w:lvlText w:val="1"/>
      <w:numFmt w:val="bullet"/>
      <w:start w:val="1"/>
    </w:lvl>
  </w:abstractNum>
  <w:abstractNum w:abstractNumId="117">
    <w:nsid w:val="6B1D2C14"/>
    <w:multiLevelType w:val="hybridMultilevel"/>
    <w:lvl w:ilvl="0">
      <w:lvlJc w:val="left"/>
      <w:lvlText w:val="(%1)"/>
      <w:numFmt w:val="decimal"/>
      <w:start w:val="1"/>
    </w:lvl>
  </w:abstractNum>
  <w:abstractNum w:abstractNumId="118">
    <w:nsid w:val="68B867D3"/>
    <w:multiLevelType w:val="hybridMultilevel"/>
    <w:lvl w:ilvl="0">
      <w:lvlJc w:val="left"/>
      <w:lvlText w:val="(%1)"/>
      <w:numFmt w:val="decimal"/>
      <w:start w:val="3"/>
    </w:lvl>
  </w:abstractNum>
  <w:abstractNum w:abstractNumId="119">
    <w:nsid w:val="3F7F5DD9"/>
    <w:multiLevelType w:val="hybridMultilevel"/>
    <w:lvl w:ilvl="0">
      <w:lvlJc w:val="left"/>
      <w:lvlText w:val="(%1)"/>
      <w:numFmt w:val="lowerLetter"/>
      <w:start w:val="1"/>
    </w:lvl>
    <w:lvl w:ilvl="1">
      <w:lvlJc w:val="left"/>
      <w:lvlText w:val="(%2)"/>
      <w:numFmt w:val="decimal"/>
      <w:start w:val="1"/>
    </w:lvl>
  </w:abstractNum>
  <w:abstractNum w:abstractNumId="120">
    <w:nsid w:val="2AE05A34"/>
    <w:multiLevelType w:val="hybridMultilevel"/>
    <w:lvl w:ilvl="0">
      <w:lvlJc w:val="left"/>
      <w:lvlText w:val="(%1)"/>
      <w:numFmt w:val="decimal"/>
      <w:start w:val="5"/>
    </w:lvl>
  </w:abstractNum>
  <w:abstractNum w:abstractNumId="121">
    <w:nsid w:val="32794FF7"/>
    <w:multiLevelType w:val="hybridMultilevel"/>
    <w:lvl w:ilvl="0">
      <w:lvlJc w:val="left"/>
      <w:lvlText w:val="(%1)"/>
      <w:numFmt w:val="decimal"/>
      <w:start w:val="14"/>
    </w:lvl>
  </w:abstractNum>
  <w:abstractNum w:abstractNumId="122">
    <w:nsid w:val="5454945E"/>
    <w:multiLevelType w:val="hybridMultilevel"/>
    <w:lvl w:ilvl="0">
      <w:lvlJc w:val="left"/>
      <w:lvlText w:val="(%1)"/>
      <w:numFmt w:val="decimal"/>
      <w:start w:val="22"/>
    </w:lvl>
  </w:abstractNum>
  <w:abstractNum w:abstractNumId="123">
    <w:nsid w:val="4DEFDFA0"/>
    <w:multiLevelType w:val="hybridMultilevel"/>
    <w:lvl w:ilvl="0">
      <w:lvlJc w:val="left"/>
      <w:lvlText w:val="(%1)"/>
      <w:numFmt w:val="decimal"/>
      <w:start w:val="1"/>
    </w:lvl>
  </w:abstractNum>
  <w:abstractNum w:abstractNumId="124">
    <w:nsid w:val="2123D5F2"/>
    <w:multiLevelType w:val="hybridMultilevel"/>
    <w:lvl w:ilvl="0">
      <w:lvlJc w:val="left"/>
      <w:lvlText w:val="(%1)"/>
      <w:numFmt w:val="lowerLetter"/>
      <w:start w:val="1"/>
    </w:lvl>
  </w:abstractNum>
  <w:abstractNum w:abstractNumId="125">
    <w:nsid w:val="135B8110"/>
    <w:multiLevelType w:val="hybridMultilevel"/>
    <w:lvl w:ilvl="0">
      <w:lvlJc w:val="left"/>
      <w:lvlText w:val="(%1)"/>
      <w:numFmt w:val="lowerLetter"/>
      <w:start w:val="3"/>
    </w:lvl>
  </w:abstractNum>
  <w:abstractNum w:abstractNumId="126">
    <w:nsid w:val="94927A8"/>
    <w:multiLevelType w:val="hybridMultilevel"/>
    <w:lvl w:ilvl="0">
      <w:lvlJc w:val="left"/>
      <w:lvlText w:val="(%1)"/>
      <w:numFmt w:val="lowerLetter"/>
      <w:start w:val="4"/>
    </w:lvl>
  </w:abstractNum>
  <w:abstractNum w:abstractNumId="127">
    <w:nsid w:val="DCDF8F6"/>
    <w:multiLevelType w:val="hybridMultilevel"/>
    <w:lvl w:ilvl="0">
      <w:lvlJc w:val="left"/>
      <w:lvlText w:val="(%1)"/>
      <w:numFmt w:val="lowerLetter"/>
      <w:start w:val="1"/>
    </w:lvl>
  </w:abstractNum>
  <w:abstractNum w:abstractNumId="128">
    <w:nsid w:val="52D7B105"/>
    <w:multiLevelType w:val="hybridMultilevel"/>
    <w:lvl w:ilvl="0">
      <w:lvlJc w:val="left"/>
      <w:lvlText w:val="(%1)"/>
      <w:numFmt w:val="lowerLetter"/>
      <w:start w:val="3"/>
    </w:lvl>
  </w:abstractNum>
  <w:abstractNum w:abstractNumId="129">
    <w:nsid w:val="2E8A6394"/>
    <w:multiLevelType w:val="hybridMultilevel"/>
    <w:lvl w:ilvl="0">
      <w:lvlJc w:val="left"/>
      <w:lvlText w:val="(%1)"/>
      <w:numFmt w:val="lowerLetter"/>
      <w:start w:val="1"/>
    </w:lvl>
  </w:abstractNum>
  <w:abstractNum w:abstractNumId="130">
    <w:nsid w:val="24E60401"/>
    <w:multiLevelType w:val="hybridMultilevel"/>
    <w:lvl w:ilvl="0">
      <w:lvlJc w:val="left"/>
      <w:lvlText w:val="(%1)"/>
      <w:numFmt w:val="lowerLetter"/>
      <w:start w:val="2"/>
    </w:lvl>
  </w:abstractNum>
  <w:abstractNum w:abstractNumId="131">
    <w:nsid w:val="2A6AD9BE"/>
    <w:multiLevelType w:val="hybridMultilevel"/>
    <w:lvl w:ilvl="0">
      <w:lvlJc w:val="left"/>
      <w:lvlText w:val="(%1)"/>
      <w:numFmt w:val="lowerLetter"/>
      <w:start w:val="1"/>
    </w:lvl>
  </w:abstractNum>
  <w:abstractNum w:abstractNumId="132">
    <w:nsid w:val="BAAC1B4"/>
    <w:multiLevelType w:val="hybridMultilevel"/>
    <w:lvl w:ilvl="0">
      <w:lvlJc w:val="left"/>
      <w:lvlText w:val="(%1)"/>
      <w:numFmt w:val="lowerLetter"/>
      <w:start w:val="1"/>
    </w:lvl>
    <w:lvl w:ilvl="1">
      <w:lvlJc w:val="left"/>
      <w:lvlText w:val="(%2)"/>
      <w:numFmt w:val="decimal"/>
      <w:start w:val="1"/>
    </w:lvl>
  </w:abstractNum>
  <w:abstractNum w:abstractNumId="133">
    <w:nsid w:val="36B2ACBC"/>
    <w:multiLevelType w:val="hybridMultilevel"/>
    <w:lvl w:ilvl="0">
      <w:lvlJc w:val="left"/>
      <w:lvlText w:val="(%1)"/>
      <w:numFmt w:val="lowerLetter"/>
      <w:start w:val="3"/>
    </w:lvl>
  </w:abstractNum>
  <w:abstractNum w:abstractNumId="134">
    <w:nsid w:val="779D8544"/>
    <w:multiLevelType w:val="hybridMultilevel"/>
    <w:lvl w:ilvl="0">
      <w:lvlJc w:val="left"/>
      <w:lvlText w:val="(%1)"/>
      <w:numFmt w:val="lowerLetter"/>
      <w:start w:val="1"/>
    </w:lvl>
  </w:abstractNum>
  <w:abstractNum w:abstractNumId="135">
    <w:nsid w:val="4AB26E78"/>
    <w:multiLevelType w:val="hybridMultilevel"/>
    <w:lvl w:ilvl="0">
      <w:lvlJc w:val="left"/>
      <w:lvlText w:val="(%1)"/>
      <w:numFmt w:val="lowerLetter"/>
      <w:start w:val="2"/>
    </w:lvl>
  </w:abstractNum>
  <w:abstractNum w:abstractNumId="136">
    <w:nsid w:val="21FAA2FA"/>
    <w:multiLevelType w:val="hybridMultilevel"/>
    <w:lvl w:ilvl="0">
      <w:lvlJc w:val="left"/>
      <w:lvlText w:val="(%1)"/>
      <w:numFmt w:val="lowerLetter"/>
      <w:start w:val="1"/>
    </w:lvl>
  </w:abstractNum>
  <w:abstractNum w:abstractNumId="137">
    <w:nsid w:val="5451CF49"/>
    <w:multiLevelType w:val="hybridMultilevel"/>
    <w:lvl w:ilvl="0">
      <w:lvlJc w:val="left"/>
      <w:lvlText w:val="(%1)"/>
      <w:numFmt w:val="lowerLetter"/>
      <w:start w:val="1"/>
    </w:lvl>
  </w:abstractNum>
  <w:abstractNum w:abstractNumId="138">
    <w:nsid w:val="6181EF69"/>
    <w:multiLevelType w:val="hybridMultilevel"/>
    <w:lvl w:ilvl="0">
      <w:lvlJc w:val="left"/>
      <w:lvlText w:val="(%1)"/>
      <w:numFmt w:val="lowerLetter"/>
      <w:start w:val="2"/>
    </w:lvl>
  </w:abstractNum>
  <w:abstractNum w:abstractNumId="139">
    <w:nsid w:val="3E6400E6"/>
    <w:multiLevelType w:val="hybridMultilevel"/>
    <w:lvl w:ilvl="0">
      <w:lvlJc w:val="left"/>
      <w:lvlText w:val="(%1)"/>
      <w:numFmt w:val="lowerLetter"/>
      <w:start w:val="1"/>
    </w:lvl>
    <w:lvl w:ilvl="1">
      <w:lvlJc w:val="left"/>
      <w:lvlText w:val="(%2)"/>
      <w:numFmt w:val="decimal"/>
      <w:start w:val="1"/>
    </w:lvl>
  </w:abstractNum>
  <w:abstractNum w:abstractNumId="140">
    <w:nsid w:val="14217E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41">
    <w:nsid w:val="710757D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42">
    <w:nsid w:val="5015CD1A"/>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143">
    <w:nsid w:val="424479DA"/>
    <w:multiLevelType w:val="hybridMultilevel"/>
    <w:lvl w:ilvl="0">
      <w:lvlJc w:val="left"/>
      <w:lvlText w:val="(%1)"/>
      <w:numFmt w:val="lowerLetter"/>
      <w:start w:val="4"/>
    </w:lvl>
  </w:abstractNum>
  <w:abstractNum w:abstractNumId="144">
    <w:nsid w:val="1A9A9E69"/>
    <w:multiLevelType w:val="hybridMultilevel"/>
    <w:lvl w:ilvl="0">
      <w:lvlJc w:val="left"/>
      <w:lvlText w:val="(%1)"/>
      <w:numFmt w:val="lowerLetter"/>
      <w:start w:val="1"/>
    </w:lvl>
  </w:abstractNum>
  <w:abstractNum w:abstractNumId="145">
    <w:nsid w:val="475E256A"/>
    <w:multiLevelType w:val="hybridMultilevel"/>
    <w:lvl w:ilvl="0">
      <w:lvlJc w:val="left"/>
      <w:lvlText w:val="(%1)"/>
      <w:numFmt w:val="lowerRoman"/>
      <w:start w:val="5"/>
    </w:lvl>
  </w:abstractNum>
  <w:abstractNum w:abstractNumId="146">
    <w:nsid w:val="368DB37E"/>
    <w:multiLevelType w:val="hybridMultilevel"/>
    <w:lvl w:ilvl="0">
      <w:lvlJc w:val="left"/>
      <w:lvlText w:val="(%1)"/>
      <w:numFmt w:val="lowerLetter"/>
      <w:start w:val="1"/>
    </w:lvl>
  </w:abstractNum>
  <w:abstractNum w:abstractNumId="147">
    <w:nsid w:val="6A3B714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8">
    <w:nsid w:val="327B517E"/>
    <w:multiLevelType w:val="hybridMultilevel"/>
    <w:lvl w:ilvl="0">
      <w:lvlJc w:val="left"/>
      <w:lvlText w:val="(%1)"/>
      <w:numFmt w:val="lowerLetter"/>
      <w:start w:val="1"/>
    </w:lvl>
  </w:abstractNum>
  <w:abstractNum w:abstractNumId="149">
    <w:nsid w:val="1F461B51"/>
    <w:multiLevelType w:val="hybridMultilevel"/>
    <w:lvl w:ilvl="0">
      <w:lvlJc w:val="left"/>
      <w:lvlText w:val="(%1)"/>
      <w:numFmt w:val="lowerLetter"/>
      <w:start w:val="7"/>
    </w:lvl>
  </w:abstractNum>
  <w:abstractNum w:abstractNumId="150">
    <w:nsid w:val="29BACF25"/>
    <w:multiLevelType w:val="hybridMultilevel"/>
    <w:lvl w:ilvl="0">
      <w:lvlJc w:val="left"/>
      <w:lvlText w:val="(%1)"/>
      <w:numFmt w:val="lowerLetter"/>
      <w:start w:val="1"/>
    </w:lvl>
  </w:abstractNum>
  <w:abstractNum w:abstractNumId="151">
    <w:nsid w:val="5D5BABB3"/>
    <w:multiLevelType w:val="hybridMultilevel"/>
    <w:lvl w:ilvl="0">
      <w:lvlJc w:val="left"/>
      <w:lvlText w:val="(%1)"/>
      <w:numFmt w:val="lowerLetter"/>
      <w:start w:val="1"/>
    </w:lvl>
  </w:abstractNum>
  <w:abstractNum w:abstractNumId="152">
    <w:nsid w:val="51BF6B48"/>
    <w:multiLevelType w:val="hybridMultilevel"/>
    <w:lvl w:ilvl="0">
      <w:lvlJc w:val="left"/>
      <w:lvlText w:val="(%1)"/>
      <w:numFmt w:val="lowerLetter"/>
      <w:start w:val="3"/>
    </w:lvl>
  </w:abstractNum>
  <w:abstractNum w:abstractNumId="153">
    <w:nsid w:val="7E0F6384"/>
    <w:multiLevelType w:val="hybridMultilevel"/>
    <w:lvl w:ilvl="0">
      <w:lvlJc w:val="left"/>
      <w:lvlText w:val="(%1)"/>
      <w:numFmt w:val="lowerLetter"/>
      <w:start w:val="1"/>
    </w:lvl>
    <w:lvl w:ilvl="1">
      <w:lvlJc w:val="left"/>
      <w:lvlText w:val="(%2)"/>
      <w:numFmt w:val="lowerRoman"/>
      <w:start w:val="1"/>
    </w:lvl>
  </w:abstractNum>
  <w:abstractNum w:abstractNumId="154">
    <w:nsid w:val="2B4B8B53"/>
    <w:multiLevelType w:val="hybridMultilevel"/>
    <w:lvl w:ilvl="0">
      <w:lvlJc w:val="left"/>
      <w:lvlText w:val="(%1)"/>
      <w:numFmt w:val="lowerLetter"/>
      <w:start w:val="3"/>
    </w:lvl>
  </w:abstractNum>
  <w:abstractNum w:abstractNumId="155">
    <w:nsid w:val="72E3413A"/>
    <w:multiLevelType w:val="hybridMultilevel"/>
    <w:lvl w:ilvl="0">
      <w:lvlJc w:val="left"/>
      <w:lvlText w:val="(%1)"/>
      <w:numFmt w:val="lowerLetter"/>
      <w:start w:val="4"/>
    </w:lvl>
  </w:abstractNum>
  <w:abstractNum w:abstractNumId="156">
    <w:nsid w:val="116AE494"/>
    <w:multiLevelType w:val="hybridMultilevel"/>
    <w:lvl w:ilvl="0">
      <w:lvlJc w:val="left"/>
      <w:lvlText w:val="(%1)"/>
      <w:numFmt w:val="lowerLetter"/>
      <w:start w:val="1"/>
    </w:lvl>
  </w:abstractNum>
  <w:abstractNum w:abstractNumId="157">
    <w:nsid w:val="3494B2FB"/>
    <w:multiLevelType w:val="hybridMultilevel"/>
    <w:lvl w:ilvl="0">
      <w:lvlJc w:val="left"/>
      <w:lvlText w:val="(%1)"/>
      <w:numFmt w:val="lowerLetter"/>
      <w:start w:val="3"/>
    </w:lvl>
  </w:abstractNum>
  <w:abstractNum w:abstractNumId="158">
    <w:nsid w:val="B13A31"/>
    <w:multiLevelType w:val="hybridMultilevel"/>
    <w:lvl w:ilvl="0">
      <w:lvlJc w:val="left"/>
      <w:lvlText w:val="(%1)"/>
      <w:numFmt w:val="lowerLetter"/>
      <w:start w:val="2"/>
    </w:lvl>
  </w:abstractNum>
  <w:abstractNum w:abstractNumId="159">
    <w:nsid w:val="64429599"/>
    <w:multiLevelType w:val="hybridMultilevel"/>
    <w:lvl w:ilvl="0">
      <w:lvlJc w:val="left"/>
      <w:lvlText w:val="(%1)"/>
      <w:numFmt w:val="lowerLetter"/>
      <w:start w:val="1"/>
    </w:lvl>
  </w:abstractNum>
  <w:abstractNum w:abstractNumId="160">
    <w:nsid w:val="631F1690"/>
    <w:multiLevelType w:val="hybridMultilevel"/>
    <w:lvl w:ilvl="0">
      <w:lvlJc w:val="left"/>
      <w:lvlText w:val="(%1)"/>
      <w:numFmt w:val="lowerLetter"/>
      <w:start w:val="1"/>
    </w:lvl>
  </w:abstractNum>
  <w:abstractNum w:abstractNumId="161">
    <w:nsid w:val="25973E32"/>
    <w:multiLevelType w:val="hybridMultilevel"/>
    <w:lvl w:ilvl="0">
      <w:lvlJc w:val="left"/>
      <w:lvlText w:val="(%1)"/>
      <w:numFmt w:val="lowerLetter"/>
      <w:start w:val="1"/>
    </w:lvl>
  </w:abstractNum>
  <w:abstractNum w:abstractNumId="162">
    <w:nsid w:val="EAD6F57"/>
    <w:multiLevelType w:val="hybridMultilevel"/>
    <w:lvl w:ilvl="0">
      <w:lvlJc w:val="left"/>
      <w:lvlText w:val="2"/>
      <w:numFmt w:val="bullet"/>
      <w:start w:val="1"/>
    </w:lvl>
  </w:abstractNum>
  <w:abstractNum w:abstractNumId="163">
    <w:nsid w:val="6EC9D844"/>
    <w:multiLevelType w:val="hybridMultilevel"/>
    <w:lvl w:ilvl="0">
      <w:lvlJc w:val="left"/>
      <w:lvlText w:val="1"/>
      <w:numFmt w:val="bullet"/>
      <w:start w:val="1"/>
    </w:lvl>
  </w:abstractNum>
  <w:abstractNum w:abstractNumId="164">
    <w:nsid w:val="5C49EAEE"/>
    <w:multiLevelType w:val="hybridMultilevel"/>
    <w:lvl w:ilvl="0">
      <w:lvlJc w:val="left"/>
      <w:lvlText w:val="(%1)"/>
      <w:numFmt w:val="decimal"/>
      <w:start w:val="1"/>
    </w:lvl>
  </w:abstractNum>
  <w:abstractNum w:abstractNumId="165">
    <w:nsid w:val="64AF49B"/>
    <w:multiLevelType w:val="hybridMultilevel"/>
    <w:lvl w:ilvl="0">
      <w:lvlJc w:val="left"/>
      <w:lvlText w:val="(%1)"/>
      <w:numFmt w:val="decimal"/>
      <w:start w:val="3"/>
    </w:lvl>
  </w:abstractNum>
  <w:abstractNum w:abstractNumId="166">
    <w:nsid w:val="397C46BC"/>
    <w:multiLevelType w:val="hybridMultilevel"/>
    <w:lvl w:ilvl="0">
      <w:lvlJc w:val="left"/>
      <w:lvlText w:val="(%1)"/>
      <w:numFmt w:val="lowerLetter"/>
      <w:start w:val="1"/>
    </w:lvl>
    <w:lvl w:ilvl="1">
      <w:lvlJc w:val="left"/>
      <w:lvlText w:val="(%2)"/>
      <w:numFmt w:val="decimal"/>
      <w:start w:val="1"/>
    </w:lvl>
  </w:abstractNum>
  <w:abstractNum w:abstractNumId="167">
    <w:nsid w:val="7E448DE9"/>
    <w:multiLevelType w:val="hybridMultilevel"/>
    <w:lvl w:ilvl="0">
      <w:lvlJc w:val="left"/>
      <w:lvlText w:val="(%1)"/>
      <w:numFmt w:val="decimal"/>
      <w:start w:val="5"/>
    </w:lvl>
  </w:abstractNum>
  <w:abstractNum w:abstractNumId="168">
    <w:nsid w:val="5A9CC3E5"/>
    <w:multiLevelType w:val="hybridMultilevel"/>
    <w:lvl w:ilvl="0">
      <w:lvlJc w:val="left"/>
      <w:lvlText w:val="(%1)"/>
      <w:numFmt w:val="decimal"/>
      <w:start w:val="14"/>
    </w:lvl>
  </w:abstractNum>
  <w:abstractNum w:abstractNumId="169">
    <w:nsid w:val="1AFE3625"/>
    <w:multiLevelType w:val="hybridMultilevel"/>
    <w:lvl w:ilvl="0">
      <w:lvlJc w:val="left"/>
      <w:lvlText w:val="(%1)"/>
      <w:numFmt w:val="decimal"/>
      <w:start w:val="22"/>
    </w:lvl>
  </w:abstractNum>
  <w:abstractNum w:abstractNumId="170">
    <w:nsid w:val="3CA88ECF"/>
    <w:multiLevelType w:val="hybridMultilevel"/>
    <w:lvl w:ilvl="0">
      <w:lvlJc w:val="left"/>
      <w:lvlText w:val="(%1)"/>
      <w:numFmt w:val="decimal"/>
      <w:start w:val="1"/>
    </w:lvl>
  </w:abstractNum>
  <w:abstractNum w:abstractNumId="171">
    <w:nsid w:val="6EBE4208"/>
    <w:multiLevelType w:val="hybridMultilevel"/>
    <w:lvl w:ilvl="0">
      <w:lvlJc w:val="left"/>
      <w:lvlText w:val="(%1)"/>
      <w:numFmt w:val="lowerLetter"/>
      <w:start w:val="1"/>
    </w:lvl>
  </w:abstractNum>
  <w:abstractNum w:abstractNumId="172">
    <w:nsid w:val="C058DF5"/>
    <w:multiLevelType w:val="hybridMultilevel"/>
    <w:lvl w:ilvl="0">
      <w:lvlJc w:val="left"/>
      <w:lvlText w:val="(%1)"/>
      <w:numFmt w:val="lowerLetter"/>
      <w:start w:val="3"/>
    </w:lvl>
  </w:abstractNum>
  <w:abstractNum w:abstractNumId="173">
    <w:nsid w:val="CBE5BE9"/>
    <w:multiLevelType w:val="hybridMultilevel"/>
    <w:lvl w:ilvl="0">
      <w:lvlJc w:val="left"/>
      <w:lvlText w:val="(%1)"/>
      <w:numFmt w:val="lowerLetter"/>
      <w:start w:val="4"/>
    </w:lvl>
  </w:abstractNum>
  <w:abstractNum w:abstractNumId="174">
    <w:nsid w:val="3102BBE2"/>
    <w:multiLevelType w:val="hybridMultilevel"/>
    <w:lvl w:ilvl="0">
      <w:lvlJc w:val="left"/>
      <w:lvlText w:val="(%1)"/>
      <w:numFmt w:val="lowerLetter"/>
      <w:start w:val="1"/>
    </w:lvl>
  </w:abstractNum>
  <w:abstractNum w:abstractNumId="175">
    <w:nsid w:val="26A02C5E"/>
    <w:multiLevelType w:val="hybridMultilevel"/>
    <w:lvl w:ilvl="0">
      <w:lvlJc w:val="left"/>
      <w:lvlText w:val="(%1)"/>
      <w:numFmt w:val="lowerLetter"/>
      <w:start w:val="2"/>
    </w:lvl>
  </w:abstractNum>
  <w:abstractNum w:abstractNumId="176">
    <w:nsid w:val="541C8153"/>
    <w:multiLevelType w:val="hybridMultilevel"/>
    <w:lvl w:ilvl="0">
      <w:lvlJc w:val="left"/>
      <w:lvlText w:val="(%1)"/>
      <w:numFmt w:val="lowerLetter"/>
      <w:start w:val="1"/>
    </w:lvl>
  </w:abstractNum>
  <w:abstractNum w:abstractNumId="177">
    <w:nsid w:val="67906F60"/>
    <w:multiLevelType w:val="hybridMultilevel"/>
    <w:lvl w:ilvl="0">
      <w:lvlJc w:val="left"/>
      <w:lvlText w:val="(%1)"/>
      <w:numFmt w:val="lowerLetter"/>
      <w:start w:val="2"/>
    </w:lvl>
  </w:abstractNum>
  <w:abstractNum w:abstractNumId="178">
    <w:nsid w:val="10DB9DAA"/>
    <w:multiLevelType w:val="hybridMultilevel"/>
    <w:lvl w:ilvl="0">
      <w:lvlJc w:val="left"/>
      <w:lvlText w:val="(%1)"/>
      <w:numFmt w:val="lowerLetter"/>
      <w:start w:val="1"/>
    </w:lvl>
  </w:abstractNum>
  <w:abstractNum w:abstractNumId="179">
    <w:nsid w:val="697D2D2"/>
    <w:multiLevelType w:val="hybridMultilevel"/>
    <w:lvl w:ilvl="0">
      <w:lvlJc w:val="left"/>
      <w:lvlText w:val="(%1)"/>
      <w:numFmt w:val="lowerLetter"/>
      <w:start w:val="1"/>
    </w:lvl>
    <w:lvl w:ilvl="1">
      <w:lvlJc w:val="left"/>
      <w:lvlText w:val="(%2)"/>
      <w:numFmt w:val="decimal"/>
      <w:start w:val="1"/>
    </w:lvl>
  </w:abstractNum>
  <w:abstractNum w:abstractNumId="180">
    <w:nsid w:val="6D68AB2"/>
    <w:multiLevelType w:val="hybridMultilevel"/>
    <w:lvl w:ilvl="0">
      <w:lvlJc w:val="left"/>
      <w:lvlText w:val="(%1)"/>
      <w:numFmt w:val="lowerLetter"/>
      <w:start w:val="3"/>
    </w:lvl>
  </w:abstractNum>
  <w:abstractNum w:abstractNumId="181">
    <w:nsid w:val="3A966CD0"/>
    <w:multiLevelType w:val="hybridMultilevel"/>
    <w:lvl w:ilvl="0">
      <w:lvlJc w:val="left"/>
      <w:lvlText w:val="(%1)"/>
      <w:numFmt w:val="lowerLetter"/>
      <w:start w:val="1"/>
    </w:lvl>
  </w:abstractNum>
  <w:abstractNum w:abstractNumId="182">
    <w:nsid w:val="63F37E85"/>
    <w:multiLevelType w:val="hybridMultilevel"/>
    <w:lvl w:ilvl="0">
      <w:lvlJc w:val="left"/>
      <w:lvlText w:val="(%1)"/>
      <w:numFmt w:val="lowerLetter"/>
      <w:start w:val="1"/>
    </w:lvl>
  </w:abstractNum>
  <w:abstractNum w:abstractNumId="183">
    <w:nsid w:val="5895F5FA"/>
    <w:multiLevelType w:val="hybridMultilevel"/>
    <w:lvl w:ilvl="0">
      <w:lvlJc w:val="left"/>
      <w:lvlText w:val="(%1)"/>
      <w:numFmt w:val="lowerLetter"/>
      <w:start w:val="1"/>
    </w:lvl>
  </w:abstractNum>
  <w:abstractNum w:abstractNumId="184">
    <w:nsid w:val="38A5D054"/>
    <w:multiLevelType w:val="hybridMultilevel"/>
    <w:lvl w:ilvl="0">
      <w:lvlJc w:val="left"/>
      <w:lvlText w:val="(%1)"/>
      <w:numFmt w:val="lowerLetter"/>
      <w:start w:val="1"/>
    </w:lvl>
    <w:lvl w:ilvl="1">
      <w:lvlJc w:val="left"/>
      <w:lvlText w:val="(%2)"/>
      <w:numFmt w:val="decimal"/>
      <w:start w:val="1"/>
    </w:lvl>
  </w:abstractNum>
  <w:abstractNum w:abstractNumId="185">
    <w:nsid w:val="F3F09D8"/>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86">
    <w:nsid w:val="4B793735"/>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87">
    <w:nsid w:val="4A10B4E8"/>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188">
    <w:nsid w:val="43D3BCD4"/>
    <w:multiLevelType w:val="hybridMultilevel"/>
    <w:lvl w:ilvl="0">
      <w:lvlJc w:val="left"/>
      <w:lvlText w:val="(%1)"/>
      <w:numFmt w:val="lowerLetter"/>
      <w:start w:val="4"/>
    </w:lvl>
  </w:abstractNum>
  <w:abstractNum w:abstractNumId="189">
    <w:nsid w:val="4C2A7166"/>
    <w:multiLevelType w:val="hybridMultilevel"/>
    <w:lvl w:ilvl="0">
      <w:lvlJc w:val="left"/>
      <w:lvlText w:val="(%1)"/>
      <w:numFmt w:val="lowerLetter"/>
      <w:start w:val="1"/>
    </w:lvl>
  </w:abstractNum>
  <w:abstractNum w:abstractNumId="190">
    <w:nsid w:val="2E534A82"/>
    <w:multiLevelType w:val="hybridMultilevel"/>
    <w:lvl w:ilvl="0">
      <w:lvlJc w:val="left"/>
      <w:lvlText w:val="(%1)"/>
      <w:numFmt w:val="lowerLetter"/>
      <w:start w:val="4"/>
    </w:lvl>
  </w:abstractNum>
  <w:abstractNum w:abstractNumId="191">
    <w:nsid w:val="26F2D364"/>
    <w:multiLevelType w:val="hybridMultilevel"/>
    <w:lvl w:ilvl="0">
      <w:lvlJc w:val="left"/>
      <w:lvlText w:val="(%1)"/>
      <w:numFmt w:val="lowerRoman"/>
      <w:start w:val="5"/>
    </w:lvl>
  </w:abstractNum>
  <w:abstractNum w:abstractNumId="192">
    <w:nsid w:val="71C1AF98"/>
    <w:multiLevelType w:val="hybridMultilevel"/>
    <w:lvl w:ilvl="0">
      <w:lvlJc w:val="left"/>
      <w:lvlText w:val="(%1)"/>
      <w:numFmt w:val="lowerLetter"/>
      <w:start w:val="1"/>
    </w:lvl>
  </w:abstractNum>
  <w:abstractNum w:abstractNumId="193">
    <w:nsid w:val="3D00B9D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4">
    <w:nsid w:val="15BCABA8"/>
    <w:multiLevelType w:val="hybridMultilevel"/>
    <w:lvl w:ilvl="0">
      <w:lvlJc w:val="left"/>
      <w:lvlText w:val="(%1)"/>
      <w:numFmt w:val="decimal"/>
      <w:start w:val="4"/>
    </w:lvl>
  </w:abstractNum>
  <w:abstractNum w:abstractNumId="195">
    <w:nsid w:val="4E0B9A87"/>
    <w:multiLevelType w:val="hybridMultilevel"/>
    <w:lvl w:ilvl="0">
      <w:lvlJc w:val="left"/>
      <w:lvlText w:val="(%1)"/>
      <w:numFmt w:val="lowerLetter"/>
      <w:start w:val="1"/>
    </w:lvl>
  </w:abstractNum>
  <w:abstractNum w:abstractNumId="196">
    <w:nsid w:val="434BAE75"/>
    <w:multiLevelType w:val="hybridMultilevel"/>
    <w:lvl w:ilvl="0">
      <w:lvlJc w:val="left"/>
      <w:lvlText w:val="(%1)"/>
      <w:numFmt w:val="lowerLetter"/>
      <w:start w:val="7"/>
    </w:lvl>
  </w:abstractNum>
  <w:abstractNum w:abstractNumId="197">
    <w:nsid w:val="4F38F265"/>
    <w:multiLevelType w:val="hybridMultilevel"/>
    <w:lvl w:ilvl="0">
      <w:lvlJc w:val="left"/>
      <w:lvlText w:val="(%1)"/>
      <w:numFmt w:val="lowerLetter"/>
      <w:start w:val="1"/>
    </w:lvl>
  </w:abstractNum>
  <w:abstractNum w:abstractNumId="198">
    <w:nsid w:val="4C502870"/>
    <w:multiLevelType w:val="hybridMultilevel"/>
    <w:lvl w:ilvl="0">
      <w:lvlJc w:val="left"/>
      <w:lvlText w:val="(%1)"/>
      <w:numFmt w:val="lowerLetter"/>
      <w:start w:val="3"/>
    </w:lvl>
  </w:abstractNum>
  <w:abstractNum w:abstractNumId="199">
    <w:nsid w:val="1DE8725A"/>
    <w:multiLevelType w:val="hybridMultilevel"/>
    <w:lvl w:ilvl="0">
      <w:lvlJc w:val="left"/>
      <w:lvlText w:val="(%1)"/>
      <w:numFmt w:val="lowerLetter"/>
      <w:start w:val="1"/>
    </w:lvl>
  </w:abstractNum>
  <w:abstractNum w:abstractNumId="200">
    <w:nsid w:val="6A37288A"/>
    <w:multiLevelType w:val="hybridMultilevel"/>
    <w:lvl w:ilvl="0">
      <w:lvlJc w:val="left"/>
      <w:lvlText w:val="(%1)"/>
      <w:numFmt w:val="lowerLetter"/>
      <w:start w:val="3"/>
    </w:lvl>
  </w:abstractNum>
  <w:abstractNum w:abstractNumId="201">
    <w:nsid w:val="8F8B73F"/>
    <w:multiLevelType w:val="hybridMultilevel"/>
    <w:lvl w:ilvl="0">
      <w:lvlJc w:val="left"/>
      <w:lvlText w:val="(%1)"/>
      <w:numFmt w:val="lowerLetter"/>
      <w:start w:val="1"/>
    </w:lvl>
    <w:lvl w:ilvl="1">
      <w:lvlJc w:val="left"/>
      <w:lvlText w:val="(%2)"/>
      <w:numFmt w:val="lowerRoman"/>
      <w:start w:val="1"/>
    </w:lvl>
  </w:abstractNum>
  <w:abstractNum w:abstractNumId="202">
    <w:nsid w:val="CA6B462"/>
    <w:multiLevelType w:val="hybridMultilevel"/>
    <w:lvl w:ilvl="0">
      <w:lvlJc w:val="left"/>
      <w:lvlText w:val="(%1)"/>
      <w:numFmt w:val="lowerLetter"/>
      <w:start w:val="3"/>
    </w:lvl>
  </w:abstractNum>
  <w:abstractNum w:abstractNumId="203">
    <w:nsid w:val="763CB680"/>
    <w:multiLevelType w:val="hybridMultilevel"/>
    <w:lvl w:ilvl="0">
      <w:lvlJc w:val="left"/>
      <w:lvlText w:val="(%1)"/>
      <w:numFmt w:val="lowerLetter"/>
      <w:start w:val="4"/>
    </w:lvl>
  </w:abstractNum>
  <w:abstractNum w:abstractNumId="204">
    <w:nsid w:val="15B71329"/>
    <w:multiLevelType w:val="hybridMultilevel"/>
    <w:lvl w:ilvl="0">
      <w:lvlJc w:val="left"/>
      <w:lvlText w:val="(%1)"/>
      <w:numFmt w:val="lowerLetter"/>
      <w:start w:val="1"/>
    </w:lvl>
  </w:abstractNum>
  <w:abstractNum w:abstractNumId="205">
    <w:nsid w:val="3DA97044"/>
    <w:multiLevelType w:val="hybridMultilevel"/>
    <w:lvl w:ilvl="0">
      <w:lvlJc w:val="left"/>
      <w:lvlText w:val="(%1)"/>
      <w:numFmt w:val="lowerLetter"/>
      <w:start w:val="3"/>
    </w:lvl>
  </w:abstractNum>
  <w:abstractNum w:abstractNumId="206">
    <w:nsid w:val="1CDCE2DE"/>
    <w:multiLevelType w:val="hybridMultilevel"/>
    <w:lvl w:ilvl="0">
      <w:lvlJc w:val="left"/>
      <w:lvlText w:val="(%1)"/>
      <w:numFmt w:val="lowerLetter"/>
      <w:start w:val="2"/>
    </w:lvl>
  </w:abstractNum>
  <w:abstractNum w:abstractNumId="207">
    <w:nsid w:val="69D3947C"/>
    <w:multiLevelType w:val="hybridMultilevel"/>
    <w:lvl w:ilvl="0">
      <w:lvlJc w:val="left"/>
      <w:lvlText w:val="(%1)"/>
      <w:numFmt w:val="lowerLetter"/>
      <w:start w:val="1"/>
    </w:lvl>
  </w:abstractNum>
  <w:abstractNum w:abstractNumId="208">
    <w:nsid w:val="2539DFA5"/>
    <w:multiLevelType w:val="hybridMultilevel"/>
    <w:lvl w:ilvl="0">
      <w:lvlJc w:val="left"/>
      <w:lvlText w:val="(%1)"/>
      <w:numFmt w:val="lowerLetter"/>
      <w:start w:val="2"/>
    </w:lvl>
  </w:abstractNum>
  <w:abstractNum w:abstractNumId="209">
    <w:nsid w:val="2DB88089"/>
    <w:multiLevelType w:val="hybridMultilevel"/>
    <w:lvl w:ilvl="0">
      <w:lvlJc w:val="left"/>
      <w:lvlText w:val="(%1)"/>
      <w:numFmt w:val="lowerLetter"/>
      <w:start w:val="1"/>
    </w:lvl>
  </w:abstractNum>
  <w:abstractNum w:abstractNumId="210">
    <w:nsid w:val="706B674E"/>
    <w:multiLevelType w:val="hybridMultilevel"/>
    <w:lvl w:ilvl="0">
      <w:lvlJc w:val="left"/>
      <w:lvlText w:val="(%1)"/>
      <w:numFmt w:val="lowerLetter"/>
      <w:start w:val="2"/>
    </w:lvl>
  </w:abstractNum>
  <w:abstractNum w:abstractNumId="211">
    <w:nsid w:val="2C106A57"/>
    <w:multiLevelType w:val="hybridMultilevel"/>
    <w:lvl w:ilvl="0">
      <w:lvlJc w:val="left"/>
      <w:lvlText w:val="(%1)"/>
      <w:numFmt w:val="lowerLetter"/>
      <w:start w:val="1"/>
    </w:lvl>
  </w:abstractNum>
  <w:abstractNum w:abstractNumId="212">
    <w:nsid w:val="684EED59"/>
    <w:multiLevelType w:val="hybridMultilevel"/>
    <w:lvl w:ilvl="0">
      <w:lvlJc w:val="left"/>
      <w:lvlText w:val="2"/>
      <w:numFmt w:val="bullet"/>
      <w:start w:val="1"/>
    </w:lvl>
  </w:abstractNum>
  <w:abstractNum w:abstractNumId="213">
    <w:nsid w:val="545EE5D3"/>
    <w:multiLevelType w:val="hybridMultilevel"/>
    <w:lvl w:ilvl="0">
      <w:lvlJc w:val="left"/>
      <w:lvlText w:val="•"/>
      <w:numFmt w:val="bullet"/>
      <w:start w:val="1"/>
    </w:lvl>
  </w:abstractNum>
  <w:abstractNum w:abstractNumId="214">
    <w:nsid w:val="4A6605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jpe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jpe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60" Type="http://schemas.openxmlformats.org/officeDocument/2006/relationships/hyperlink" Target="http://www.sec.gov/Archives/edgar/data/1681087/000119312519085321/d677215d10k.htm" TargetMode="External"/><Relationship Id="rId61" Type="http://schemas.openxmlformats.org/officeDocument/2006/relationships/hyperlink" Target="http://www.sec.gov/Archives/edgar/data/1681087/000119312519120864/d677210ddef14a.htm" TargetMode="External"/><Relationship Id="rId62" Type="http://schemas.openxmlformats.org/officeDocument/2006/relationships/hyperlink" Target="http://www.sec.gov/Archives/edgar/data/1681087/000119312519145337/d704561d10q.htm" TargetMode="External"/><Relationship Id="rId63" Type="http://schemas.openxmlformats.org/officeDocument/2006/relationships/hyperlink" Target="http://www.sec.gov/Archives/edgar/data/1681087/000119312519003876/d667521d8k.htm" TargetMode="External"/><Relationship Id="rId64" Type="http://schemas.openxmlformats.org/officeDocument/2006/relationships/hyperlink" Target="http://www.sec.gov/Archives/edgar/data/1681087/000119312519007398/d666627d8ka.htm" TargetMode="External"/><Relationship Id="rId65" Type="http://schemas.openxmlformats.org/officeDocument/2006/relationships/hyperlink" Target="http://www.sec.gov/Archives/edgar/data/1681087/000119312519013423/d688889d8k.htm" TargetMode="External"/><Relationship Id="rId66" Type="http://schemas.openxmlformats.org/officeDocument/2006/relationships/hyperlink" Target="http://www.sec.gov/Archives/edgar/data/1681087/000119312519028978/d664592d8k.htm" TargetMode="External"/><Relationship Id="rId67" Type="http://schemas.openxmlformats.org/officeDocument/2006/relationships/hyperlink" Target="http://www.sec.gov/Archives/edgar/data/1681087/000119312519123672/d668056d8k.htm" TargetMode="External"/><Relationship Id="rId68" Type="http://schemas.openxmlformats.org/officeDocument/2006/relationships/hyperlink" Target="http://www.sec.gov/Archives/edgar/data/1681087/000119312519170745/d766114d8k.htm" TargetMode="External"/><Relationship Id="rId69" Type="http://schemas.openxmlformats.org/officeDocument/2006/relationships/hyperlink" Target="http://www.sec.gov/Archives/edgar/data/1681087/000119312518195637/d562006d8a12b.htm" TargetMode="External"/><Relationship Id="rId131" Type="http://schemas.openxmlformats.org/officeDocument/2006/relationships/hyperlink" Target="http://www.sec.gov/Archives/edgar/data/1681087/000119312518188630/d562006dex33.htm" TargetMode="External"/><Relationship Id="rId132" Type="http://schemas.openxmlformats.org/officeDocument/2006/relationships/hyperlink" Target="http://www.sec.gov/Archives/edgar/data/1681087/000119312518188630/d562006dex35.htm" TargetMode="External"/><Relationship Id="rId133" Type="http://schemas.openxmlformats.org/officeDocument/2006/relationships/hyperlink" Target="http://www.sec.gov/Archives/edgar/data/1681087/000119312518188630/d562006dex41.htm" TargetMode="External"/><Relationship Id="rId134" Type="http://schemas.openxmlformats.org/officeDocument/2006/relationships/hyperlink" Target="http://www.sec.gov/Archives/edgar/data/1681087/000119312518175024/d5620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2019-12-01T07:42:22Z</dcterms:created>
  <dcterms:modified xsi:type="dcterms:W3CDTF">2019-12-01T07:42:22Z</dcterms:modified>
</cp:coreProperties>
</file>