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AVROBIO,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05455M100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Robert Liptak</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Clarus Ventures, LLC</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101 Main Street, Suite 1210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Cambridge, MA 02142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949-2200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July 24,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4"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7" w:lineRule="exact"/>
        <w:rPr>
          <w:sz w:val="24"/>
          <w:szCs w:val="24"/>
          <w:color w:val="auto"/>
        </w:rPr>
      </w:pPr>
    </w:p>
    <w:p>
      <w:pPr>
        <w:ind w:left="440" w:hanging="436"/>
        <w:spacing w:after="0" w:line="308"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3"/>
              </w:rPr>
              <w:t>CUSIP No. 05455M100</w:t>
            </w:r>
          </w:p>
        </w:tc>
        <w:tc>
          <w:tcPr>
            <w:tcW w:w="7200" w:type="dxa"/>
            <w:vAlign w:val="bottom"/>
          </w:tcPr>
          <w:p>
            <w:pPr>
              <w:ind w:left="3720"/>
              <w:spacing w:after="0"/>
              <w:rPr>
                <w:sz w:val="20"/>
                <w:szCs w:val="20"/>
                <w:color w:val="auto"/>
              </w:rPr>
            </w:pPr>
            <w:r>
              <w:rPr>
                <w:rFonts w:ascii="Arial" w:cs="Arial" w:eastAsia="Arial" w:hAnsi="Arial"/>
                <w:sz w:val="18"/>
                <w:szCs w:val="18"/>
                <w:b w:val="1"/>
                <w:bCs w:val="1"/>
                <w:color w:val="auto"/>
              </w:rPr>
              <w:t>13D</w:t>
            </w:r>
          </w:p>
        </w:tc>
        <w:tc>
          <w:tcPr>
            <w:tcW w:w="1960" w:type="dxa"/>
            <w:vAlign w:val="bottom"/>
          </w:tcPr>
          <w:p>
            <w:pPr>
              <w:ind w:left="540"/>
              <w:spacing w:after="0"/>
              <w:rPr>
                <w:sz w:val="20"/>
                <w:szCs w:val="20"/>
                <w:color w:val="auto"/>
              </w:rPr>
            </w:pPr>
            <w:r>
              <w:rPr>
                <w:rFonts w:ascii="Arial" w:cs="Arial" w:eastAsia="Arial" w:hAnsi="Arial"/>
                <w:sz w:val="18"/>
                <w:szCs w:val="18"/>
                <w:b w:val="1"/>
                <w:bCs w:val="1"/>
                <w:color w:val="auto"/>
                <w:w w:val="85"/>
              </w:rPr>
              <w:t>Page 2 of 16 Pages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60" w:type="dxa"/>
            <w:vAlign w:val="bottom"/>
            <w:tcBorders>
              <w:bottom w:val="single" w:sz="8" w:color="auto"/>
            </w:tcBorders>
            <w:gridSpan w:val="3"/>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1</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NAMES OF REPORTING PERSONS</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86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Clarus Lifesciences III, L.P.</w:t>
            </w: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tcBorders>
              <w:right w:val="single" w:sz="8" w:color="auto"/>
            </w:tcBorders>
          </w:tcPr>
          <w:p>
            <w:pPr>
              <w:ind w:left="240"/>
              <w:spacing w:after="0" w:line="170" w:lineRule="exact"/>
              <w:rPr>
                <w:sz w:val="20"/>
                <w:szCs w:val="20"/>
                <w:color w:val="auto"/>
              </w:rPr>
            </w:pPr>
            <w:r>
              <w:rPr>
                <w:rFonts w:ascii="Arial" w:cs="Arial" w:eastAsia="Arial" w:hAnsi="Arial"/>
                <w:sz w:val="18"/>
                <w:szCs w:val="18"/>
                <w:color w:val="auto"/>
              </w:rPr>
              <w:t>2</w:t>
            </w:r>
          </w:p>
        </w:tc>
        <w:tc>
          <w:tcPr>
            <w:tcW w:w="8660" w:type="dxa"/>
            <w:vAlign w:val="bottom"/>
            <w:gridSpan w:val="3"/>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4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p>
        </w:tc>
        <w:tc>
          <w:tcPr>
            <w:tcW w:w="7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3</w:t>
            </w: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7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8660" w:type="dxa"/>
            <w:vAlign w:val="bottom"/>
            <w:tcBorders>
              <w:bottom w:val="single" w:sz="8" w:color="auto"/>
            </w:tcBorders>
            <w:gridSpan w:val="3"/>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4</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5</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6</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Delaware</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72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500" w:type="dxa"/>
            <w:vAlign w:val="bottom"/>
            <w:gridSpan w:val="2"/>
          </w:tcPr>
          <w:p>
            <w:pPr>
              <w:ind w:left="260"/>
              <w:spacing w:after="0"/>
              <w:rPr>
                <w:sz w:val="20"/>
                <w:szCs w:val="20"/>
                <w:color w:val="auto"/>
              </w:rPr>
            </w:pPr>
            <w:r>
              <w:rPr>
                <w:rFonts w:ascii="Arial" w:cs="Arial" w:eastAsia="Arial" w:hAnsi="Arial"/>
                <w:sz w:val="18"/>
                <w:szCs w:val="18"/>
                <w:color w:val="auto"/>
              </w:rPr>
              <w:t>NUMBER OF</w:t>
            </w:r>
          </w:p>
        </w:tc>
        <w:tc>
          <w:tcPr>
            <w:tcW w:w="360" w:type="dxa"/>
            <w:vAlign w:val="bottom"/>
          </w:tcPr>
          <w:p>
            <w:pPr>
              <w:spacing w:after="0"/>
              <w:rPr>
                <w:sz w:val="24"/>
                <w:szCs w:val="24"/>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vMerge w:val="restart"/>
          </w:tcPr>
          <w:p>
            <w:pPr>
              <w:jc w:val="center"/>
              <w:ind w:right="275"/>
              <w:spacing w:after="0"/>
              <w:rPr>
                <w:sz w:val="20"/>
                <w:szCs w:val="20"/>
                <w:color w:val="auto"/>
              </w:rPr>
            </w:pPr>
            <w:r>
              <w:rPr>
                <w:rFonts w:ascii="Arial" w:cs="Arial" w:eastAsia="Arial" w:hAnsi="Arial"/>
                <w:sz w:val="18"/>
                <w:szCs w:val="18"/>
                <w:color w:val="auto"/>
                <w:w w:val="94"/>
              </w:rPr>
              <w:t>SHARES</w:t>
            </w:r>
          </w:p>
        </w:tc>
        <w:tc>
          <w:tcPr>
            <w:tcW w:w="360" w:type="dxa"/>
            <w:vAlign w:val="bottom"/>
            <w:tcBorders>
              <w:bottom w:val="single" w:sz="8" w:color="auto"/>
            </w:tcBorders>
          </w:tcPr>
          <w:p>
            <w:pPr>
              <w:spacing w:after="0"/>
              <w:rPr>
                <w:sz w:val="5"/>
                <w:szCs w:val="5"/>
                <w:color w:val="auto"/>
              </w:rPr>
            </w:pPr>
          </w:p>
        </w:tc>
        <w:tc>
          <w:tcPr>
            <w:tcW w:w="720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18"/>
                <w:szCs w:val="18"/>
                <w:color w:val="auto"/>
              </w:rPr>
              <w:t>BENEFICIALLY</w:t>
            </w:r>
          </w:p>
        </w:tc>
        <w:tc>
          <w:tcPr>
            <w:tcW w:w="360" w:type="dxa"/>
            <w:vAlign w:val="bottom"/>
            <w:vMerge w:val="continue"/>
          </w:tcPr>
          <w:p>
            <w:pPr>
              <w:spacing w:after="0"/>
              <w:rPr>
                <w:sz w:val="8"/>
                <w:szCs w:val="8"/>
                <w:color w:val="auto"/>
              </w:rPr>
            </w:pPr>
          </w:p>
        </w:tc>
        <w:tc>
          <w:tcPr>
            <w:tcW w:w="720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360" w:type="dxa"/>
            <w:vAlign w:val="bottom"/>
          </w:tcPr>
          <w:p>
            <w:pPr>
              <w:spacing w:after="0"/>
              <w:rPr>
                <w:sz w:val="18"/>
                <w:szCs w:val="18"/>
                <w:color w:val="auto"/>
              </w:rPr>
            </w:pP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vMerge w:val="restart"/>
          </w:tcPr>
          <w:p>
            <w:pPr>
              <w:jc w:val="center"/>
              <w:ind w:right="275"/>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7200" w:type="dxa"/>
            <w:vAlign w:val="bottom"/>
            <w:tcBorders>
              <w:bottom w:val="single" w:sz="8" w:color="auto"/>
            </w:tcBorders>
            <w:vMerge w:val="continue"/>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1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500" w:type="dxa"/>
            <w:vAlign w:val="bottom"/>
            <w:gridSpan w:val="2"/>
            <w:vMerge w:val="restart"/>
          </w:tcPr>
          <w:p>
            <w:pPr>
              <w:ind w:left="280"/>
              <w:spacing w:after="0"/>
              <w:rPr>
                <w:sz w:val="20"/>
                <w:szCs w:val="20"/>
                <w:color w:val="auto"/>
              </w:rPr>
            </w:pPr>
            <w:r>
              <w:rPr>
                <w:rFonts w:ascii="Arial" w:cs="Arial" w:eastAsia="Arial" w:hAnsi="Arial"/>
                <w:sz w:val="18"/>
                <w:szCs w:val="18"/>
                <w:color w:val="auto"/>
              </w:rPr>
              <w:t>REPORTING</w:t>
            </w:r>
          </w:p>
        </w:tc>
        <w:tc>
          <w:tcPr>
            <w:tcW w:w="360" w:type="dxa"/>
            <w:vAlign w:val="bottom"/>
            <w:vMerge w:val="continue"/>
          </w:tcPr>
          <w:p>
            <w:pPr>
              <w:spacing w:after="0"/>
              <w:rPr>
                <w:sz w:val="13"/>
                <w:szCs w:val="13"/>
                <w:color w:val="auto"/>
              </w:rPr>
            </w:pPr>
          </w:p>
        </w:tc>
        <w:tc>
          <w:tcPr>
            <w:tcW w:w="720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72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center"/>
              <w:ind w:right="275"/>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center"/>
              <w:ind w:right="275"/>
              <w:spacing w:after="0" w:line="157" w:lineRule="exact"/>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15"/>
                <w:szCs w:val="15"/>
                <w:color w:val="auto"/>
              </w:rPr>
            </w:pPr>
          </w:p>
        </w:tc>
        <w:tc>
          <w:tcPr>
            <w:tcW w:w="7200" w:type="dxa"/>
            <w:vAlign w:val="bottom"/>
            <w:tcBorders>
              <w:bottom w:val="single" w:sz="8" w:color="auto"/>
            </w:tcBorders>
            <w:vMerge w:val="continue"/>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72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-4030345</wp:posOffset>
            </wp:positionV>
            <wp:extent cx="7006590" cy="6114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6590" cy="6114415"/>
                    </a:xfrm>
                    <a:prstGeom prst="rect">
                      <a:avLst/>
                    </a:prstGeom>
                    <a:noFill/>
                  </pic:spPr>
                </pic:pic>
              </a:graphicData>
            </a:graphic>
          </wp:anchor>
        </w:drawing>
      </w:r>
    </w:p>
    <w:p>
      <w:pPr>
        <w:spacing w:after="0" w:line="19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480" w:right="4000" w:hanging="319"/>
        <w:spacing w:after="0" w:line="407"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ind w:left="480" w:hanging="319"/>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4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480" w:right="5420" w:hanging="319"/>
        <w:spacing w:after="0" w:line="402"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0.0%</w:t>
      </w:r>
    </w:p>
    <w:p>
      <w:pPr>
        <w:spacing w:after="0" w:line="1" w:lineRule="exact"/>
        <w:rPr>
          <w:rFonts w:ascii="Arial" w:cs="Arial" w:eastAsia="Arial" w:hAnsi="Arial"/>
          <w:sz w:val="18"/>
          <w:szCs w:val="18"/>
          <w:color w:val="auto"/>
        </w:rPr>
      </w:pPr>
    </w:p>
    <w:p>
      <w:pPr>
        <w:ind w:left="480" w:right="6220" w:hanging="319"/>
        <w:spacing w:after="0" w:line="559"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ectPr>
          <w:pgSz w:w="11900" w:h="16838" w:orient="portrait"/>
          <w:cols w:equalWidth="0" w:num="1">
            <w:col w:w="11040"/>
          </w:cols>
          <w:pgMar w:left="440" w:top="270"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8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3"/>
              </w:rPr>
              <w:t>CUSIP No. 05455M100</w:t>
            </w:r>
          </w:p>
        </w:tc>
        <w:tc>
          <w:tcPr>
            <w:tcW w:w="7200" w:type="dxa"/>
            <w:vAlign w:val="bottom"/>
          </w:tcPr>
          <w:p>
            <w:pPr>
              <w:ind w:left="3720"/>
              <w:spacing w:after="0"/>
              <w:rPr>
                <w:sz w:val="20"/>
                <w:szCs w:val="20"/>
                <w:color w:val="auto"/>
              </w:rPr>
            </w:pPr>
            <w:r>
              <w:rPr>
                <w:rFonts w:ascii="Arial" w:cs="Arial" w:eastAsia="Arial" w:hAnsi="Arial"/>
                <w:sz w:val="18"/>
                <w:szCs w:val="18"/>
                <w:b w:val="1"/>
                <w:bCs w:val="1"/>
                <w:color w:val="auto"/>
              </w:rPr>
              <w:t>13D</w:t>
            </w:r>
          </w:p>
        </w:tc>
        <w:tc>
          <w:tcPr>
            <w:tcW w:w="1960" w:type="dxa"/>
            <w:vAlign w:val="bottom"/>
          </w:tcPr>
          <w:p>
            <w:pPr>
              <w:ind w:left="540"/>
              <w:spacing w:after="0"/>
              <w:rPr>
                <w:sz w:val="20"/>
                <w:szCs w:val="20"/>
                <w:color w:val="auto"/>
              </w:rPr>
            </w:pPr>
            <w:r>
              <w:rPr>
                <w:rFonts w:ascii="Arial" w:cs="Arial" w:eastAsia="Arial" w:hAnsi="Arial"/>
                <w:sz w:val="18"/>
                <w:szCs w:val="18"/>
                <w:b w:val="1"/>
                <w:bCs w:val="1"/>
                <w:color w:val="auto"/>
                <w:w w:val="85"/>
              </w:rPr>
              <w:t>Page 3 of 16 Pages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60" w:type="dxa"/>
            <w:vAlign w:val="bottom"/>
            <w:tcBorders>
              <w:bottom w:val="single" w:sz="8" w:color="auto"/>
            </w:tcBorders>
            <w:gridSpan w:val="3"/>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1</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NAMES OF REPORTING PERSONS</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86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Clarus Ventures III GP, L.P.</w:t>
            </w: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tcBorders>
              <w:right w:val="single" w:sz="8" w:color="auto"/>
            </w:tcBorders>
          </w:tcPr>
          <w:p>
            <w:pPr>
              <w:ind w:left="240"/>
              <w:spacing w:after="0" w:line="170" w:lineRule="exact"/>
              <w:rPr>
                <w:sz w:val="20"/>
                <w:szCs w:val="20"/>
                <w:color w:val="auto"/>
              </w:rPr>
            </w:pPr>
            <w:r>
              <w:rPr>
                <w:rFonts w:ascii="Arial" w:cs="Arial" w:eastAsia="Arial" w:hAnsi="Arial"/>
                <w:sz w:val="18"/>
                <w:szCs w:val="18"/>
                <w:color w:val="auto"/>
              </w:rPr>
              <w:t>2</w:t>
            </w:r>
          </w:p>
        </w:tc>
        <w:tc>
          <w:tcPr>
            <w:tcW w:w="8660" w:type="dxa"/>
            <w:vAlign w:val="bottom"/>
            <w:gridSpan w:val="3"/>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4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p>
        </w:tc>
        <w:tc>
          <w:tcPr>
            <w:tcW w:w="7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3</w:t>
            </w: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7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8660" w:type="dxa"/>
            <w:vAlign w:val="bottom"/>
            <w:tcBorders>
              <w:bottom w:val="single" w:sz="8" w:color="auto"/>
            </w:tcBorders>
            <w:gridSpan w:val="3"/>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4</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AF</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5</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6</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Delaware</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72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500" w:type="dxa"/>
            <w:vAlign w:val="bottom"/>
            <w:gridSpan w:val="2"/>
          </w:tcPr>
          <w:p>
            <w:pPr>
              <w:ind w:left="260"/>
              <w:spacing w:after="0"/>
              <w:rPr>
                <w:sz w:val="20"/>
                <w:szCs w:val="20"/>
                <w:color w:val="auto"/>
              </w:rPr>
            </w:pPr>
            <w:r>
              <w:rPr>
                <w:rFonts w:ascii="Arial" w:cs="Arial" w:eastAsia="Arial" w:hAnsi="Arial"/>
                <w:sz w:val="18"/>
                <w:szCs w:val="18"/>
                <w:color w:val="auto"/>
              </w:rPr>
              <w:t>NUMBER OF</w:t>
            </w:r>
          </w:p>
        </w:tc>
        <w:tc>
          <w:tcPr>
            <w:tcW w:w="360" w:type="dxa"/>
            <w:vAlign w:val="bottom"/>
          </w:tcPr>
          <w:p>
            <w:pPr>
              <w:spacing w:after="0"/>
              <w:rPr>
                <w:sz w:val="24"/>
                <w:szCs w:val="24"/>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vMerge w:val="restart"/>
          </w:tcPr>
          <w:p>
            <w:pPr>
              <w:jc w:val="center"/>
              <w:ind w:right="275"/>
              <w:spacing w:after="0"/>
              <w:rPr>
                <w:sz w:val="20"/>
                <w:szCs w:val="20"/>
                <w:color w:val="auto"/>
              </w:rPr>
            </w:pPr>
            <w:r>
              <w:rPr>
                <w:rFonts w:ascii="Arial" w:cs="Arial" w:eastAsia="Arial" w:hAnsi="Arial"/>
                <w:sz w:val="18"/>
                <w:szCs w:val="18"/>
                <w:color w:val="auto"/>
                <w:w w:val="94"/>
              </w:rPr>
              <w:t>SHARES</w:t>
            </w:r>
          </w:p>
        </w:tc>
        <w:tc>
          <w:tcPr>
            <w:tcW w:w="360" w:type="dxa"/>
            <w:vAlign w:val="bottom"/>
            <w:tcBorders>
              <w:bottom w:val="single" w:sz="8" w:color="auto"/>
            </w:tcBorders>
          </w:tcPr>
          <w:p>
            <w:pPr>
              <w:spacing w:after="0"/>
              <w:rPr>
                <w:sz w:val="5"/>
                <w:szCs w:val="5"/>
                <w:color w:val="auto"/>
              </w:rPr>
            </w:pPr>
          </w:p>
        </w:tc>
        <w:tc>
          <w:tcPr>
            <w:tcW w:w="720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18"/>
                <w:szCs w:val="18"/>
                <w:color w:val="auto"/>
              </w:rPr>
              <w:t>BENEFICIALLY</w:t>
            </w:r>
          </w:p>
        </w:tc>
        <w:tc>
          <w:tcPr>
            <w:tcW w:w="360" w:type="dxa"/>
            <w:vAlign w:val="bottom"/>
            <w:vMerge w:val="continue"/>
          </w:tcPr>
          <w:p>
            <w:pPr>
              <w:spacing w:after="0"/>
              <w:rPr>
                <w:sz w:val="8"/>
                <w:szCs w:val="8"/>
                <w:color w:val="auto"/>
              </w:rPr>
            </w:pPr>
          </w:p>
        </w:tc>
        <w:tc>
          <w:tcPr>
            <w:tcW w:w="720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360" w:type="dxa"/>
            <w:vAlign w:val="bottom"/>
          </w:tcPr>
          <w:p>
            <w:pPr>
              <w:spacing w:after="0"/>
              <w:rPr>
                <w:sz w:val="18"/>
                <w:szCs w:val="18"/>
                <w:color w:val="auto"/>
              </w:rPr>
            </w:pP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vMerge w:val="restart"/>
          </w:tcPr>
          <w:p>
            <w:pPr>
              <w:jc w:val="center"/>
              <w:ind w:right="275"/>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7200" w:type="dxa"/>
            <w:vAlign w:val="bottom"/>
            <w:tcBorders>
              <w:bottom w:val="single" w:sz="8" w:color="auto"/>
            </w:tcBorders>
            <w:vMerge w:val="continue"/>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1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500" w:type="dxa"/>
            <w:vAlign w:val="bottom"/>
            <w:gridSpan w:val="2"/>
            <w:vMerge w:val="restart"/>
          </w:tcPr>
          <w:p>
            <w:pPr>
              <w:ind w:left="280"/>
              <w:spacing w:after="0"/>
              <w:rPr>
                <w:sz w:val="20"/>
                <w:szCs w:val="20"/>
                <w:color w:val="auto"/>
              </w:rPr>
            </w:pPr>
            <w:r>
              <w:rPr>
                <w:rFonts w:ascii="Arial" w:cs="Arial" w:eastAsia="Arial" w:hAnsi="Arial"/>
                <w:sz w:val="18"/>
                <w:szCs w:val="18"/>
                <w:color w:val="auto"/>
              </w:rPr>
              <w:t>REPORTING</w:t>
            </w:r>
          </w:p>
        </w:tc>
        <w:tc>
          <w:tcPr>
            <w:tcW w:w="360" w:type="dxa"/>
            <w:vAlign w:val="bottom"/>
            <w:vMerge w:val="continue"/>
          </w:tcPr>
          <w:p>
            <w:pPr>
              <w:spacing w:after="0"/>
              <w:rPr>
                <w:sz w:val="13"/>
                <w:szCs w:val="13"/>
                <w:color w:val="auto"/>
              </w:rPr>
            </w:pPr>
          </w:p>
        </w:tc>
        <w:tc>
          <w:tcPr>
            <w:tcW w:w="720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72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center"/>
              <w:ind w:right="275"/>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center"/>
              <w:ind w:right="275"/>
              <w:spacing w:after="0" w:line="157" w:lineRule="exact"/>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15"/>
                <w:szCs w:val="15"/>
                <w:color w:val="auto"/>
              </w:rPr>
            </w:pPr>
          </w:p>
        </w:tc>
        <w:tc>
          <w:tcPr>
            <w:tcW w:w="7200" w:type="dxa"/>
            <w:vAlign w:val="bottom"/>
            <w:tcBorders>
              <w:bottom w:val="single" w:sz="8" w:color="auto"/>
            </w:tcBorders>
            <w:vMerge w:val="continue"/>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72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-4030345</wp:posOffset>
            </wp:positionV>
            <wp:extent cx="7006590" cy="6114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6590" cy="6114415"/>
                    </a:xfrm>
                    <a:prstGeom prst="rect">
                      <a:avLst/>
                    </a:prstGeom>
                    <a:noFill/>
                  </pic:spPr>
                </pic:pic>
              </a:graphicData>
            </a:graphic>
          </wp:anchor>
        </w:drawing>
      </w:r>
    </w:p>
    <w:p>
      <w:pPr>
        <w:spacing w:after="0" w:line="19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480" w:right="4000" w:hanging="319"/>
        <w:spacing w:after="0" w:line="40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ind w:left="480" w:hanging="31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4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480" w:right="5420" w:hanging="319"/>
        <w:spacing w:after="0" w:line="402"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0.0%</w:t>
      </w:r>
    </w:p>
    <w:p>
      <w:pPr>
        <w:spacing w:after="0" w:line="1" w:lineRule="exact"/>
        <w:rPr>
          <w:rFonts w:ascii="Arial" w:cs="Arial" w:eastAsia="Arial" w:hAnsi="Arial"/>
          <w:sz w:val="18"/>
          <w:szCs w:val="18"/>
          <w:color w:val="auto"/>
        </w:rPr>
      </w:pPr>
    </w:p>
    <w:p>
      <w:pPr>
        <w:ind w:left="480" w:right="6220" w:hanging="319"/>
        <w:spacing w:after="0" w:line="559"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ectPr>
          <w:pgSz w:w="11900" w:h="16838" w:orient="portrait"/>
          <w:cols w:equalWidth="0" w:num="1">
            <w:col w:w="11040"/>
          </w:cols>
          <w:pgMar w:left="440" w:top="270"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8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3"/>
              </w:rPr>
              <w:t>CUSIP No. 05455M100</w:t>
            </w:r>
          </w:p>
        </w:tc>
        <w:tc>
          <w:tcPr>
            <w:tcW w:w="7200" w:type="dxa"/>
            <w:vAlign w:val="bottom"/>
          </w:tcPr>
          <w:p>
            <w:pPr>
              <w:ind w:left="3720"/>
              <w:spacing w:after="0"/>
              <w:rPr>
                <w:sz w:val="20"/>
                <w:szCs w:val="20"/>
                <w:color w:val="auto"/>
              </w:rPr>
            </w:pPr>
            <w:r>
              <w:rPr>
                <w:rFonts w:ascii="Arial" w:cs="Arial" w:eastAsia="Arial" w:hAnsi="Arial"/>
                <w:sz w:val="18"/>
                <w:szCs w:val="18"/>
                <w:b w:val="1"/>
                <w:bCs w:val="1"/>
                <w:color w:val="auto"/>
              </w:rPr>
              <w:t>13D</w:t>
            </w:r>
          </w:p>
        </w:tc>
        <w:tc>
          <w:tcPr>
            <w:tcW w:w="1960" w:type="dxa"/>
            <w:vAlign w:val="bottom"/>
          </w:tcPr>
          <w:p>
            <w:pPr>
              <w:ind w:left="540"/>
              <w:spacing w:after="0"/>
              <w:rPr>
                <w:sz w:val="20"/>
                <w:szCs w:val="20"/>
                <w:color w:val="auto"/>
              </w:rPr>
            </w:pPr>
            <w:r>
              <w:rPr>
                <w:rFonts w:ascii="Arial" w:cs="Arial" w:eastAsia="Arial" w:hAnsi="Arial"/>
                <w:sz w:val="18"/>
                <w:szCs w:val="18"/>
                <w:b w:val="1"/>
                <w:bCs w:val="1"/>
                <w:color w:val="auto"/>
                <w:w w:val="85"/>
              </w:rPr>
              <w:t>Page 4 of 16 Pages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60" w:type="dxa"/>
            <w:vAlign w:val="bottom"/>
            <w:tcBorders>
              <w:bottom w:val="single" w:sz="8" w:color="auto"/>
            </w:tcBorders>
            <w:gridSpan w:val="3"/>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1</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NAMES OF REPORTING PERSONS</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86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Blackstone Clarus III L.L.C.</w:t>
            </w: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tcBorders>
              <w:right w:val="single" w:sz="8" w:color="auto"/>
            </w:tcBorders>
          </w:tcPr>
          <w:p>
            <w:pPr>
              <w:ind w:left="240"/>
              <w:spacing w:after="0" w:line="170" w:lineRule="exact"/>
              <w:rPr>
                <w:sz w:val="20"/>
                <w:szCs w:val="20"/>
                <w:color w:val="auto"/>
              </w:rPr>
            </w:pPr>
            <w:r>
              <w:rPr>
                <w:rFonts w:ascii="Arial" w:cs="Arial" w:eastAsia="Arial" w:hAnsi="Arial"/>
                <w:sz w:val="18"/>
                <w:szCs w:val="18"/>
                <w:color w:val="auto"/>
              </w:rPr>
              <w:t>2</w:t>
            </w:r>
          </w:p>
        </w:tc>
        <w:tc>
          <w:tcPr>
            <w:tcW w:w="8660" w:type="dxa"/>
            <w:vAlign w:val="bottom"/>
            <w:gridSpan w:val="3"/>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4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p>
        </w:tc>
        <w:tc>
          <w:tcPr>
            <w:tcW w:w="7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3</w:t>
            </w: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7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8660" w:type="dxa"/>
            <w:vAlign w:val="bottom"/>
            <w:tcBorders>
              <w:bottom w:val="single" w:sz="8" w:color="auto"/>
            </w:tcBorders>
            <w:gridSpan w:val="3"/>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4</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AF</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5</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6</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Delaware</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72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500" w:type="dxa"/>
            <w:vAlign w:val="bottom"/>
            <w:gridSpan w:val="2"/>
          </w:tcPr>
          <w:p>
            <w:pPr>
              <w:ind w:left="260"/>
              <w:spacing w:after="0"/>
              <w:rPr>
                <w:sz w:val="20"/>
                <w:szCs w:val="20"/>
                <w:color w:val="auto"/>
              </w:rPr>
            </w:pPr>
            <w:r>
              <w:rPr>
                <w:rFonts w:ascii="Arial" w:cs="Arial" w:eastAsia="Arial" w:hAnsi="Arial"/>
                <w:sz w:val="18"/>
                <w:szCs w:val="18"/>
                <w:color w:val="auto"/>
              </w:rPr>
              <w:t>NUMBER OF</w:t>
            </w:r>
          </w:p>
        </w:tc>
        <w:tc>
          <w:tcPr>
            <w:tcW w:w="360" w:type="dxa"/>
            <w:vAlign w:val="bottom"/>
          </w:tcPr>
          <w:p>
            <w:pPr>
              <w:spacing w:after="0"/>
              <w:rPr>
                <w:sz w:val="24"/>
                <w:szCs w:val="24"/>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vMerge w:val="restart"/>
          </w:tcPr>
          <w:p>
            <w:pPr>
              <w:jc w:val="center"/>
              <w:ind w:right="275"/>
              <w:spacing w:after="0"/>
              <w:rPr>
                <w:sz w:val="20"/>
                <w:szCs w:val="20"/>
                <w:color w:val="auto"/>
              </w:rPr>
            </w:pPr>
            <w:r>
              <w:rPr>
                <w:rFonts w:ascii="Arial" w:cs="Arial" w:eastAsia="Arial" w:hAnsi="Arial"/>
                <w:sz w:val="18"/>
                <w:szCs w:val="18"/>
                <w:color w:val="auto"/>
                <w:w w:val="94"/>
              </w:rPr>
              <w:t>SHARES</w:t>
            </w:r>
          </w:p>
        </w:tc>
        <w:tc>
          <w:tcPr>
            <w:tcW w:w="360" w:type="dxa"/>
            <w:vAlign w:val="bottom"/>
            <w:tcBorders>
              <w:bottom w:val="single" w:sz="8" w:color="auto"/>
            </w:tcBorders>
          </w:tcPr>
          <w:p>
            <w:pPr>
              <w:spacing w:after="0"/>
              <w:rPr>
                <w:sz w:val="5"/>
                <w:szCs w:val="5"/>
                <w:color w:val="auto"/>
              </w:rPr>
            </w:pPr>
          </w:p>
        </w:tc>
        <w:tc>
          <w:tcPr>
            <w:tcW w:w="720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18"/>
                <w:szCs w:val="18"/>
                <w:color w:val="auto"/>
              </w:rPr>
              <w:t>BENEFICIALLY</w:t>
            </w:r>
          </w:p>
        </w:tc>
        <w:tc>
          <w:tcPr>
            <w:tcW w:w="360" w:type="dxa"/>
            <w:vAlign w:val="bottom"/>
            <w:vMerge w:val="continue"/>
          </w:tcPr>
          <w:p>
            <w:pPr>
              <w:spacing w:after="0"/>
              <w:rPr>
                <w:sz w:val="8"/>
                <w:szCs w:val="8"/>
                <w:color w:val="auto"/>
              </w:rPr>
            </w:pPr>
          </w:p>
        </w:tc>
        <w:tc>
          <w:tcPr>
            <w:tcW w:w="720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360" w:type="dxa"/>
            <w:vAlign w:val="bottom"/>
          </w:tcPr>
          <w:p>
            <w:pPr>
              <w:spacing w:after="0"/>
              <w:rPr>
                <w:sz w:val="18"/>
                <w:szCs w:val="18"/>
                <w:color w:val="auto"/>
              </w:rPr>
            </w:pP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vMerge w:val="restart"/>
          </w:tcPr>
          <w:p>
            <w:pPr>
              <w:jc w:val="center"/>
              <w:ind w:right="275"/>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7200" w:type="dxa"/>
            <w:vAlign w:val="bottom"/>
            <w:tcBorders>
              <w:bottom w:val="single" w:sz="8" w:color="auto"/>
            </w:tcBorders>
            <w:vMerge w:val="continue"/>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1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500" w:type="dxa"/>
            <w:vAlign w:val="bottom"/>
            <w:gridSpan w:val="2"/>
            <w:vMerge w:val="restart"/>
          </w:tcPr>
          <w:p>
            <w:pPr>
              <w:ind w:left="280"/>
              <w:spacing w:after="0"/>
              <w:rPr>
                <w:sz w:val="20"/>
                <w:szCs w:val="20"/>
                <w:color w:val="auto"/>
              </w:rPr>
            </w:pPr>
            <w:r>
              <w:rPr>
                <w:rFonts w:ascii="Arial" w:cs="Arial" w:eastAsia="Arial" w:hAnsi="Arial"/>
                <w:sz w:val="18"/>
                <w:szCs w:val="18"/>
                <w:color w:val="auto"/>
              </w:rPr>
              <w:t>REPORTING</w:t>
            </w:r>
          </w:p>
        </w:tc>
        <w:tc>
          <w:tcPr>
            <w:tcW w:w="360" w:type="dxa"/>
            <w:vAlign w:val="bottom"/>
            <w:vMerge w:val="continue"/>
          </w:tcPr>
          <w:p>
            <w:pPr>
              <w:spacing w:after="0"/>
              <w:rPr>
                <w:sz w:val="13"/>
                <w:szCs w:val="13"/>
                <w:color w:val="auto"/>
              </w:rPr>
            </w:pPr>
          </w:p>
        </w:tc>
        <w:tc>
          <w:tcPr>
            <w:tcW w:w="720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72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center"/>
              <w:ind w:right="275"/>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center"/>
              <w:ind w:right="275"/>
              <w:spacing w:after="0" w:line="157" w:lineRule="exact"/>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15"/>
                <w:szCs w:val="15"/>
                <w:color w:val="auto"/>
              </w:rPr>
            </w:pPr>
          </w:p>
        </w:tc>
        <w:tc>
          <w:tcPr>
            <w:tcW w:w="7200" w:type="dxa"/>
            <w:vAlign w:val="bottom"/>
            <w:tcBorders>
              <w:bottom w:val="single" w:sz="8" w:color="auto"/>
            </w:tcBorders>
            <w:vMerge w:val="continue"/>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72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-4030345</wp:posOffset>
            </wp:positionV>
            <wp:extent cx="7006590" cy="6114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6590" cy="6114415"/>
                    </a:xfrm>
                    <a:prstGeom prst="rect">
                      <a:avLst/>
                    </a:prstGeom>
                    <a:noFill/>
                  </pic:spPr>
                </pic:pic>
              </a:graphicData>
            </a:graphic>
          </wp:anchor>
        </w:drawing>
      </w:r>
    </w:p>
    <w:p>
      <w:pPr>
        <w:spacing w:after="0" w:line="19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480" w:right="4000" w:hanging="319"/>
        <w:spacing w:after="0" w:line="407"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ind w:left="480" w:hanging="319"/>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4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480" w:right="5420" w:hanging="319"/>
        <w:spacing w:after="0" w:line="402"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0.0%</w:t>
      </w:r>
    </w:p>
    <w:p>
      <w:pPr>
        <w:spacing w:after="0" w:line="1" w:lineRule="exact"/>
        <w:rPr>
          <w:rFonts w:ascii="Arial" w:cs="Arial" w:eastAsia="Arial" w:hAnsi="Arial"/>
          <w:sz w:val="18"/>
          <w:szCs w:val="18"/>
          <w:color w:val="auto"/>
        </w:rPr>
      </w:pPr>
    </w:p>
    <w:p>
      <w:pPr>
        <w:ind w:left="480" w:right="6220" w:hanging="319"/>
        <w:spacing w:after="0" w:line="559"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1040"/>
          </w:cols>
          <w:pgMar w:left="440" w:top="270" w:right="4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8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3"/>
              </w:rPr>
              <w:t>CUSIP No. 05455M100</w:t>
            </w:r>
          </w:p>
        </w:tc>
        <w:tc>
          <w:tcPr>
            <w:tcW w:w="7200" w:type="dxa"/>
            <w:vAlign w:val="bottom"/>
          </w:tcPr>
          <w:p>
            <w:pPr>
              <w:ind w:left="3720"/>
              <w:spacing w:after="0"/>
              <w:rPr>
                <w:sz w:val="20"/>
                <w:szCs w:val="20"/>
                <w:color w:val="auto"/>
              </w:rPr>
            </w:pPr>
            <w:r>
              <w:rPr>
                <w:rFonts w:ascii="Arial" w:cs="Arial" w:eastAsia="Arial" w:hAnsi="Arial"/>
                <w:sz w:val="18"/>
                <w:szCs w:val="18"/>
                <w:b w:val="1"/>
                <w:bCs w:val="1"/>
                <w:color w:val="auto"/>
              </w:rPr>
              <w:t>13D</w:t>
            </w:r>
          </w:p>
        </w:tc>
        <w:tc>
          <w:tcPr>
            <w:tcW w:w="1960" w:type="dxa"/>
            <w:vAlign w:val="bottom"/>
          </w:tcPr>
          <w:p>
            <w:pPr>
              <w:ind w:left="540"/>
              <w:spacing w:after="0"/>
              <w:rPr>
                <w:sz w:val="20"/>
                <w:szCs w:val="20"/>
                <w:color w:val="auto"/>
              </w:rPr>
            </w:pPr>
            <w:r>
              <w:rPr>
                <w:rFonts w:ascii="Arial" w:cs="Arial" w:eastAsia="Arial" w:hAnsi="Arial"/>
                <w:sz w:val="18"/>
                <w:szCs w:val="18"/>
                <w:b w:val="1"/>
                <w:bCs w:val="1"/>
                <w:color w:val="auto"/>
                <w:w w:val="85"/>
              </w:rPr>
              <w:t>Page 5 of 16 Pages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60" w:type="dxa"/>
            <w:vAlign w:val="bottom"/>
            <w:tcBorders>
              <w:bottom w:val="single" w:sz="8" w:color="auto"/>
            </w:tcBorders>
            <w:gridSpan w:val="3"/>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1</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NAMES OF REPORTING PERSONS</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86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Blackstone Holdings II L.P.</w:t>
            </w: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tcBorders>
              <w:right w:val="single" w:sz="8" w:color="auto"/>
            </w:tcBorders>
          </w:tcPr>
          <w:p>
            <w:pPr>
              <w:ind w:left="240"/>
              <w:spacing w:after="0" w:line="170" w:lineRule="exact"/>
              <w:rPr>
                <w:sz w:val="20"/>
                <w:szCs w:val="20"/>
                <w:color w:val="auto"/>
              </w:rPr>
            </w:pPr>
            <w:r>
              <w:rPr>
                <w:rFonts w:ascii="Arial" w:cs="Arial" w:eastAsia="Arial" w:hAnsi="Arial"/>
                <w:sz w:val="18"/>
                <w:szCs w:val="18"/>
                <w:color w:val="auto"/>
              </w:rPr>
              <w:t>2</w:t>
            </w:r>
          </w:p>
        </w:tc>
        <w:tc>
          <w:tcPr>
            <w:tcW w:w="8660" w:type="dxa"/>
            <w:vAlign w:val="bottom"/>
            <w:gridSpan w:val="3"/>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4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p>
        </w:tc>
        <w:tc>
          <w:tcPr>
            <w:tcW w:w="7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3</w:t>
            </w: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7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8660" w:type="dxa"/>
            <w:vAlign w:val="bottom"/>
            <w:tcBorders>
              <w:bottom w:val="single" w:sz="8" w:color="auto"/>
            </w:tcBorders>
            <w:gridSpan w:val="3"/>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4</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AF</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5</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6</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Delaware</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72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500" w:type="dxa"/>
            <w:vAlign w:val="bottom"/>
            <w:gridSpan w:val="2"/>
          </w:tcPr>
          <w:p>
            <w:pPr>
              <w:ind w:left="260"/>
              <w:spacing w:after="0"/>
              <w:rPr>
                <w:sz w:val="20"/>
                <w:szCs w:val="20"/>
                <w:color w:val="auto"/>
              </w:rPr>
            </w:pPr>
            <w:r>
              <w:rPr>
                <w:rFonts w:ascii="Arial" w:cs="Arial" w:eastAsia="Arial" w:hAnsi="Arial"/>
                <w:sz w:val="18"/>
                <w:szCs w:val="18"/>
                <w:color w:val="auto"/>
              </w:rPr>
              <w:t>NUMBER OF</w:t>
            </w:r>
          </w:p>
        </w:tc>
        <w:tc>
          <w:tcPr>
            <w:tcW w:w="360" w:type="dxa"/>
            <w:vAlign w:val="bottom"/>
          </w:tcPr>
          <w:p>
            <w:pPr>
              <w:spacing w:after="0"/>
              <w:rPr>
                <w:sz w:val="24"/>
                <w:szCs w:val="24"/>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vMerge w:val="restart"/>
          </w:tcPr>
          <w:p>
            <w:pPr>
              <w:jc w:val="center"/>
              <w:ind w:right="275"/>
              <w:spacing w:after="0"/>
              <w:rPr>
                <w:sz w:val="20"/>
                <w:szCs w:val="20"/>
                <w:color w:val="auto"/>
              </w:rPr>
            </w:pPr>
            <w:r>
              <w:rPr>
                <w:rFonts w:ascii="Arial" w:cs="Arial" w:eastAsia="Arial" w:hAnsi="Arial"/>
                <w:sz w:val="18"/>
                <w:szCs w:val="18"/>
                <w:color w:val="auto"/>
                <w:w w:val="94"/>
              </w:rPr>
              <w:t>SHARES</w:t>
            </w:r>
          </w:p>
        </w:tc>
        <w:tc>
          <w:tcPr>
            <w:tcW w:w="360" w:type="dxa"/>
            <w:vAlign w:val="bottom"/>
            <w:tcBorders>
              <w:bottom w:val="single" w:sz="8" w:color="auto"/>
            </w:tcBorders>
          </w:tcPr>
          <w:p>
            <w:pPr>
              <w:spacing w:after="0"/>
              <w:rPr>
                <w:sz w:val="5"/>
                <w:szCs w:val="5"/>
                <w:color w:val="auto"/>
              </w:rPr>
            </w:pPr>
          </w:p>
        </w:tc>
        <w:tc>
          <w:tcPr>
            <w:tcW w:w="720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18"/>
                <w:szCs w:val="18"/>
                <w:color w:val="auto"/>
              </w:rPr>
              <w:t>BENEFICIALLY</w:t>
            </w:r>
          </w:p>
        </w:tc>
        <w:tc>
          <w:tcPr>
            <w:tcW w:w="360" w:type="dxa"/>
            <w:vAlign w:val="bottom"/>
            <w:vMerge w:val="continue"/>
          </w:tcPr>
          <w:p>
            <w:pPr>
              <w:spacing w:after="0"/>
              <w:rPr>
                <w:sz w:val="8"/>
                <w:szCs w:val="8"/>
                <w:color w:val="auto"/>
              </w:rPr>
            </w:pPr>
          </w:p>
        </w:tc>
        <w:tc>
          <w:tcPr>
            <w:tcW w:w="720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360" w:type="dxa"/>
            <w:vAlign w:val="bottom"/>
          </w:tcPr>
          <w:p>
            <w:pPr>
              <w:spacing w:after="0"/>
              <w:rPr>
                <w:sz w:val="18"/>
                <w:szCs w:val="18"/>
                <w:color w:val="auto"/>
              </w:rPr>
            </w:pP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vMerge w:val="restart"/>
          </w:tcPr>
          <w:p>
            <w:pPr>
              <w:jc w:val="center"/>
              <w:ind w:right="275"/>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7200" w:type="dxa"/>
            <w:vAlign w:val="bottom"/>
            <w:tcBorders>
              <w:bottom w:val="single" w:sz="8" w:color="auto"/>
            </w:tcBorders>
            <w:vMerge w:val="continue"/>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1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500" w:type="dxa"/>
            <w:vAlign w:val="bottom"/>
            <w:gridSpan w:val="2"/>
            <w:vMerge w:val="restart"/>
          </w:tcPr>
          <w:p>
            <w:pPr>
              <w:ind w:left="280"/>
              <w:spacing w:after="0"/>
              <w:rPr>
                <w:sz w:val="20"/>
                <w:szCs w:val="20"/>
                <w:color w:val="auto"/>
              </w:rPr>
            </w:pPr>
            <w:r>
              <w:rPr>
                <w:rFonts w:ascii="Arial" w:cs="Arial" w:eastAsia="Arial" w:hAnsi="Arial"/>
                <w:sz w:val="18"/>
                <w:szCs w:val="18"/>
                <w:color w:val="auto"/>
              </w:rPr>
              <w:t>REPORTING</w:t>
            </w:r>
          </w:p>
        </w:tc>
        <w:tc>
          <w:tcPr>
            <w:tcW w:w="360" w:type="dxa"/>
            <w:vAlign w:val="bottom"/>
            <w:vMerge w:val="continue"/>
          </w:tcPr>
          <w:p>
            <w:pPr>
              <w:spacing w:after="0"/>
              <w:rPr>
                <w:sz w:val="13"/>
                <w:szCs w:val="13"/>
                <w:color w:val="auto"/>
              </w:rPr>
            </w:pPr>
          </w:p>
        </w:tc>
        <w:tc>
          <w:tcPr>
            <w:tcW w:w="720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72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center"/>
              <w:ind w:right="275"/>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center"/>
              <w:ind w:right="275"/>
              <w:spacing w:after="0" w:line="157" w:lineRule="exact"/>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15"/>
                <w:szCs w:val="15"/>
                <w:color w:val="auto"/>
              </w:rPr>
            </w:pPr>
          </w:p>
        </w:tc>
        <w:tc>
          <w:tcPr>
            <w:tcW w:w="7200" w:type="dxa"/>
            <w:vAlign w:val="bottom"/>
            <w:tcBorders>
              <w:bottom w:val="single" w:sz="8" w:color="auto"/>
            </w:tcBorders>
            <w:vMerge w:val="continue"/>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72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-4030345</wp:posOffset>
            </wp:positionV>
            <wp:extent cx="7006590" cy="6114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6590" cy="6114415"/>
                    </a:xfrm>
                    <a:prstGeom prst="rect">
                      <a:avLst/>
                    </a:prstGeom>
                    <a:noFill/>
                  </pic:spPr>
                </pic:pic>
              </a:graphicData>
            </a:graphic>
          </wp:anchor>
        </w:drawing>
      </w:r>
    </w:p>
    <w:p>
      <w:pPr>
        <w:spacing w:after="0" w:line="19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480" w:right="4000" w:hanging="319"/>
        <w:spacing w:after="0" w:line="407"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ind w:left="480" w:hanging="319"/>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4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480" w:right="5420" w:hanging="319"/>
        <w:spacing w:after="0" w:line="402"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0.0%</w:t>
      </w:r>
    </w:p>
    <w:p>
      <w:pPr>
        <w:spacing w:after="0" w:line="1" w:lineRule="exact"/>
        <w:rPr>
          <w:rFonts w:ascii="Arial" w:cs="Arial" w:eastAsia="Arial" w:hAnsi="Arial"/>
          <w:sz w:val="18"/>
          <w:szCs w:val="18"/>
          <w:color w:val="auto"/>
        </w:rPr>
      </w:pPr>
    </w:p>
    <w:p>
      <w:pPr>
        <w:ind w:left="480" w:right="6220" w:hanging="319"/>
        <w:spacing w:after="0" w:line="559"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ectPr>
          <w:pgSz w:w="11900" w:h="16838" w:orient="portrait"/>
          <w:cols w:equalWidth="0" w:num="1">
            <w:col w:w="11040"/>
          </w:cols>
          <w:pgMar w:left="440" w:top="270" w:right="4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8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3"/>
              </w:rPr>
              <w:t>CUSIP No. 05455M100</w:t>
            </w:r>
          </w:p>
        </w:tc>
        <w:tc>
          <w:tcPr>
            <w:tcW w:w="7200" w:type="dxa"/>
            <w:vAlign w:val="bottom"/>
          </w:tcPr>
          <w:p>
            <w:pPr>
              <w:ind w:left="3720"/>
              <w:spacing w:after="0"/>
              <w:rPr>
                <w:sz w:val="20"/>
                <w:szCs w:val="20"/>
                <w:color w:val="auto"/>
              </w:rPr>
            </w:pPr>
            <w:r>
              <w:rPr>
                <w:rFonts w:ascii="Arial" w:cs="Arial" w:eastAsia="Arial" w:hAnsi="Arial"/>
                <w:sz w:val="18"/>
                <w:szCs w:val="18"/>
                <w:b w:val="1"/>
                <w:bCs w:val="1"/>
                <w:color w:val="auto"/>
              </w:rPr>
              <w:t>13D</w:t>
            </w:r>
          </w:p>
        </w:tc>
        <w:tc>
          <w:tcPr>
            <w:tcW w:w="1960" w:type="dxa"/>
            <w:vAlign w:val="bottom"/>
          </w:tcPr>
          <w:p>
            <w:pPr>
              <w:ind w:left="540"/>
              <w:spacing w:after="0"/>
              <w:rPr>
                <w:sz w:val="20"/>
                <w:szCs w:val="20"/>
                <w:color w:val="auto"/>
              </w:rPr>
            </w:pPr>
            <w:r>
              <w:rPr>
                <w:rFonts w:ascii="Arial" w:cs="Arial" w:eastAsia="Arial" w:hAnsi="Arial"/>
                <w:sz w:val="18"/>
                <w:szCs w:val="18"/>
                <w:b w:val="1"/>
                <w:bCs w:val="1"/>
                <w:color w:val="auto"/>
                <w:w w:val="85"/>
              </w:rPr>
              <w:t>Page 6 of 16 Pages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60" w:type="dxa"/>
            <w:vAlign w:val="bottom"/>
            <w:tcBorders>
              <w:bottom w:val="single" w:sz="8" w:color="auto"/>
            </w:tcBorders>
            <w:gridSpan w:val="3"/>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1</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NAMES OF REPORTING PERSONS</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86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Blackstone Holdings I/II GP L.L.C.</w:t>
            </w: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tcBorders>
              <w:right w:val="single" w:sz="8" w:color="auto"/>
            </w:tcBorders>
          </w:tcPr>
          <w:p>
            <w:pPr>
              <w:ind w:left="240"/>
              <w:spacing w:after="0" w:line="170" w:lineRule="exact"/>
              <w:rPr>
                <w:sz w:val="20"/>
                <w:szCs w:val="20"/>
                <w:color w:val="auto"/>
              </w:rPr>
            </w:pPr>
            <w:r>
              <w:rPr>
                <w:rFonts w:ascii="Arial" w:cs="Arial" w:eastAsia="Arial" w:hAnsi="Arial"/>
                <w:sz w:val="18"/>
                <w:szCs w:val="18"/>
                <w:color w:val="auto"/>
              </w:rPr>
              <w:t>2</w:t>
            </w:r>
          </w:p>
        </w:tc>
        <w:tc>
          <w:tcPr>
            <w:tcW w:w="8660" w:type="dxa"/>
            <w:vAlign w:val="bottom"/>
            <w:gridSpan w:val="3"/>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4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p>
        </w:tc>
        <w:tc>
          <w:tcPr>
            <w:tcW w:w="7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3</w:t>
            </w: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7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8660" w:type="dxa"/>
            <w:vAlign w:val="bottom"/>
            <w:tcBorders>
              <w:bottom w:val="single" w:sz="8" w:color="auto"/>
            </w:tcBorders>
            <w:gridSpan w:val="3"/>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4</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AF</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5</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6</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Delaware</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72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500" w:type="dxa"/>
            <w:vAlign w:val="bottom"/>
            <w:gridSpan w:val="2"/>
          </w:tcPr>
          <w:p>
            <w:pPr>
              <w:ind w:left="260"/>
              <w:spacing w:after="0"/>
              <w:rPr>
                <w:sz w:val="20"/>
                <w:szCs w:val="20"/>
                <w:color w:val="auto"/>
              </w:rPr>
            </w:pPr>
            <w:r>
              <w:rPr>
                <w:rFonts w:ascii="Arial" w:cs="Arial" w:eastAsia="Arial" w:hAnsi="Arial"/>
                <w:sz w:val="18"/>
                <w:szCs w:val="18"/>
                <w:color w:val="auto"/>
              </w:rPr>
              <w:t>NUMBER OF</w:t>
            </w:r>
          </w:p>
        </w:tc>
        <w:tc>
          <w:tcPr>
            <w:tcW w:w="360" w:type="dxa"/>
            <w:vAlign w:val="bottom"/>
          </w:tcPr>
          <w:p>
            <w:pPr>
              <w:spacing w:after="0"/>
              <w:rPr>
                <w:sz w:val="24"/>
                <w:szCs w:val="24"/>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vMerge w:val="restart"/>
          </w:tcPr>
          <w:p>
            <w:pPr>
              <w:jc w:val="center"/>
              <w:ind w:right="275"/>
              <w:spacing w:after="0"/>
              <w:rPr>
                <w:sz w:val="20"/>
                <w:szCs w:val="20"/>
                <w:color w:val="auto"/>
              </w:rPr>
            </w:pPr>
            <w:r>
              <w:rPr>
                <w:rFonts w:ascii="Arial" w:cs="Arial" w:eastAsia="Arial" w:hAnsi="Arial"/>
                <w:sz w:val="18"/>
                <w:szCs w:val="18"/>
                <w:color w:val="auto"/>
                <w:w w:val="94"/>
              </w:rPr>
              <w:t>SHARES</w:t>
            </w:r>
          </w:p>
        </w:tc>
        <w:tc>
          <w:tcPr>
            <w:tcW w:w="360" w:type="dxa"/>
            <w:vAlign w:val="bottom"/>
            <w:tcBorders>
              <w:bottom w:val="single" w:sz="8" w:color="auto"/>
            </w:tcBorders>
          </w:tcPr>
          <w:p>
            <w:pPr>
              <w:spacing w:after="0"/>
              <w:rPr>
                <w:sz w:val="5"/>
                <w:szCs w:val="5"/>
                <w:color w:val="auto"/>
              </w:rPr>
            </w:pPr>
          </w:p>
        </w:tc>
        <w:tc>
          <w:tcPr>
            <w:tcW w:w="720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18"/>
                <w:szCs w:val="18"/>
                <w:color w:val="auto"/>
              </w:rPr>
              <w:t>BENEFICIALLY</w:t>
            </w:r>
          </w:p>
        </w:tc>
        <w:tc>
          <w:tcPr>
            <w:tcW w:w="360" w:type="dxa"/>
            <w:vAlign w:val="bottom"/>
            <w:vMerge w:val="continue"/>
          </w:tcPr>
          <w:p>
            <w:pPr>
              <w:spacing w:after="0"/>
              <w:rPr>
                <w:sz w:val="8"/>
                <w:szCs w:val="8"/>
                <w:color w:val="auto"/>
              </w:rPr>
            </w:pPr>
          </w:p>
        </w:tc>
        <w:tc>
          <w:tcPr>
            <w:tcW w:w="720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360" w:type="dxa"/>
            <w:vAlign w:val="bottom"/>
          </w:tcPr>
          <w:p>
            <w:pPr>
              <w:spacing w:after="0"/>
              <w:rPr>
                <w:sz w:val="18"/>
                <w:szCs w:val="18"/>
                <w:color w:val="auto"/>
              </w:rPr>
            </w:pP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vMerge w:val="restart"/>
          </w:tcPr>
          <w:p>
            <w:pPr>
              <w:jc w:val="center"/>
              <w:ind w:right="275"/>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7200" w:type="dxa"/>
            <w:vAlign w:val="bottom"/>
            <w:tcBorders>
              <w:bottom w:val="single" w:sz="8" w:color="auto"/>
            </w:tcBorders>
            <w:vMerge w:val="continue"/>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1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500" w:type="dxa"/>
            <w:vAlign w:val="bottom"/>
            <w:gridSpan w:val="2"/>
            <w:vMerge w:val="restart"/>
          </w:tcPr>
          <w:p>
            <w:pPr>
              <w:ind w:left="280"/>
              <w:spacing w:after="0"/>
              <w:rPr>
                <w:sz w:val="20"/>
                <w:szCs w:val="20"/>
                <w:color w:val="auto"/>
              </w:rPr>
            </w:pPr>
            <w:r>
              <w:rPr>
                <w:rFonts w:ascii="Arial" w:cs="Arial" w:eastAsia="Arial" w:hAnsi="Arial"/>
                <w:sz w:val="18"/>
                <w:szCs w:val="18"/>
                <w:color w:val="auto"/>
              </w:rPr>
              <w:t>REPORTING</w:t>
            </w:r>
          </w:p>
        </w:tc>
        <w:tc>
          <w:tcPr>
            <w:tcW w:w="360" w:type="dxa"/>
            <w:vAlign w:val="bottom"/>
            <w:vMerge w:val="continue"/>
          </w:tcPr>
          <w:p>
            <w:pPr>
              <w:spacing w:after="0"/>
              <w:rPr>
                <w:sz w:val="13"/>
                <w:szCs w:val="13"/>
                <w:color w:val="auto"/>
              </w:rPr>
            </w:pPr>
          </w:p>
        </w:tc>
        <w:tc>
          <w:tcPr>
            <w:tcW w:w="720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72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center"/>
              <w:ind w:right="275"/>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center"/>
              <w:ind w:right="275"/>
              <w:spacing w:after="0" w:line="157" w:lineRule="exact"/>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15"/>
                <w:szCs w:val="15"/>
                <w:color w:val="auto"/>
              </w:rPr>
            </w:pPr>
          </w:p>
        </w:tc>
        <w:tc>
          <w:tcPr>
            <w:tcW w:w="7200" w:type="dxa"/>
            <w:vAlign w:val="bottom"/>
            <w:tcBorders>
              <w:bottom w:val="single" w:sz="8" w:color="auto"/>
            </w:tcBorders>
            <w:vMerge w:val="continue"/>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72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-4030345</wp:posOffset>
            </wp:positionV>
            <wp:extent cx="7006590" cy="6114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6590" cy="6114415"/>
                    </a:xfrm>
                    <a:prstGeom prst="rect">
                      <a:avLst/>
                    </a:prstGeom>
                    <a:noFill/>
                  </pic:spPr>
                </pic:pic>
              </a:graphicData>
            </a:graphic>
          </wp:anchor>
        </w:drawing>
      </w:r>
    </w:p>
    <w:p>
      <w:pPr>
        <w:spacing w:after="0" w:line="19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480" w:right="4000" w:hanging="319"/>
        <w:spacing w:after="0" w:line="407"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ind w:left="480" w:hanging="319"/>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4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480" w:right="5420" w:hanging="319"/>
        <w:spacing w:after="0" w:line="402"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0.0%</w:t>
      </w:r>
    </w:p>
    <w:p>
      <w:pPr>
        <w:spacing w:after="0" w:line="1" w:lineRule="exact"/>
        <w:rPr>
          <w:rFonts w:ascii="Arial" w:cs="Arial" w:eastAsia="Arial" w:hAnsi="Arial"/>
          <w:sz w:val="18"/>
          <w:szCs w:val="18"/>
          <w:color w:val="auto"/>
        </w:rPr>
      </w:pPr>
    </w:p>
    <w:p>
      <w:pPr>
        <w:ind w:left="480" w:right="6220" w:hanging="319"/>
        <w:spacing w:after="0" w:line="559"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1040"/>
          </w:cols>
          <w:pgMar w:left="440" w:top="270" w:right="4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8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3"/>
              </w:rPr>
              <w:t>CUSIP No. 05455M100</w:t>
            </w:r>
          </w:p>
        </w:tc>
        <w:tc>
          <w:tcPr>
            <w:tcW w:w="7200" w:type="dxa"/>
            <w:vAlign w:val="bottom"/>
          </w:tcPr>
          <w:p>
            <w:pPr>
              <w:ind w:left="3720"/>
              <w:spacing w:after="0"/>
              <w:rPr>
                <w:sz w:val="20"/>
                <w:szCs w:val="20"/>
                <w:color w:val="auto"/>
              </w:rPr>
            </w:pPr>
            <w:r>
              <w:rPr>
                <w:rFonts w:ascii="Arial" w:cs="Arial" w:eastAsia="Arial" w:hAnsi="Arial"/>
                <w:sz w:val="18"/>
                <w:szCs w:val="18"/>
                <w:b w:val="1"/>
                <w:bCs w:val="1"/>
                <w:color w:val="auto"/>
              </w:rPr>
              <w:t>13D</w:t>
            </w:r>
          </w:p>
        </w:tc>
        <w:tc>
          <w:tcPr>
            <w:tcW w:w="1960" w:type="dxa"/>
            <w:vAlign w:val="bottom"/>
          </w:tcPr>
          <w:p>
            <w:pPr>
              <w:ind w:left="540"/>
              <w:spacing w:after="0"/>
              <w:rPr>
                <w:sz w:val="20"/>
                <w:szCs w:val="20"/>
                <w:color w:val="auto"/>
              </w:rPr>
            </w:pPr>
            <w:r>
              <w:rPr>
                <w:rFonts w:ascii="Arial" w:cs="Arial" w:eastAsia="Arial" w:hAnsi="Arial"/>
                <w:sz w:val="18"/>
                <w:szCs w:val="18"/>
                <w:b w:val="1"/>
                <w:bCs w:val="1"/>
                <w:color w:val="auto"/>
                <w:w w:val="85"/>
              </w:rPr>
              <w:t>Page 7 of 16 Pages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60" w:type="dxa"/>
            <w:vAlign w:val="bottom"/>
            <w:tcBorders>
              <w:bottom w:val="single" w:sz="8" w:color="auto"/>
            </w:tcBorders>
            <w:gridSpan w:val="3"/>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1</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NAMES OF REPORTING PERSONS</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86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The Blackstone Group Inc.</w:t>
            </w: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tcBorders>
              <w:right w:val="single" w:sz="8" w:color="auto"/>
            </w:tcBorders>
          </w:tcPr>
          <w:p>
            <w:pPr>
              <w:ind w:left="240"/>
              <w:spacing w:after="0" w:line="170" w:lineRule="exact"/>
              <w:rPr>
                <w:sz w:val="20"/>
                <w:szCs w:val="20"/>
                <w:color w:val="auto"/>
              </w:rPr>
            </w:pPr>
            <w:r>
              <w:rPr>
                <w:rFonts w:ascii="Arial" w:cs="Arial" w:eastAsia="Arial" w:hAnsi="Arial"/>
                <w:sz w:val="18"/>
                <w:szCs w:val="18"/>
                <w:color w:val="auto"/>
              </w:rPr>
              <w:t>2</w:t>
            </w:r>
          </w:p>
        </w:tc>
        <w:tc>
          <w:tcPr>
            <w:tcW w:w="8660" w:type="dxa"/>
            <w:vAlign w:val="bottom"/>
            <w:gridSpan w:val="3"/>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4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p>
        </w:tc>
        <w:tc>
          <w:tcPr>
            <w:tcW w:w="7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3</w:t>
            </w: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7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8660" w:type="dxa"/>
            <w:vAlign w:val="bottom"/>
            <w:tcBorders>
              <w:bottom w:val="single" w:sz="8" w:color="auto"/>
            </w:tcBorders>
            <w:gridSpan w:val="3"/>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4</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AF</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5</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6</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Delaware</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72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500" w:type="dxa"/>
            <w:vAlign w:val="bottom"/>
            <w:gridSpan w:val="2"/>
          </w:tcPr>
          <w:p>
            <w:pPr>
              <w:ind w:left="260"/>
              <w:spacing w:after="0"/>
              <w:rPr>
                <w:sz w:val="20"/>
                <w:szCs w:val="20"/>
                <w:color w:val="auto"/>
              </w:rPr>
            </w:pPr>
            <w:r>
              <w:rPr>
                <w:rFonts w:ascii="Arial" w:cs="Arial" w:eastAsia="Arial" w:hAnsi="Arial"/>
                <w:sz w:val="18"/>
                <w:szCs w:val="18"/>
                <w:color w:val="auto"/>
              </w:rPr>
              <w:t>NUMBER OF</w:t>
            </w:r>
          </w:p>
        </w:tc>
        <w:tc>
          <w:tcPr>
            <w:tcW w:w="360" w:type="dxa"/>
            <w:vAlign w:val="bottom"/>
          </w:tcPr>
          <w:p>
            <w:pPr>
              <w:spacing w:after="0"/>
              <w:rPr>
                <w:sz w:val="24"/>
                <w:szCs w:val="24"/>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vMerge w:val="restart"/>
          </w:tcPr>
          <w:p>
            <w:pPr>
              <w:jc w:val="center"/>
              <w:ind w:right="275"/>
              <w:spacing w:after="0"/>
              <w:rPr>
                <w:sz w:val="20"/>
                <w:szCs w:val="20"/>
                <w:color w:val="auto"/>
              </w:rPr>
            </w:pPr>
            <w:r>
              <w:rPr>
                <w:rFonts w:ascii="Arial" w:cs="Arial" w:eastAsia="Arial" w:hAnsi="Arial"/>
                <w:sz w:val="18"/>
                <w:szCs w:val="18"/>
                <w:color w:val="auto"/>
                <w:w w:val="94"/>
              </w:rPr>
              <w:t>SHARES</w:t>
            </w:r>
          </w:p>
        </w:tc>
        <w:tc>
          <w:tcPr>
            <w:tcW w:w="360" w:type="dxa"/>
            <w:vAlign w:val="bottom"/>
            <w:tcBorders>
              <w:bottom w:val="single" w:sz="8" w:color="auto"/>
            </w:tcBorders>
          </w:tcPr>
          <w:p>
            <w:pPr>
              <w:spacing w:after="0"/>
              <w:rPr>
                <w:sz w:val="5"/>
                <w:szCs w:val="5"/>
                <w:color w:val="auto"/>
              </w:rPr>
            </w:pPr>
          </w:p>
        </w:tc>
        <w:tc>
          <w:tcPr>
            <w:tcW w:w="720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18"/>
                <w:szCs w:val="18"/>
                <w:color w:val="auto"/>
              </w:rPr>
              <w:t>BENEFICIALLY</w:t>
            </w:r>
          </w:p>
        </w:tc>
        <w:tc>
          <w:tcPr>
            <w:tcW w:w="360" w:type="dxa"/>
            <w:vAlign w:val="bottom"/>
            <w:vMerge w:val="continue"/>
          </w:tcPr>
          <w:p>
            <w:pPr>
              <w:spacing w:after="0"/>
              <w:rPr>
                <w:sz w:val="8"/>
                <w:szCs w:val="8"/>
                <w:color w:val="auto"/>
              </w:rPr>
            </w:pPr>
          </w:p>
        </w:tc>
        <w:tc>
          <w:tcPr>
            <w:tcW w:w="720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360" w:type="dxa"/>
            <w:vAlign w:val="bottom"/>
          </w:tcPr>
          <w:p>
            <w:pPr>
              <w:spacing w:after="0"/>
              <w:rPr>
                <w:sz w:val="18"/>
                <w:szCs w:val="18"/>
                <w:color w:val="auto"/>
              </w:rPr>
            </w:pP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vMerge w:val="restart"/>
          </w:tcPr>
          <w:p>
            <w:pPr>
              <w:jc w:val="center"/>
              <w:ind w:right="275"/>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7200" w:type="dxa"/>
            <w:vAlign w:val="bottom"/>
            <w:tcBorders>
              <w:bottom w:val="single" w:sz="8" w:color="auto"/>
            </w:tcBorders>
            <w:vMerge w:val="continue"/>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1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500" w:type="dxa"/>
            <w:vAlign w:val="bottom"/>
            <w:gridSpan w:val="2"/>
            <w:vMerge w:val="restart"/>
          </w:tcPr>
          <w:p>
            <w:pPr>
              <w:ind w:left="280"/>
              <w:spacing w:after="0"/>
              <w:rPr>
                <w:sz w:val="20"/>
                <w:szCs w:val="20"/>
                <w:color w:val="auto"/>
              </w:rPr>
            </w:pPr>
            <w:r>
              <w:rPr>
                <w:rFonts w:ascii="Arial" w:cs="Arial" w:eastAsia="Arial" w:hAnsi="Arial"/>
                <w:sz w:val="18"/>
                <w:szCs w:val="18"/>
                <w:color w:val="auto"/>
              </w:rPr>
              <w:t>REPORTING</w:t>
            </w:r>
          </w:p>
        </w:tc>
        <w:tc>
          <w:tcPr>
            <w:tcW w:w="360" w:type="dxa"/>
            <w:vAlign w:val="bottom"/>
            <w:vMerge w:val="continue"/>
          </w:tcPr>
          <w:p>
            <w:pPr>
              <w:spacing w:after="0"/>
              <w:rPr>
                <w:sz w:val="13"/>
                <w:szCs w:val="13"/>
                <w:color w:val="auto"/>
              </w:rPr>
            </w:pPr>
          </w:p>
        </w:tc>
        <w:tc>
          <w:tcPr>
            <w:tcW w:w="720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72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center"/>
              <w:ind w:right="275"/>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center"/>
              <w:ind w:right="275"/>
              <w:spacing w:after="0" w:line="157" w:lineRule="exact"/>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15"/>
                <w:szCs w:val="15"/>
                <w:color w:val="auto"/>
              </w:rPr>
            </w:pPr>
          </w:p>
        </w:tc>
        <w:tc>
          <w:tcPr>
            <w:tcW w:w="7200" w:type="dxa"/>
            <w:vAlign w:val="bottom"/>
            <w:tcBorders>
              <w:bottom w:val="single" w:sz="8" w:color="auto"/>
            </w:tcBorders>
            <w:vMerge w:val="continue"/>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72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-4030345</wp:posOffset>
            </wp:positionV>
            <wp:extent cx="7006590" cy="6114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6590" cy="6114415"/>
                    </a:xfrm>
                    <a:prstGeom prst="rect">
                      <a:avLst/>
                    </a:prstGeom>
                    <a:noFill/>
                  </pic:spPr>
                </pic:pic>
              </a:graphicData>
            </a:graphic>
          </wp:anchor>
        </w:drawing>
      </w:r>
    </w:p>
    <w:p>
      <w:pPr>
        <w:spacing w:after="0" w:line="19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480" w:right="4000" w:hanging="319"/>
        <w:spacing w:after="0" w:line="407"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ind w:left="480" w:hanging="319"/>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4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480" w:right="5420" w:hanging="319"/>
        <w:spacing w:after="0" w:line="402"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0.0%</w:t>
      </w:r>
    </w:p>
    <w:p>
      <w:pPr>
        <w:spacing w:after="0" w:line="1" w:lineRule="exact"/>
        <w:rPr>
          <w:rFonts w:ascii="Arial" w:cs="Arial" w:eastAsia="Arial" w:hAnsi="Arial"/>
          <w:sz w:val="18"/>
          <w:szCs w:val="18"/>
          <w:color w:val="auto"/>
        </w:rPr>
      </w:pPr>
    </w:p>
    <w:p>
      <w:pPr>
        <w:ind w:left="480" w:right="6220" w:hanging="319"/>
        <w:spacing w:after="0" w:line="55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ectPr>
          <w:pgSz w:w="11900" w:h="16838" w:orient="portrait"/>
          <w:cols w:equalWidth="0" w:num="1">
            <w:col w:w="11040"/>
          </w:cols>
          <w:pgMar w:left="440" w:top="270" w:right="4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8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3"/>
              </w:rPr>
              <w:t>CUSIP No. 05455M100</w:t>
            </w:r>
          </w:p>
        </w:tc>
        <w:tc>
          <w:tcPr>
            <w:tcW w:w="7200" w:type="dxa"/>
            <w:vAlign w:val="bottom"/>
          </w:tcPr>
          <w:p>
            <w:pPr>
              <w:ind w:left="3720"/>
              <w:spacing w:after="0"/>
              <w:rPr>
                <w:sz w:val="20"/>
                <w:szCs w:val="20"/>
                <w:color w:val="auto"/>
              </w:rPr>
            </w:pPr>
            <w:r>
              <w:rPr>
                <w:rFonts w:ascii="Arial" w:cs="Arial" w:eastAsia="Arial" w:hAnsi="Arial"/>
                <w:sz w:val="18"/>
                <w:szCs w:val="18"/>
                <w:b w:val="1"/>
                <w:bCs w:val="1"/>
                <w:color w:val="auto"/>
              </w:rPr>
              <w:t>13D</w:t>
            </w:r>
          </w:p>
        </w:tc>
        <w:tc>
          <w:tcPr>
            <w:tcW w:w="1960" w:type="dxa"/>
            <w:vAlign w:val="bottom"/>
          </w:tcPr>
          <w:p>
            <w:pPr>
              <w:ind w:left="540"/>
              <w:spacing w:after="0"/>
              <w:rPr>
                <w:sz w:val="20"/>
                <w:szCs w:val="20"/>
                <w:color w:val="auto"/>
              </w:rPr>
            </w:pPr>
            <w:r>
              <w:rPr>
                <w:rFonts w:ascii="Arial" w:cs="Arial" w:eastAsia="Arial" w:hAnsi="Arial"/>
                <w:sz w:val="18"/>
                <w:szCs w:val="18"/>
                <w:b w:val="1"/>
                <w:bCs w:val="1"/>
                <w:color w:val="auto"/>
                <w:w w:val="85"/>
              </w:rPr>
              <w:t>Page 8 of 16 Pages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60" w:type="dxa"/>
            <w:vAlign w:val="bottom"/>
            <w:tcBorders>
              <w:bottom w:val="single" w:sz="8" w:color="auto"/>
            </w:tcBorders>
            <w:gridSpan w:val="3"/>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1</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NAMES OF REPORTING PERSONS</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86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Blackstone Group Management L.L.C.</w:t>
            </w: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tcBorders>
              <w:right w:val="single" w:sz="8" w:color="auto"/>
            </w:tcBorders>
          </w:tcPr>
          <w:p>
            <w:pPr>
              <w:ind w:left="240"/>
              <w:spacing w:after="0" w:line="170" w:lineRule="exact"/>
              <w:rPr>
                <w:sz w:val="20"/>
                <w:szCs w:val="20"/>
                <w:color w:val="auto"/>
              </w:rPr>
            </w:pPr>
            <w:r>
              <w:rPr>
                <w:rFonts w:ascii="Arial" w:cs="Arial" w:eastAsia="Arial" w:hAnsi="Arial"/>
                <w:sz w:val="18"/>
                <w:szCs w:val="18"/>
                <w:color w:val="auto"/>
              </w:rPr>
              <w:t>2</w:t>
            </w:r>
          </w:p>
        </w:tc>
        <w:tc>
          <w:tcPr>
            <w:tcW w:w="8660" w:type="dxa"/>
            <w:vAlign w:val="bottom"/>
            <w:gridSpan w:val="3"/>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4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p>
        </w:tc>
        <w:tc>
          <w:tcPr>
            <w:tcW w:w="7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3</w:t>
            </w: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7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8660" w:type="dxa"/>
            <w:vAlign w:val="bottom"/>
            <w:tcBorders>
              <w:bottom w:val="single" w:sz="8" w:color="auto"/>
            </w:tcBorders>
            <w:gridSpan w:val="3"/>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4</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AF</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5</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6</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Delaware</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72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500" w:type="dxa"/>
            <w:vAlign w:val="bottom"/>
            <w:gridSpan w:val="2"/>
          </w:tcPr>
          <w:p>
            <w:pPr>
              <w:ind w:left="260"/>
              <w:spacing w:after="0"/>
              <w:rPr>
                <w:sz w:val="20"/>
                <w:szCs w:val="20"/>
                <w:color w:val="auto"/>
              </w:rPr>
            </w:pPr>
            <w:r>
              <w:rPr>
                <w:rFonts w:ascii="Arial" w:cs="Arial" w:eastAsia="Arial" w:hAnsi="Arial"/>
                <w:sz w:val="18"/>
                <w:szCs w:val="18"/>
                <w:color w:val="auto"/>
              </w:rPr>
              <w:t>NUMBER OF</w:t>
            </w:r>
          </w:p>
        </w:tc>
        <w:tc>
          <w:tcPr>
            <w:tcW w:w="360" w:type="dxa"/>
            <w:vAlign w:val="bottom"/>
          </w:tcPr>
          <w:p>
            <w:pPr>
              <w:spacing w:after="0"/>
              <w:rPr>
                <w:sz w:val="24"/>
                <w:szCs w:val="24"/>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vMerge w:val="restart"/>
          </w:tcPr>
          <w:p>
            <w:pPr>
              <w:jc w:val="center"/>
              <w:ind w:right="275"/>
              <w:spacing w:after="0"/>
              <w:rPr>
                <w:sz w:val="20"/>
                <w:szCs w:val="20"/>
                <w:color w:val="auto"/>
              </w:rPr>
            </w:pPr>
            <w:r>
              <w:rPr>
                <w:rFonts w:ascii="Arial" w:cs="Arial" w:eastAsia="Arial" w:hAnsi="Arial"/>
                <w:sz w:val="18"/>
                <w:szCs w:val="18"/>
                <w:color w:val="auto"/>
                <w:w w:val="94"/>
              </w:rPr>
              <w:t>SHARES</w:t>
            </w:r>
          </w:p>
        </w:tc>
        <w:tc>
          <w:tcPr>
            <w:tcW w:w="360" w:type="dxa"/>
            <w:vAlign w:val="bottom"/>
            <w:tcBorders>
              <w:bottom w:val="single" w:sz="8" w:color="auto"/>
            </w:tcBorders>
          </w:tcPr>
          <w:p>
            <w:pPr>
              <w:spacing w:after="0"/>
              <w:rPr>
                <w:sz w:val="5"/>
                <w:szCs w:val="5"/>
                <w:color w:val="auto"/>
              </w:rPr>
            </w:pPr>
          </w:p>
        </w:tc>
        <w:tc>
          <w:tcPr>
            <w:tcW w:w="720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18"/>
                <w:szCs w:val="18"/>
                <w:color w:val="auto"/>
              </w:rPr>
              <w:t>BENEFICIALLY</w:t>
            </w:r>
          </w:p>
        </w:tc>
        <w:tc>
          <w:tcPr>
            <w:tcW w:w="360" w:type="dxa"/>
            <w:vAlign w:val="bottom"/>
            <w:vMerge w:val="continue"/>
          </w:tcPr>
          <w:p>
            <w:pPr>
              <w:spacing w:after="0"/>
              <w:rPr>
                <w:sz w:val="8"/>
                <w:szCs w:val="8"/>
                <w:color w:val="auto"/>
              </w:rPr>
            </w:pPr>
          </w:p>
        </w:tc>
        <w:tc>
          <w:tcPr>
            <w:tcW w:w="720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360" w:type="dxa"/>
            <w:vAlign w:val="bottom"/>
          </w:tcPr>
          <w:p>
            <w:pPr>
              <w:spacing w:after="0"/>
              <w:rPr>
                <w:sz w:val="18"/>
                <w:szCs w:val="18"/>
                <w:color w:val="auto"/>
              </w:rPr>
            </w:pP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vMerge w:val="restart"/>
          </w:tcPr>
          <w:p>
            <w:pPr>
              <w:jc w:val="center"/>
              <w:ind w:right="275"/>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7200" w:type="dxa"/>
            <w:vAlign w:val="bottom"/>
            <w:tcBorders>
              <w:bottom w:val="single" w:sz="8" w:color="auto"/>
            </w:tcBorders>
            <w:vMerge w:val="continue"/>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1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500" w:type="dxa"/>
            <w:vAlign w:val="bottom"/>
            <w:gridSpan w:val="2"/>
            <w:vMerge w:val="restart"/>
          </w:tcPr>
          <w:p>
            <w:pPr>
              <w:ind w:left="280"/>
              <w:spacing w:after="0"/>
              <w:rPr>
                <w:sz w:val="20"/>
                <w:szCs w:val="20"/>
                <w:color w:val="auto"/>
              </w:rPr>
            </w:pPr>
            <w:r>
              <w:rPr>
                <w:rFonts w:ascii="Arial" w:cs="Arial" w:eastAsia="Arial" w:hAnsi="Arial"/>
                <w:sz w:val="18"/>
                <w:szCs w:val="18"/>
                <w:color w:val="auto"/>
              </w:rPr>
              <w:t>REPORTING</w:t>
            </w:r>
          </w:p>
        </w:tc>
        <w:tc>
          <w:tcPr>
            <w:tcW w:w="360" w:type="dxa"/>
            <w:vAlign w:val="bottom"/>
            <w:vMerge w:val="continue"/>
          </w:tcPr>
          <w:p>
            <w:pPr>
              <w:spacing w:after="0"/>
              <w:rPr>
                <w:sz w:val="13"/>
                <w:szCs w:val="13"/>
                <w:color w:val="auto"/>
              </w:rPr>
            </w:pPr>
          </w:p>
        </w:tc>
        <w:tc>
          <w:tcPr>
            <w:tcW w:w="720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72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center"/>
              <w:ind w:right="275"/>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center"/>
              <w:ind w:right="275"/>
              <w:spacing w:after="0" w:line="157" w:lineRule="exact"/>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15"/>
                <w:szCs w:val="15"/>
                <w:color w:val="auto"/>
              </w:rPr>
            </w:pPr>
          </w:p>
        </w:tc>
        <w:tc>
          <w:tcPr>
            <w:tcW w:w="7200" w:type="dxa"/>
            <w:vAlign w:val="bottom"/>
            <w:tcBorders>
              <w:bottom w:val="single" w:sz="8" w:color="auto"/>
            </w:tcBorders>
            <w:vMerge w:val="continue"/>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72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-4030345</wp:posOffset>
            </wp:positionV>
            <wp:extent cx="7006590" cy="6114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6590" cy="6114415"/>
                    </a:xfrm>
                    <a:prstGeom prst="rect">
                      <a:avLst/>
                    </a:prstGeom>
                    <a:noFill/>
                  </pic:spPr>
                </pic:pic>
              </a:graphicData>
            </a:graphic>
          </wp:anchor>
        </w:drawing>
      </w:r>
    </w:p>
    <w:p>
      <w:pPr>
        <w:spacing w:after="0" w:line="19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480" w:right="4000" w:hanging="319"/>
        <w:spacing w:after="0" w:line="407"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ind w:left="480" w:hanging="319"/>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4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480" w:right="5420" w:hanging="319"/>
        <w:spacing w:after="0" w:line="402"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0.0%</w:t>
      </w:r>
    </w:p>
    <w:p>
      <w:pPr>
        <w:spacing w:after="0" w:line="1" w:lineRule="exact"/>
        <w:rPr>
          <w:rFonts w:ascii="Arial" w:cs="Arial" w:eastAsia="Arial" w:hAnsi="Arial"/>
          <w:sz w:val="18"/>
          <w:szCs w:val="18"/>
          <w:color w:val="auto"/>
        </w:rPr>
      </w:pPr>
    </w:p>
    <w:p>
      <w:pPr>
        <w:ind w:left="480" w:right="6220" w:hanging="319"/>
        <w:spacing w:after="0" w:line="559"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1040"/>
          </w:cols>
          <w:pgMar w:left="440" w:top="270" w:right="4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18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3"/>
              </w:rPr>
              <w:t>CUSIP No. 05455M100</w:t>
            </w:r>
          </w:p>
        </w:tc>
        <w:tc>
          <w:tcPr>
            <w:tcW w:w="7200" w:type="dxa"/>
            <w:vAlign w:val="bottom"/>
          </w:tcPr>
          <w:p>
            <w:pPr>
              <w:ind w:left="3720"/>
              <w:spacing w:after="0"/>
              <w:rPr>
                <w:sz w:val="20"/>
                <w:szCs w:val="20"/>
                <w:color w:val="auto"/>
              </w:rPr>
            </w:pPr>
            <w:r>
              <w:rPr>
                <w:rFonts w:ascii="Arial" w:cs="Arial" w:eastAsia="Arial" w:hAnsi="Arial"/>
                <w:sz w:val="18"/>
                <w:szCs w:val="18"/>
                <w:b w:val="1"/>
                <w:bCs w:val="1"/>
                <w:color w:val="auto"/>
              </w:rPr>
              <w:t>13D</w:t>
            </w:r>
          </w:p>
        </w:tc>
        <w:tc>
          <w:tcPr>
            <w:tcW w:w="1960" w:type="dxa"/>
            <w:vAlign w:val="bottom"/>
          </w:tcPr>
          <w:p>
            <w:pPr>
              <w:ind w:left="540"/>
              <w:spacing w:after="0"/>
              <w:rPr>
                <w:sz w:val="20"/>
                <w:szCs w:val="20"/>
                <w:color w:val="auto"/>
              </w:rPr>
            </w:pPr>
            <w:r>
              <w:rPr>
                <w:rFonts w:ascii="Arial" w:cs="Arial" w:eastAsia="Arial" w:hAnsi="Arial"/>
                <w:sz w:val="18"/>
                <w:szCs w:val="18"/>
                <w:b w:val="1"/>
                <w:bCs w:val="1"/>
                <w:color w:val="auto"/>
                <w:w w:val="85"/>
              </w:rPr>
              <w:t>Page 9 of 16 Pages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60" w:type="dxa"/>
            <w:vAlign w:val="bottom"/>
            <w:tcBorders>
              <w:bottom w:val="single" w:sz="8" w:color="auto"/>
            </w:tcBorders>
            <w:gridSpan w:val="3"/>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1</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NAMES OF REPORTING PERSONS</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86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Stephen A. Schwarzman</w:t>
            </w: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tcBorders>
              <w:right w:val="single" w:sz="8" w:color="auto"/>
            </w:tcBorders>
          </w:tcPr>
          <w:p>
            <w:pPr>
              <w:ind w:left="240"/>
              <w:spacing w:after="0" w:line="170" w:lineRule="exact"/>
              <w:rPr>
                <w:sz w:val="20"/>
                <w:szCs w:val="20"/>
                <w:color w:val="auto"/>
              </w:rPr>
            </w:pPr>
            <w:r>
              <w:rPr>
                <w:rFonts w:ascii="Arial" w:cs="Arial" w:eastAsia="Arial" w:hAnsi="Arial"/>
                <w:sz w:val="18"/>
                <w:szCs w:val="18"/>
                <w:color w:val="auto"/>
              </w:rPr>
              <w:t>2</w:t>
            </w:r>
          </w:p>
        </w:tc>
        <w:tc>
          <w:tcPr>
            <w:tcW w:w="8660" w:type="dxa"/>
            <w:vAlign w:val="bottom"/>
            <w:gridSpan w:val="3"/>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4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p>
        </w:tc>
        <w:tc>
          <w:tcPr>
            <w:tcW w:w="7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3</w:t>
            </w: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7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8660" w:type="dxa"/>
            <w:vAlign w:val="bottom"/>
            <w:tcBorders>
              <w:bottom w:val="single" w:sz="8" w:color="auto"/>
            </w:tcBorders>
            <w:gridSpan w:val="3"/>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4</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AF</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5</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6</w:t>
            </w:r>
          </w:p>
        </w:tc>
        <w:tc>
          <w:tcPr>
            <w:tcW w:w="866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Delaware</w:t>
            </w:r>
          </w:p>
        </w:tc>
        <w:tc>
          <w:tcPr>
            <w:tcW w:w="3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72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500" w:type="dxa"/>
            <w:vAlign w:val="bottom"/>
            <w:gridSpan w:val="2"/>
          </w:tcPr>
          <w:p>
            <w:pPr>
              <w:ind w:left="260"/>
              <w:spacing w:after="0"/>
              <w:rPr>
                <w:sz w:val="20"/>
                <w:szCs w:val="20"/>
                <w:color w:val="auto"/>
              </w:rPr>
            </w:pPr>
            <w:r>
              <w:rPr>
                <w:rFonts w:ascii="Arial" w:cs="Arial" w:eastAsia="Arial" w:hAnsi="Arial"/>
                <w:sz w:val="18"/>
                <w:szCs w:val="18"/>
                <w:color w:val="auto"/>
              </w:rPr>
              <w:t>NUMBER OF</w:t>
            </w:r>
          </w:p>
        </w:tc>
        <w:tc>
          <w:tcPr>
            <w:tcW w:w="360" w:type="dxa"/>
            <w:vAlign w:val="bottom"/>
          </w:tcPr>
          <w:p>
            <w:pPr>
              <w:spacing w:after="0"/>
              <w:rPr>
                <w:sz w:val="24"/>
                <w:szCs w:val="24"/>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vMerge w:val="restart"/>
          </w:tcPr>
          <w:p>
            <w:pPr>
              <w:jc w:val="center"/>
              <w:ind w:right="275"/>
              <w:spacing w:after="0"/>
              <w:rPr>
                <w:sz w:val="20"/>
                <w:szCs w:val="20"/>
                <w:color w:val="auto"/>
              </w:rPr>
            </w:pPr>
            <w:r>
              <w:rPr>
                <w:rFonts w:ascii="Arial" w:cs="Arial" w:eastAsia="Arial" w:hAnsi="Arial"/>
                <w:sz w:val="18"/>
                <w:szCs w:val="18"/>
                <w:color w:val="auto"/>
                <w:w w:val="94"/>
              </w:rPr>
              <w:t>SHARES</w:t>
            </w:r>
          </w:p>
        </w:tc>
        <w:tc>
          <w:tcPr>
            <w:tcW w:w="360" w:type="dxa"/>
            <w:vAlign w:val="bottom"/>
            <w:tcBorders>
              <w:bottom w:val="single" w:sz="8" w:color="auto"/>
            </w:tcBorders>
          </w:tcPr>
          <w:p>
            <w:pPr>
              <w:spacing w:after="0"/>
              <w:rPr>
                <w:sz w:val="5"/>
                <w:szCs w:val="5"/>
                <w:color w:val="auto"/>
              </w:rPr>
            </w:pPr>
          </w:p>
        </w:tc>
        <w:tc>
          <w:tcPr>
            <w:tcW w:w="720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18"/>
                <w:szCs w:val="18"/>
                <w:color w:val="auto"/>
              </w:rPr>
              <w:t>BENEFICIALLY</w:t>
            </w:r>
          </w:p>
        </w:tc>
        <w:tc>
          <w:tcPr>
            <w:tcW w:w="360" w:type="dxa"/>
            <w:vAlign w:val="bottom"/>
            <w:vMerge w:val="continue"/>
          </w:tcPr>
          <w:p>
            <w:pPr>
              <w:spacing w:after="0"/>
              <w:rPr>
                <w:sz w:val="8"/>
                <w:szCs w:val="8"/>
                <w:color w:val="auto"/>
              </w:rPr>
            </w:pPr>
          </w:p>
        </w:tc>
        <w:tc>
          <w:tcPr>
            <w:tcW w:w="720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360" w:type="dxa"/>
            <w:vAlign w:val="bottom"/>
          </w:tcPr>
          <w:p>
            <w:pPr>
              <w:spacing w:after="0"/>
              <w:rPr>
                <w:sz w:val="18"/>
                <w:szCs w:val="18"/>
                <w:color w:val="auto"/>
              </w:rPr>
            </w:pP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vMerge w:val="restart"/>
          </w:tcPr>
          <w:p>
            <w:pPr>
              <w:jc w:val="center"/>
              <w:ind w:right="275"/>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7200" w:type="dxa"/>
            <w:vAlign w:val="bottom"/>
            <w:tcBorders>
              <w:bottom w:val="single" w:sz="8" w:color="auto"/>
            </w:tcBorders>
            <w:vMerge w:val="continue"/>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1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500" w:type="dxa"/>
            <w:vAlign w:val="bottom"/>
            <w:gridSpan w:val="2"/>
            <w:vMerge w:val="restart"/>
          </w:tcPr>
          <w:p>
            <w:pPr>
              <w:ind w:left="280"/>
              <w:spacing w:after="0"/>
              <w:rPr>
                <w:sz w:val="20"/>
                <w:szCs w:val="20"/>
                <w:color w:val="auto"/>
              </w:rPr>
            </w:pPr>
            <w:r>
              <w:rPr>
                <w:rFonts w:ascii="Arial" w:cs="Arial" w:eastAsia="Arial" w:hAnsi="Arial"/>
                <w:sz w:val="18"/>
                <w:szCs w:val="18"/>
                <w:color w:val="auto"/>
              </w:rPr>
              <w:t>REPORTING</w:t>
            </w:r>
          </w:p>
        </w:tc>
        <w:tc>
          <w:tcPr>
            <w:tcW w:w="360" w:type="dxa"/>
            <w:vAlign w:val="bottom"/>
            <w:vMerge w:val="continue"/>
          </w:tcPr>
          <w:p>
            <w:pPr>
              <w:spacing w:after="0"/>
              <w:rPr>
                <w:sz w:val="13"/>
                <w:szCs w:val="13"/>
                <w:color w:val="auto"/>
              </w:rPr>
            </w:pPr>
          </w:p>
        </w:tc>
        <w:tc>
          <w:tcPr>
            <w:tcW w:w="720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72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center"/>
              <w:ind w:right="275"/>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72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center"/>
              <w:ind w:right="275"/>
              <w:spacing w:after="0" w:line="157" w:lineRule="exact"/>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15"/>
                <w:szCs w:val="15"/>
                <w:color w:val="auto"/>
              </w:rPr>
            </w:pPr>
          </w:p>
        </w:tc>
        <w:tc>
          <w:tcPr>
            <w:tcW w:w="7200" w:type="dxa"/>
            <w:vAlign w:val="bottom"/>
            <w:tcBorders>
              <w:bottom w:val="single" w:sz="8" w:color="auto"/>
            </w:tcBorders>
            <w:vMerge w:val="continue"/>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72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-4030345</wp:posOffset>
            </wp:positionV>
            <wp:extent cx="7006590" cy="6114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6590" cy="6114415"/>
                    </a:xfrm>
                    <a:prstGeom prst="rect">
                      <a:avLst/>
                    </a:prstGeom>
                    <a:noFill/>
                  </pic:spPr>
                </pic:pic>
              </a:graphicData>
            </a:graphic>
          </wp:anchor>
        </w:drawing>
      </w:r>
    </w:p>
    <w:p>
      <w:pPr>
        <w:spacing w:after="0" w:line="19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480" w:right="4000" w:hanging="319"/>
        <w:spacing w:after="0" w:line="407"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ind w:left="480" w:hanging="319"/>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4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480" w:right="5420" w:hanging="319"/>
        <w:spacing w:after="0" w:line="402"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0.0%</w:t>
      </w:r>
    </w:p>
    <w:p>
      <w:pPr>
        <w:spacing w:after="0" w:line="1" w:lineRule="exact"/>
        <w:rPr>
          <w:rFonts w:ascii="Arial" w:cs="Arial" w:eastAsia="Arial" w:hAnsi="Arial"/>
          <w:sz w:val="18"/>
          <w:szCs w:val="18"/>
          <w:color w:val="auto"/>
        </w:rPr>
      </w:pPr>
    </w:p>
    <w:p>
      <w:pPr>
        <w:ind w:left="480" w:right="6220" w:hanging="319"/>
        <w:spacing w:after="0" w:line="559"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ectPr>
          <w:pgSz w:w="11900" w:h="16838" w:orient="portrait"/>
          <w:cols w:equalWidth="0" w:num="1">
            <w:col w:w="11040"/>
          </w:cols>
          <w:pgMar w:left="440" w:top="270"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1. </w:t>
      </w:r>
      <w:r>
        <w:rPr>
          <w:rFonts w:ascii="Arial" w:cs="Arial" w:eastAsia="Arial" w:hAnsi="Arial"/>
          <w:sz w:val="18"/>
          <w:szCs w:val="18"/>
          <w:u w:val="single" w:color="auto"/>
          <w:color w:val="auto"/>
        </w:rPr>
        <w:t>Security and Issuer</w:t>
      </w:r>
      <w:r>
        <w:rPr>
          <w:rFonts w:ascii="Arial" w:cs="Arial" w:eastAsia="Arial" w:hAnsi="Arial"/>
          <w:sz w:val="18"/>
          <w:szCs w:val="18"/>
          <w:color w:val="auto"/>
        </w:rPr>
        <w: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Amendment No. 3 (“Amendment No. 3”) to the statement on Schedule 13D amends and supplements the initial statement on Schedule 13D originally filed by Clarus Lifesciences III, L.P. and certain other reporting persons on July 5, 2018, as amended by Amendment No. 1 thereto filed on January 15, 2019, as amended by Amendment No. 2 thereto filed on May 23, 2019 (as amended, the “Schedule 13D”), relating to the Common Stock, par value $0.0001 per share (the “Common Stock”), of AVROBIO, Inc. (the “Issuer”). The address of the principal executive offices of the Issuer is One Kendall Square, Building 300, Suite 201, Cambridge, MA 02139.</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Amendment reflects, among other things, the conversion of The Blackstone Group L.P., a Delaware limited partnership, into a Delaware corporation named The Blackstone Group Inc., and the conversion of Blackstone Holdings I/II GP Inc., a Delaware corporation, into a Delaware limited liability company named Blackstone Holdings I/II GP L.L.C., each of which became effective on July 1, 2019. Certain terms used but not defined in this Amendment No. 3 have the meanings assigned thereto in the Schedule 13D. Except as specifically provided herein, this Amendment No. 3 does not modify any of the information previously reported in the Schedule 13D.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Identity and Background</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2 of the Schedule 13D is hereby amended and restated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is being filed by:</w:t>
      </w:r>
    </w:p>
    <w:p>
      <w:pPr>
        <w:spacing w:after="0" w:line="225" w:lineRule="exact"/>
        <w:rPr>
          <w:sz w:val="20"/>
          <w:szCs w:val="20"/>
          <w:color w:val="auto"/>
        </w:rPr>
      </w:pPr>
    </w:p>
    <w:p>
      <w:pPr>
        <w:ind w:left="240" w:hanging="236"/>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Clarus Lifesciences III, L.P. (the “Fund”);</w:t>
      </w:r>
    </w:p>
    <w:p>
      <w:pPr>
        <w:spacing w:after="0" w:line="225" w:lineRule="exact"/>
        <w:rPr>
          <w:rFonts w:ascii="Arial" w:cs="Arial" w:eastAsia="Arial" w:hAnsi="Arial"/>
          <w:sz w:val="18"/>
          <w:szCs w:val="18"/>
          <w:color w:val="auto"/>
        </w:rPr>
      </w:pPr>
    </w:p>
    <w:p>
      <w:pPr>
        <w:ind w:left="260" w:hanging="256"/>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Clarus Ventures III GP, L.P. (“Clarus GP”), which is the sole general partner of the Fund;</w:t>
      </w:r>
    </w:p>
    <w:p>
      <w:pPr>
        <w:spacing w:after="0" w:line="225" w:lineRule="exact"/>
        <w:rPr>
          <w:rFonts w:ascii="Arial" w:cs="Arial" w:eastAsia="Arial" w:hAnsi="Arial"/>
          <w:sz w:val="18"/>
          <w:szCs w:val="18"/>
          <w:color w:val="auto"/>
        </w:rPr>
      </w:pPr>
    </w:p>
    <w:p>
      <w:pPr>
        <w:ind w:right="220" w:firstLine="4"/>
        <w:spacing w:after="0" w:line="255" w:lineRule="auto"/>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Blackstone Clarus III L.L.C., which is the sole general partner of Clarus GP, Blackstone Holdings II L.P., which is the sole member of Blackstone Clarus III L.L.C., Blackstone Holdings I/II GP L.L.C., which is the sole general partner of Blackstone Holdings II L.P., The Blackstone Group Inc., which is the sole member of Blackstone Holdings I/II GP L.L.C., and Blackstone Group Management L.L.C. (collectively, with Blackstone Clarus III L.L.C., Blackstone Holdings II L.P., Blackstone Holdings I/II GP L.L.C. and The Blackstone Group Inc., the “Control Entities”), which is the sole holder of the Class C common stock of The Blackstone Group Inc. and which is wholly-owned by Blackstone’s senior managing directors and controlled by its founder, Stephen A. Schwarzman.</w:t>
      </w:r>
    </w:p>
    <w:p>
      <w:pPr>
        <w:spacing w:after="0" w:line="19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address of the principal business office of the Fund and Clarus GP is Clarus Ventures, 101 Main Street, Suite 1210, Cambridge, MA 02142. The address of the principal business office of each of the Control Entities and Mr. Schwarzman is c/o The Blackstone Group Inc., 345 Park Avenue, New York, NY 10154.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regarding each director and executive officer of The Blackstone Group Inc. is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principal business of the Fund is to invest in and assist early-stage and/or growth-oriented businesses in healthcare and life sciences. The principal business of Clarus GP is to act as the sole general partner of the Fund.</w:t>
      </w:r>
    </w:p>
    <w:p>
      <w:pPr>
        <w:spacing w:after="0" w:line="170"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The principal business of Blackstone Clarus III L.L.C. is performing the functions of, and serving as, the general partner of Clarus GP. The principal business of Blackstone Holdings II L.P. is performing the functions of, and serving as, a managing member (or similar position) of and member or equity holder in Blackstone Clarus III L.L.C. and other affiliated Blackstone entities. The principal business of Blackstone Holdings I/II GP L.L.C. is performing the functions of, and serving as, the general partner (or similar position) of Blackstone Holdings II L.P. and other affiliated Blackstone entities. The principal business of The Blackstone Group Inc. is performing the functions of, and serving as, the sole member of Blackstone Holdings I/II GP L.L.C., and in a similar capacity for other affiliated Blackstone entities. The principal business of Blackstone Group Management L.L.C. is performing the functions of, and serving as, the sole holder of the Class C common stock of The Blackstone Group Inc. The principal occupation of Mr. Schwarzman is serving as an executive of The Blackstone Group Inc. and Blackstone Group Management L.L.C.</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During the five years prior to the date hereof, none of the Reporting Persons or, to the best knowledge of the Reporting Persons, any of the other persons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1000"/>
          </w:cols>
          <w:pgMar w:left="440" w:top="274" w:right="459" w:bottom="1440" w:gutter="0" w:footer="0" w:header="0"/>
        </w:sectPr>
      </w:pPr>
    </w:p>
    <w:bookmarkStart w:id="10" w:name="page11"/>
    <w:bookmarkEnd w:id="10"/>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Fund, Clarus GP and Blackstone Holdings II L.P. are limited partnerships organized under the laws of the State of Delaware. Blackstone Clarus III L.L.C., Blackstone Holdings I/II GP L.L.C. and Blackstone Group Management L.L.C. are limited liability companies organized under the laws of the State of Delaware. The Blackstone Group Inc. is a corporation organized under the laws of the State of Delaware. Mr. Schwarzman is a United States citizen.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Interest in Securities of the Issuer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hereby amended and restated as follows:</w:t>
      </w:r>
    </w:p>
    <w:p>
      <w:pPr>
        <w:spacing w:after="0" w:line="131" w:lineRule="exact"/>
        <w:rPr>
          <w:sz w:val="20"/>
          <w:szCs w:val="20"/>
          <w:color w:val="auto"/>
        </w:rPr>
      </w:pPr>
    </w:p>
    <w:p>
      <w:pPr>
        <w:ind w:left="980" w:hanging="54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 of the Reporting Persons beneficially owns any shares of Common Stock.</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Regarding the number of shares as to which such person has: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 See line 7 of cover sheets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See line 8 of cover sheets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line 9 of cover sheets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See line 10 of cover sheets</w:t>
      </w:r>
    </w:p>
    <w:p>
      <w:pPr>
        <w:spacing w:after="0" w:line="130" w:lineRule="exact"/>
        <w:rPr>
          <w:rFonts w:ascii="Arial" w:cs="Arial" w:eastAsia="Arial" w:hAnsi="Arial"/>
          <w:sz w:val="18"/>
          <w:szCs w:val="18"/>
          <w:color w:val="auto"/>
        </w:rPr>
      </w:pPr>
    </w:p>
    <w:p>
      <w:pPr>
        <w:ind w:left="980" w:right="40" w:hanging="544"/>
        <w:spacing w:after="0" w:line="25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July 30, 2019, the Fund distributed 901,162 shares of Common Stock to its limited partners, including Clarus GP (the “</w:t>
      </w:r>
      <w:r>
        <w:rPr>
          <w:rFonts w:ascii="Arial" w:cs="Arial" w:eastAsia="Arial" w:hAnsi="Arial"/>
          <w:sz w:val="18"/>
          <w:szCs w:val="18"/>
          <w:u w:val="single" w:color="auto"/>
          <w:color w:val="auto"/>
        </w:rPr>
        <w:t>Fund</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Distribution</w:t>
      </w:r>
      <w:r>
        <w:rPr>
          <w:rFonts w:ascii="Arial" w:cs="Arial" w:eastAsia="Arial" w:hAnsi="Arial"/>
          <w:sz w:val="18"/>
          <w:szCs w:val="18"/>
          <w:color w:val="auto"/>
        </w:rPr>
        <w:t xml:space="preserve">”). Clarus GP then distributed the 123,505 shares it received in the Fund Distribution to its limited partners. Except as set forth in this Amendment No. 3 or as set forth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attached hereto, none of the Reporting Persons has effected any transaction in the Common Stock during the last 60 days.</w:t>
      </w:r>
    </w:p>
    <w:p>
      <w:pPr>
        <w:spacing w:after="0" w:line="92" w:lineRule="exact"/>
        <w:rPr>
          <w:rFonts w:ascii="Arial" w:cs="Arial" w:eastAsia="Arial" w:hAnsi="Arial"/>
          <w:sz w:val="18"/>
          <w:szCs w:val="18"/>
          <w:color w:val="auto"/>
        </w:rPr>
      </w:pPr>
    </w:p>
    <w:p>
      <w:pPr>
        <w:ind w:left="980" w:hanging="54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of July 19, 2019, the Reporting Persons ceased to be the beneficial owners of more than five percent of the outstanding Common Stock.</w:t>
      </w:r>
    </w:p>
    <w:p>
      <w:pPr>
        <w:sectPr>
          <w:pgSz w:w="11900" w:h="16838" w:orient="portrait"/>
          <w:cols w:equalWidth="0" w:num="1">
            <w:col w:w="11000"/>
          </w:cols>
          <w:pgMar w:left="440" w:top="274" w:right="459" w:bottom="1440" w:gutter="0" w:footer="0" w:header="0"/>
        </w:sectPr>
      </w:pPr>
    </w:p>
    <w:bookmarkStart w:id="11" w:name="page12"/>
    <w:bookmarkEnd w:id="11"/>
    <w:p>
      <w:pPr>
        <w:ind w:left="50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CLARUS LIFESCIENCES III,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40"/>
              <w:spacing w:after="0"/>
              <w:rPr>
                <w:sz w:val="20"/>
                <w:szCs w:val="20"/>
                <w:color w:val="auto"/>
              </w:rPr>
            </w:pPr>
            <w:r>
              <w:rPr>
                <w:rFonts w:ascii="Arial" w:cs="Arial" w:eastAsia="Arial" w:hAnsi="Arial"/>
                <w:sz w:val="18"/>
                <w:szCs w:val="18"/>
                <w:color w:val="auto"/>
              </w:rPr>
              <w:t>Clarus Ventures III GP, L.P., its general partner</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40"/>
              <w:spacing w:after="0"/>
              <w:rPr>
                <w:sz w:val="20"/>
                <w:szCs w:val="20"/>
                <w:color w:val="auto"/>
              </w:rPr>
            </w:pPr>
            <w:r>
              <w:rPr>
                <w:rFonts w:ascii="Arial" w:cs="Arial" w:eastAsia="Arial" w:hAnsi="Arial"/>
                <w:sz w:val="18"/>
                <w:szCs w:val="18"/>
                <w:color w:val="auto"/>
              </w:rPr>
              <w:t>Blackstone Clarus III L.L.C., its general partner</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40"/>
              <w:spacing w:after="0"/>
              <w:rPr>
                <w:sz w:val="20"/>
                <w:szCs w:val="20"/>
                <w:color w:val="auto"/>
              </w:rPr>
            </w:pPr>
            <w:r>
              <w:rPr>
                <w:rFonts w:ascii="Arial" w:cs="Arial" w:eastAsia="Arial" w:hAnsi="Arial"/>
                <w:sz w:val="18"/>
                <w:szCs w:val="18"/>
                <w:color w:val="auto"/>
                <w:w w:val="95"/>
              </w:rPr>
              <w:t>Blackstone Holdings II L.P., its managing member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40"/>
              <w:spacing w:after="0"/>
              <w:rPr>
                <w:sz w:val="20"/>
                <w:szCs w:val="20"/>
                <w:color w:val="auto"/>
              </w:rPr>
            </w:pPr>
            <w:r>
              <w:rPr>
                <w:rFonts w:ascii="Arial" w:cs="Arial" w:eastAsia="Arial" w:hAnsi="Arial"/>
                <w:sz w:val="18"/>
                <w:szCs w:val="18"/>
                <w:color w:val="auto"/>
                <w:w w:val="93"/>
              </w:rPr>
              <w:t>Blackstone Holdings I/II GP Inc.,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G. Finley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220"/>
              <w:spacing w:after="0" w:line="195" w:lineRule="exact"/>
              <w:rPr>
                <w:sz w:val="20"/>
                <w:szCs w:val="20"/>
                <w:color w:val="auto"/>
              </w:rPr>
            </w:pPr>
            <w:r>
              <w:rPr>
                <w:rFonts w:ascii="Arial" w:cs="Arial" w:eastAsia="Arial" w:hAnsi="Arial"/>
                <w:sz w:val="18"/>
                <w:szCs w:val="18"/>
                <w:color w:val="auto"/>
              </w:rPr>
              <w:t>John G. Finley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20"/>
              <w:spacing w:after="0"/>
              <w:rPr>
                <w:sz w:val="20"/>
                <w:szCs w:val="20"/>
                <w:color w:val="auto"/>
              </w:rPr>
            </w:pPr>
            <w:r>
              <w:rPr>
                <w:rFonts w:ascii="Arial" w:cs="Arial" w:eastAsia="Arial" w:hAnsi="Arial"/>
                <w:sz w:val="18"/>
                <w:szCs w:val="18"/>
                <w:color w:val="auto"/>
              </w:rPr>
              <w:t>Chief Legal Officer</w:t>
            </w:r>
          </w:p>
        </w:tc>
      </w:tr>
      <w:tr>
        <w:trPr>
          <w:trHeight w:val="581"/>
        </w:trPr>
        <w:tc>
          <w:tcPr>
            <w:tcW w:w="4420" w:type="dxa"/>
            <w:vAlign w:val="bottom"/>
            <w:gridSpan w:val="2"/>
          </w:tcPr>
          <w:p>
            <w:pPr>
              <w:spacing w:after="0"/>
              <w:rPr>
                <w:sz w:val="20"/>
                <w:szCs w:val="20"/>
                <w:color w:val="auto"/>
              </w:rPr>
            </w:pPr>
            <w:r>
              <w:rPr>
                <w:rFonts w:ascii="Arial" w:cs="Arial" w:eastAsia="Arial" w:hAnsi="Arial"/>
                <w:sz w:val="18"/>
                <w:szCs w:val="18"/>
                <w:color w:val="auto"/>
              </w:rPr>
              <w:t>CLARUS VENTURES III GP, L.P.</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40"/>
              <w:spacing w:after="0"/>
              <w:rPr>
                <w:sz w:val="20"/>
                <w:szCs w:val="20"/>
                <w:color w:val="auto"/>
              </w:rPr>
            </w:pPr>
            <w:r>
              <w:rPr>
                <w:rFonts w:ascii="Arial" w:cs="Arial" w:eastAsia="Arial" w:hAnsi="Arial"/>
                <w:sz w:val="18"/>
                <w:szCs w:val="18"/>
                <w:color w:val="auto"/>
              </w:rPr>
              <w:t>Blackstone Clarus III L.L.C., its general partner</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40"/>
              <w:spacing w:after="0"/>
              <w:rPr>
                <w:sz w:val="20"/>
                <w:szCs w:val="20"/>
                <w:color w:val="auto"/>
              </w:rPr>
            </w:pPr>
            <w:r>
              <w:rPr>
                <w:rFonts w:ascii="Arial" w:cs="Arial" w:eastAsia="Arial" w:hAnsi="Arial"/>
                <w:sz w:val="18"/>
                <w:szCs w:val="18"/>
                <w:color w:val="auto"/>
                <w:w w:val="95"/>
              </w:rPr>
              <w:t>Blackstone Holdings II L.P., its managing member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40"/>
              <w:spacing w:after="0"/>
              <w:rPr>
                <w:sz w:val="20"/>
                <w:szCs w:val="20"/>
                <w:color w:val="auto"/>
              </w:rPr>
            </w:pPr>
            <w:r>
              <w:rPr>
                <w:rFonts w:ascii="Arial" w:cs="Arial" w:eastAsia="Arial" w:hAnsi="Arial"/>
                <w:sz w:val="18"/>
                <w:szCs w:val="18"/>
                <w:color w:val="auto"/>
                <w:w w:val="93"/>
              </w:rPr>
              <w:t>Blackstone Holdings I/II GP Inc.,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G. Finley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220"/>
              <w:spacing w:after="0" w:line="195" w:lineRule="exact"/>
              <w:rPr>
                <w:sz w:val="20"/>
                <w:szCs w:val="20"/>
                <w:color w:val="auto"/>
              </w:rPr>
            </w:pPr>
            <w:r>
              <w:rPr>
                <w:rFonts w:ascii="Arial" w:cs="Arial" w:eastAsia="Arial" w:hAnsi="Arial"/>
                <w:sz w:val="18"/>
                <w:szCs w:val="18"/>
                <w:color w:val="auto"/>
              </w:rPr>
              <w:t>John G. Finley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20"/>
              <w:spacing w:after="0"/>
              <w:rPr>
                <w:sz w:val="20"/>
                <w:szCs w:val="20"/>
                <w:color w:val="auto"/>
              </w:rPr>
            </w:pPr>
            <w:r>
              <w:rPr>
                <w:rFonts w:ascii="Arial" w:cs="Arial" w:eastAsia="Arial" w:hAnsi="Arial"/>
                <w:sz w:val="18"/>
                <w:szCs w:val="18"/>
                <w:color w:val="auto"/>
              </w:rPr>
              <w:t>Chief Legal Officer</w:t>
            </w:r>
          </w:p>
        </w:tc>
      </w:tr>
      <w:tr>
        <w:trPr>
          <w:trHeight w:val="581"/>
        </w:trPr>
        <w:tc>
          <w:tcPr>
            <w:tcW w:w="4420" w:type="dxa"/>
            <w:vAlign w:val="bottom"/>
            <w:gridSpan w:val="2"/>
          </w:tcPr>
          <w:p>
            <w:pPr>
              <w:spacing w:after="0"/>
              <w:rPr>
                <w:sz w:val="20"/>
                <w:szCs w:val="20"/>
                <w:color w:val="auto"/>
              </w:rPr>
            </w:pPr>
            <w:r>
              <w:rPr>
                <w:rFonts w:ascii="Arial" w:cs="Arial" w:eastAsia="Arial" w:hAnsi="Arial"/>
                <w:sz w:val="18"/>
                <w:szCs w:val="18"/>
                <w:color w:val="auto"/>
              </w:rPr>
              <w:t>BLACKSTONE CLARUS III L.L.C.</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40"/>
              <w:spacing w:after="0"/>
              <w:rPr>
                <w:sz w:val="20"/>
                <w:szCs w:val="20"/>
                <w:color w:val="auto"/>
              </w:rPr>
            </w:pPr>
            <w:r>
              <w:rPr>
                <w:rFonts w:ascii="Arial" w:cs="Arial" w:eastAsia="Arial" w:hAnsi="Arial"/>
                <w:sz w:val="18"/>
                <w:szCs w:val="18"/>
                <w:color w:val="auto"/>
                <w:w w:val="95"/>
              </w:rPr>
              <w:t>Blackstone Holdings II L.P., its managing member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40"/>
              <w:spacing w:after="0"/>
              <w:rPr>
                <w:sz w:val="20"/>
                <w:szCs w:val="20"/>
                <w:color w:val="auto"/>
              </w:rPr>
            </w:pPr>
            <w:r>
              <w:rPr>
                <w:rFonts w:ascii="Arial" w:cs="Arial" w:eastAsia="Arial" w:hAnsi="Arial"/>
                <w:sz w:val="18"/>
                <w:szCs w:val="18"/>
                <w:color w:val="auto"/>
                <w:w w:val="93"/>
              </w:rPr>
              <w:t>Blackstone Holdings I/II GP Inc.,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G. Finley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220"/>
              <w:spacing w:after="0" w:line="195" w:lineRule="exact"/>
              <w:rPr>
                <w:sz w:val="20"/>
                <w:szCs w:val="20"/>
                <w:color w:val="auto"/>
              </w:rPr>
            </w:pPr>
            <w:r>
              <w:rPr>
                <w:rFonts w:ascii="Arial" w:cs="Arial" w:eastAsia="Arial" w:hAnsi="Arial"/>
                <w:sz w:val="18"/>
                <w:szCs w:val="18"/>
                <w:color w:val="auto"/>
              </w:rPr>
              <w:t>John G. Finley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20"/>
              <w:spacing w:after="0"/>
              <w:rPr>
                <w:sz w:val="20"/>
                <w:szCs w:val="20"/>
                <w:color w:val="auto"/>
              </w:rPr>
            </w:pPr>
            <w:r>
              <w:rPr>
                <w:rFonts w:ascii="Arial" w:cs="Arial" w:eastAsia="Arial" w:hAnsi="Arial"/>
                <w:sz w:val="18"/>
                <w:szCs w:val="18"/>
                <w:color w:val="auto"/>
              </w:rPr>
              <w:t>Chief Legal Officer</w:t>
            </w:r>
          </w:p>
        </w:tc>
      </w:tr>
    </w:tbl>
    <w:p>
      <w:pPr>
        <w:sectPr>
          <w:pgSz w:w="11900" w:h="16838" w:orient="portrait"/>
          <w:cols w:equalWidth="0" w:num="1">
            <w:col w:w="10460"/>
          </w:cols>
          <w:pgMar w:left="440" w:top="274"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BLACKSTONE HOLDINGS II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40"/>
              <w:spacing w:after="0"/>
              <w:rPr>
                <w:sz w:val="20"/>
                <w:szCs w:val="20"/>
                <w:color w:val="auto"/>
              </w:rPr>
            </w:pPr>
            <w:r>
              <w:rPr>
                <w:rFonts w:ascii="Arial" w:cs="Arial" w:eastAsia="Arial" w:hAnsi="Arial"/>
                <w:sz w:val="18"/>
                <w:szCs w:val="18"/>
                <w:color w:val="auto"/>
                <w:w w:val="93"/>
              </w:rPr>
              <w:t>Blackstone Holdings I/II GP Inc.,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G. Finley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220"/>
              <w:spacing w:after="0" w:line="195" w:lineRule="exact"/>
              <w:rPr>
                <w:sz w:val="20"/>
                <w:szCs w:val="20"/>
                <w:color w:val="auto"/>
              </w:rPr>
            </w:pPr>
            <w:r>
              <w:rPr>
                <w:rFonts w:ascii="Arial" w:cs="Arial" w:eastAsia="Arial" w:hAnsi="Arial"/>
                <w:sz w:val="18"/>
                <w:szCs w:val="18"/>
                <w:color w:val="auto"/>
              </w:rPr>
              <w:t>John G. Finley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20"/>
              <w:spacing w:after="0"/>
              <w:rPr>
                <w:sz w:val="20"/>
                <w:szCs w:val="20"/>
                <w:color w:val="auto"/>
              </w:rPr>
            </w:pPr>
            <w:r>
              <w:rPr>
                <w:rFonts w:ascii="Arial" w:cs="Arial" w:eastAsia="Arial" w:hAnsi="Arial"/>
                <w:sz w:val="18"/>
                <w:szCs w:val="18"/>
                <w:color w:val="auto"/>
              </w:rPr>
              <w:t>Chief Legal Officer</w:t>
            </w:r>
          </w:p>
        </w:tc>
      </w:tr>
      <w:tr>
        <w:trPr>
          <w:trHeight w:val="566"/>
        </w:trPr>
        <w:tc>
          <w:tcPr>
            <w:tcW w:w="4420" w:type="dxa"/>
            <w:vAlign w:val="bottom"/>
            <w:gridSpan w:val="2"/>
          </w:tcPr>
          <w:p>
            <w:pPr>
              <w:spacing w:after="0"/>
              <w:rPr>
                <w:sz w:val="20"/>
                <w:szCs w:val="20"/>
                <w:color w:val="auto"/>
              </w:rPr>
            </w:pPr>
            <w:r>
              <w:rPr>
                <w:rFonts w:ascii="Arial" w:cs="Arial" w:eastAsia="Arial" w:hAnsi="Arial"/>
                <w:sz w:val="18"/>
                <w:szCs w:val="18"/>
                <w:color w:val="auto"/>
              </w:rPr>
              <w:t>BLACKSTONE HOLDINGS I/II GP L.L.C.</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40"/>
              <w:spacing w:after="0"/>
              <w:rPr>
                <w:sz w:val="20"/>
                <w:szCs w:val="20"/>
                <w:color w:val="auto"/>
              </w:rPr>
            </w:pPr>
            <w:r>
              <w:rPr>
                <w:rFonts w:ascii="Arial" w:cs="Arial" w:eastAsia="Arial" w:hAnsi="Arial"/>
                <w:sz w:val="18"/>
                <w:szCs w:val="18"/>
                <w:color w:val="auto"/>
              </w:rPr>
              <w:t>The Blackstone Group Inc., its sole member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G. Finley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220"/>
              <w:spacing w:after="0" w:line="195" w:lineRule="exact"/>
              <w:rPr>
                <w:sz w:val="20"/>
                <w:szCs w:val="20"/>
                <w:color w:val="auto"/>
              </w:rPr>
            </w:pPr>
            <w:r>
              <w:rPr>
                <w:rFonts w:ascii="Arial" w:cs="Arial" w:eastAsia="Arial" w:hAnsi="Arial"/>
                <w:sz w:val="18"/>
                <w:szCs w:val="18"/>
                <w:color w:val="auto"/>
              </w:rPr>
              <w:t>John G. Finley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20"/>
              <w:spacing w:after="0"/>
              <w:rPr>
                <w:sz w:val="20"/>
                <w:szCs w:val="20"/>
                <w:color w:val="auto"/>
              </w:rPr>
            </w:pPr>
            <w:r>
              <w:rPr>
                <w:rFonts w:ascii="Arial" w:cs="Arial" w:eastAsia="Arial" w:hAnsi="Arial"/>
                <w:sz w:val="18"/>
                <w:szCs w:val="18"/>
                <w:color w:val="auto"/>
              </w:rPr>
              <w:t>Chief Legal Officer</w:t>
            </w:r>
          </w:p>
        </w:tc>
      </w:tr>
      <w:tr>
        <w:trPr>
          <w:trHeight w:val="581"/>
        </w:trPr>
        <w:tc>
          <w:tcPr>
            <w:tcW w:w="4420" w:type="dxa"/>
            <w:vAlign w:val="bottom"/>
            <w:gridSpan w:val="2"/>
          </w:tcPr>
          <w:p>
            <w:pPr>
              <w:spacing w:after="0"/>
              <w:rPr>
                <w:sz w:val="20"/>
                <w:szCs w:val="20"/>
                <w:color w:val="auto"/>
              </w:rPr>
            </w:pPr>
            <w:r>
              <w:rPr>
                <w:rFonts w:ascii="Arial" w:cs="Arial" w:eastAsia="Arial" w:hAnsi="Arial"/>
                <w:sz w:val="18"/>
                <w:szCs w:val="18"/>
                <w:color w:val="auto"/>
              </w:rPr>
              <w:t>THE BLACKSTONE GROUP INC.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G. Finley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220"/>
              <w:spacing w:after="0" w:line="195" w:lineRule="exact"/>
              <w:rPr>
                <w:sz w:val="20"/>
                <w:szCs w:val="20"/>
                <w:color w:val="auto"/>
              </w:rPr>
            </w:pPr>
            <w:r>
              <w:rPr>
                <w:rFonts w:ascii="Arial" w:cs="Arial" w:eastAsia="Arial" w:hAnsi="Arial"/>
                <w:sz w:val="18"/>
                <w:szCs w:val="18"/>
                <w:color w:val="auto"/>
              </w:rPr>
              <w:t>John G. Finley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20"/>
              <w:spacing w:after="0"/>
              <w:rPr>
                <w:sz w:val="20"/>
                <w:szCs w:val="20"/>
                <w:color w:val="auto"/>
              </w:rPr>
            </w:pPr>
            <w:r>
              <w:rPr>
                <w:rFonts w:ascii="Arial" w:cs="Arial" w:eastAsia="Arial" w:hAnsi="Arial"/>
                <w:sz w:val="18"/>
                <w:szCs w:val="18"/>
                <w:color w:val="auto"/>
              </w:rPr>
              <w:t>Chief Legal Officer</w:t>
            </w:r>
          </w:p>
        </w:tc>
      </w:tr>
      <w:tr>
        <w:trPr>
          <w:trHeight w:val="581"/>
        </w:trPr>
        <w:tc>
          <w:tcPr>
            <w:tcW w:w="4420" w:type="dxa"/>
            <w:vAlign w:val="bottom"/>
            <w:gridSpan w:val="2"/>
          </w:tcPr>
          <w:p>
            <w:pPr>
              <w:spacing w:after="0"/>
              <w:rPr>
                <w:sz w:val="20"/>
                <w:szCs w:val="20"/>
                <w:color w:val="auto"/>
              </w:rPr>
            </w:pPr>
            <w:r>
              <w:rPr>
                <w:rFonts w:ascii="Arial" w:cs="Arial" w:eastAsia="Arial" w:hAnsi="Arial"/>
                <w:sz w:val="18"/>
                <w:szCs w:val="18"/>
                <w:color w:val="auto"/>
              </w:rPr>
              <w:t>BLACKSTONE GROUP MANAGEMENT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G. Finley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220"/>
              <w:spacing w:after="0" w:line="195" w:lineRule="exact"/>
              <w:rPr>
                <w:sz w:val="20"/>
                <w:szCs w:val="20"/>
                <w:color w:val="auto"/>
              </w:rPr>
            </w:pPr>
            <w:r>
              <w:rPr>
                <w:rFonts w:ascii="Arial" w:cs="Arial" w:eastAsia="Arial" w:hAnsi="Arial"/>
                <w:sz w:val="18"/>
                <w:szCs w:val="18"/>
                <w:color w:val="auto"/>
              </w:rPr>
              <w:t>John G. Finley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20"/>
              <w:spacing w:after="0"/>
              <w:rPr>
                <w:sz w:val="20"/>
                <w:szCs w:val="20"/>
                <w:color w:val="auto"/>
              </w:rPr>
            </w:pPr>
            <w:r>
              <w:rPr>
                <w:rFonts w:ascii="Arial" w:cs="Arial" w:eastAsia="Arial" w:hAnsi="Arial"/>
                <w:sz w:val="18"/>
                <w:szCs w:val="18"/>
                <w:color w:val="auto"/>
              </w:rPr>
              <w:t>Chief Legal Officer</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Stephen A. Schwarzman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A. Schwarzman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right"/>
        <w:ind w:right="3179"/>
        <w:spacing w:after="0"/>
        <w:rPr>
          <w:sz w:val="20"/>
          <w:szCs w:val="20"/>
          <w:color w:val="auto"/>
        </w:rPr>
      </w:pPr>
      <w:r>
        <w:rPr>
          <w:rFonts w:ascii="Arial" w:cs="Arial" w:eastAsia="Arial" w:hAnsi="Arial"/>
          <w:sz w:val="18"/>
          <w:szCs w:val="18"/>
          <w:color w:val="auto"/>
        </w:rPr>
        <w:t>[AVROBIO, Inc. – Schedule 13D/A]</w:t>
      </w:r>
    </w:p>
    <w:p>
      <w:pPr>
        <w:sectPr>
          <w:pgSz w:w="11900" w:h="16838" w:orient="portrait"/>
          <w:cols w:equalWidth="0" w:num="1">
            <w:col w:w="10019"/>
          </w:cols>
          <w:pgMar w:left="440" w:top="274" w:right="1440"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Executive Officers and Directors of The Blackstone Group Inc.</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name and principal occupation of each director and executive officer of The Blackstone Group Inc. are set forth below. The address for each person listed below is c/o The Blackstone Group Inc., 345 Park Avenue, New York, New York 10154. All executive officers and directors listed are United States citizens other than The Honorable Brian Mulroney, who is a citizen of Canada, and Sir John Antony Hood, who is a citizen of New Zealand.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OFFICERS: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20" w:type="dxa"/>
            <w:vAlign w:val="bottom"/>
          </w:tcPr>
          <w:p>
            <w:pPr>
              <w:spacing w:after="0"/>
              <w:rPr>
                <w:sz w:val="14"/>
                <w:szCs w:val="14"/>
                <w:color w:val="auto"/>
              </w:rPr>
            </w:pPr>
          </w:p>
        </w:tc>
        <w:tc>
          <w:tcPr>
            <w:tcW w:w="7280" w:type="dxa"/>
            <w:vAlign w:val="bottom"/>
            <w:gridSpan w:val="2"/>
          </w:tcPr>
          <w:p>
            <w:pPr>
              <w:ind w:left="1980"/>
              <w:spacing w:after="0"/>
              <w:rPr>
                <w:sz w:val="20"/>
                <w:szCs w:val="20"/>
                <w:color w:val="auto"/>
              </w:rPr>
            </w:pPr>
            <w:r>
              <w:rPr>
                <w:rFonts w:ascii="Arial" w:cs="Arial" w:eastAsia="Arial" w:hAnsi="Arial"/>
                <w:sz w:val="14"/>
                <w:szCs w:val="14"/>
                <w:b w:val="1"/>
                <w:bCs w:val="1"/>
                <w:color w:val="auto"/>
              </w:rPr>
              <w:t>Present Principal Occupation or Employment</w:t>
            </w:r>
          </w:p>
        </w:tc>
      </w:tr>
      <w:tr>
        <w:trPr>
          <w:trHeight w:val="27"/>
        </w:trPr>
        <w:tc>
          <w:tcPr>
            <w:tcW w:w="1140" w:type="dxa"/>
            <w:vAlign w:val="bottom"/>
            <w:gridSpan w:val="2"/>
            <w:shd w:val="clear" w:color="auto" w:fill="000000"/>
          </w:tcPr>
          <w:p>
            <w:pPr>
              <w:spacing w:after="0"/>
              <w:rPr>
                <w:sz w:val="2"/>
                <w:szCs w:val="2"/>
                <w:color w:val="auto"/>
              </w:rPr>
            </w:pPr>
          </w:p>
        </w:tc>
        <w:tc>
          <w:tcPr>
            <w:tcW w:w="26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280" w:type="dxa"/>
            <w:vAlign w:val="bottom"/>
            <w:shd w:val="clear" w:color="auto" w:fill="000000"/>
          </w:tcPr>
          <w:p>
            <w:pPr>
              <w:spacing w:after="0"/>
              <w:rPr>
                <w:sz w:val="2"/>
                <w:szCs w:val="2"/>
                <w:color w:val="auto"/>
              </w:rPr>
            </w:pPr>
          </w:p>
        </w:tc>
      </w:tr>
      <w:tr>
        <w:trPr>
          <w:trHeight w:val="296"/>
        </w:trPr>
        <w:tc>
          <w:tcPr>
            <w:tcW w:w="3760" w:type="dxa"/>
            <w:vAlign w:val="bottom"/>
            <w:gridSpan w:val="3"/>
          </w:tcPr>
          <w:p>
            <w:pPr>
              <w:spacing w:after="0"/>
              <w:rPr>
                <w:sz w:val="20"/>
                <w:szCs w:val="20"/>
                <w:color w:val="auto"/>
              </w:rPr>
            </w:pPr>
            <w:r>
              <w:rPr>
                <w:rFonts w:ascii="Arial" w:cs="Arial" w:eastAsia="Arial" w:hAnsi="Arial"/>
                <w:sz w:val="18"/>
                <w:szCs w:val="18"/>
                <w:color w:val="auto"/>
              </w:rPr>
              <w:t>Stephen A. Schwarzman</w:t>
            </w:r>
          </w:p>
        </w:tc>
        <w:tc>
          <w:tcPr>
            <w:tcW w:w="7280" w:type="dxa"/>
            <w:vAlign w:val="bottom"/>
            <w:gridSpan w:val="2"/>
          </w:tcPr>
          <w:p>
            <w:pPr>
              <w:ind w:left="1980"/>
              <w:spacing w:after="0"/>
              <w:rPr>
                <w:sz w:val="20"/>
                <w:szCs w:val="20"/>
                <w:color w:val="auto"/>
              </w:rPr>
            </w:pPr>
            <w:r>
              <w:rPr>
                <w:rFonts w:ascii="Arial" w:cs="Arial" w:eastAsia="Arial" w:hAnsi="Arial"/>
                <w:sz w:val="18"/>
                <w:szCs w:val="18"/>
                <w:color w:val="auto"/>
              </w:rPr>
              <w:t>Founder, Chairman and Chief Executive Officer of The Blackstone</w:t>
            </w:r>
          </w:p>
        </w:tc>
      </w:tr>
      <w:tr>
        <w:trPr>
          <w:trHeight w:val="230"/>
        </w:trPr>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280" w:type="dxa"/>
            <w:vAlign w:val="bottom"/>
            <w:gridSpan w:val="2"/>
          </w:tcPr>
          <w:p>
            <w:pPr>
              <w:ind w:left="1980"/>
              <w:spacing w:after="0"/>
              <w:rPr>
                <w:sz w:val="20"/>
                <w:szCs w:val="20"/>
                <w:color w:val="auto"/>
              </w:rPr>
            </w:pPr>
            <w:r>
              <w:rPr>
                <w:rFonts w:ascii="Arial" w:cs="Arial" w:eastAsia="Arial" w:hAnsi="Arial"/>
                <w:sz w:val="18"/>
                <w:szCs w:val="18"/>
                <w:color w:val="auto"/>
              </w:rPr>
              <w:t>Group Inc.</w:t>
            </w:r>
          </w:p>
        </w:tc>
      </w:tr>
      <w:tr>
        <w:trPr>
          <w:trHeight w:val="324"/>
        </w:trPr>
        <w:tc>
          <w:tcPr>
            <w:tcW w:w="3760" w:type="dxa"/>
            <w:vAlign w:val="bottom"/>
            <w:gridSpan w:val="3"/>
          </w:tcPr>
          <w:p>
            <w:pPr>
              <w:spacing w:after="0"/>
              <w:rPr>
                <w:sz w:val="20"/>
                <w:szCs w:val="20"/>
                <w:color w:val="auto"/>
              </w:rPr>
            </w:pPr>
            <w:r>
              <w:rPr>
                <w:rFonts w:ascii="Arial" w:cs="Arial" w:eastAsia="Arial" w:hAnsi="Arial"/>
                <w:sz w:val="18"/>
                <w:szCs w:val="18"/>
                <w:color w:val="auto"/>
              </w:rPr>
              <w:t>Jonathan D. Gray</w:t>
            </w:r>
          </w:p>
        </w:tc>
        <w:tc>
          <w:tcPr>
            <w:tcW w:w="7280" w:type="dxa"/>
            <w:vAlign w:val="bottom"/>
            <w:gridSpan w:val="2"/>
          </w:tcPr>
          <w:p>
            <w:pPr>
              <w:ind w:left="1980"/>
              <w:spacing w:after="0"/>
              <w:rPr>
                <w:sz w:val="20"/>
                <w:szCs w:val="20"/>
                <w:color w:val="auto"/>
              </w:rPr>
            </w:pPr>
            <w:r>
              <w:rPr>
                <w:rFonts w:ascii="Arial" w:cs="Arial" w:eastAsia="Arial" w:hAnsi="Arial"/>
                <w:sz w:val="18"/>
                <w:szCs w:val="18"/>
                <w:color w:val="auto"/>
              </w:rPr>
              <w:t>President, Chief Operating Officer of The Blackstone Group Inc.</w:t>
            </w:r>
          </w:p>
        </w:tc>
      </w:tr>
      <w:tr>
        <w:trPr>
          <w:trHeight w:val="324"/>
        </w:trPr>
        <w:tc>
          <w:tcPr>
            <w:tcW w:w="3760" w:type="dxa"/>
            <w:vAlign w:val="bottom"/>
            <w:gridSpan w:val="3"/>
          </w:tcPr>
          <w:p>
            <w:pPr>
              <w:spacing w:after="0"/>
              <w:rPr>
                <w:sz w:val="20"/>
                <w:szCs w:val="20"/>
                <w:color w:val="auto"/>
              </w:rPr>
            </w:pPr>
            <w:r>
              <w:rPr>
                <w:rFonts w:ascii="Arial" w:cs="Arial" w:eastAsia="Arial" w:hAnsi="Arial"/>
                <w:sz w:val="18"/>
                <w:szCs w:val="18"/>
                <w:color w:val="auto"/>
              </w:rPr>
              <w:t>Hamilton E. James</w:t>
            </w:r>
          </w:p>
        </w:tc>
        <w:tc>
          <w:tcPr>
            <w:tcW w:w="7280" w:type="dxa"/>
            <w:vAlign w:val="bottom"/>
            <w:gridSpan w:val="2"/>
          </w:tcPr>
          <w:p>
            <w:pPr>
              <w:ind w:left="1980"/>
              <w:spacing w:after="0"/>
              <w:rPr>
                <w:sz w:val="20"/>
                <w:szCs w:val="20"/>
                <w:color w:val="auto"/>
              </w:rPr>
            </w:pPr>
            <w:r>
              <w:rPr>
                <w:rFonts w:ascii="Arial" w:cs="Arial" w:eastAsia="Arial" w:hAnsi="Arial"/>
                <w:sz w:val="18"/>
                <w:szCs w:val="18"/>
                <w:color w:val="auto"/>
              </w:rPr>
              <w:t>Executive Vice Chairman of The Blackstone Group Inc.</w:t>
            </w:r>
          </w:p>
        </w:tc>
      </w:tr>
      <w:tr>
        <w:trPr>
          <w:trHeight w:val="324"/>
        </w:trPr>
        <w:tc>
          <w:tcPr>
            <w:tcW w:w="3760" w:type="dxa"/>
            <w:vAlign w:val="bottom"/>
            <w:gridSpan w:val="3"/>
          </w:tcPr>
          <w:p>
            <w:pPr>
              <w:spacing w:after="0"/>
              <w:rPr>
                <w:sz w:val="20"/>
                <w:szCs w:val="20"/>
                <w:color w:val="auto"/>
              </w:rPr>
            </w:pPr>
            <w:r>
              <w:rPr>
                <w:rFonts w:ascii="Arial" w:cs="Arial" w:eastAsia="Arial" w:hAnsi="Arial"/>
                <w:sz w:val="18"/>
                <w:szCs w:val="18"/>
                <w:color w:val="auto"/>
              </w:rPr>
              <w:t>Bennett J. Goodman</w:t>
            </w:r>
          </w:p>
        </w:tc>
        <w:tc>
          <w:tcPr>
            <w:tcW w:w="7280" w:type="dxa"/>
            <w:vAlign w:val="bottom"/>
            <w:gridSpan w:val="2"/>
          </w:tcPr>
          <w:p>
            <w:pPr>
              <w:ind w:left="1980"/>
              <w:spacing w:after="0"/>
              <w:rPr>
                <w:sz w:val="20"/>
                <w:szCs w:val="20"/>
                <w:color w:val="auto"/>
              </w:rPr>
            </w:pPr>
            <w:r>
              <w:rPr>
                <w:rFonts w:ascii="Arial" w:cs="Arial" w:eastAsia="Arial" w:hAnsi="Arial"/>
                <w:sz w:val="18"/>
                <w:szCs w:val="18"/>
                <w:color w:val="auto"/>
                <w:w w:val="97"/>
              </w:rPr>
              <w:t>Senior Managing Director and Co-Founder of GSO Capital Partners</w:t>
            </w:r>
          </w:p>
        </w:tc>
      </w:tr>
      <w:tr>
        <w:trPr>
          <w:trHeight w:val="324"/>
        </w:trPr>
        <w:tc>
          <w:tcPr>
            <w:tcW w:w="3760" w:type="dxa"/>
            <w:vAlign w:val="bottom"/>
            <w:gridSpan w:val="3"/>
          </w:tcPr>
          <w:p>
            <w:pPr>
              <w:spacing w:after="0"/>
              <w:rPr>
                <w:sz w:val="20"/>
                <w:szCs w:val="20"/>
                <w:color w:val="auto"/>
              </w:rPr>
            </w:pPr>
            <w:r>
              <w:rPr>
                <w:rFonts w:ascii="Arial" w:cs="Arial" w:eastAsia="Arial" w:hAnsi="Arial"/>
                <w:sz w:val="18"/>
                <w:szCs w:val="18"/>
                <w:color w:val="auto"/>
              </w:rPr>
              <w:t>Michael S. Chae</w:t>
            </w:r>
          </w:p>
        </w:tc>
        <w:tc>
          <w:tcPr>
            <w:tcW w:w="7280" w:type="dxa"/>
            <w:vAlign w:val="bottom"/>
            <w:gridSpan w:val="2"/>
          </w:tcPr>
          <w:p>
            <w:pPr>
              <w:ind w:left="1980"/>
              <w:spacing w:after="0"/>
              <w:rPr>
                <w:sz w:val="20"/>
                <w:szCs w:val="20"/>
                <w:color w:val="auto"/>
              </w:rPr>
            </w:pPr>
            <w:r>
              <w:rPr>
                <w:rFonts w:ascii="Arial" w:cs="Arial" w:eastAsia="Arial" w:hAnsi="Arial"/>
                <w:sz w:val="18"/>
                <w:szCs w:val="18"/>
                <w:color w:val="auto"/>
              </w:rPr>
              <w:t>Chief Financial Officer of The Blackstone Group Inc.</w:t>
            </w:r>
          </w:p>
        </w:tc>
      </w:tr>
      <w:tr>
        <w:trPr>
          <w:trHeight w:val="324"/>
        </w:trPr>
        <w:tc>
          <w:tcPr>
            <w:tcW w:w="3760" w:type="dxa"/>
            <w:vAlign w:val="bottom"/>
            <w:gridSpan w:val="3"/>
          </w:tcPr>
          <w:p>
            <w:pPr>
              <w:spacing w:after="0"/>
              <w:rPr>
                <w:sz w:val="20"/>
                <w:szCs w:val="20"/>
                <w:color w:val="auto"/>
              </w:rPr>
            </w:pPr>
            <w:r>
              <w:rPr>
                <w:rFonts w:ascii="Arial" w:cs="Arial" w:eastAsia="Arial" w:hAnsi="Arial"/>
                <w:sz w:val="18"/>
                <w:szCs w:val="18"/>
                <w:color w:val="auto"/>
              </w:rPr>
              <w:t>John G. Finley</w:t>
            </w:r>
          </w:p>
        </w:tc>
        <w:tc>
          <w:tcPr>
            <w:tcW w:w="7280" w:type="dxa"/>
            <w:vAlign w:val="bottom"/>
            <w:gridSpan w:val="2"/>
          </w:tcPr>
          <w:p>
            <w:pPr>
              <w:ind w:left="1980"/>
              <w:spacing w:after="0"/>
              <w:rPr>
                <w:sz w:val="20"/>
                <w:szCs w:val="20"/>
                <w:color w:val="auto"/>
              </w:rPr>
            </w:pPr>
            <w:r>
              <w:rPr>
                <w:rFonts w:ascii="Arial" w:cs="Arial" w:eastAsia="Arial" w:hAnsi="Arial"/>
                <w:sz w:val="18"/>
                <w:szCs w:val="18"/>
                <w:color w:val="auto"/>
              </w:rPr>
              <w:t>Chief Legal Officer of The Blackstone Group Inc.</w:t>
            </w:r>
          </w:p>
        </w:tc>
      </w:tr>
      <w:tr>
        <w:trPr>
          <w:trHeight w:val="310"/>
        </w:trPr>
        <w:tc>
          <w:tcPr>
            <w:tcW w:w="3760" w:type="dxa"/>
            <w:vAlign w:val="bottom"/>
            <w:gridSpan w:val="3"/>
          </w:tcPr>
          <w:p>
            <w:pPr>
              <w:spacing w:after="0"/>
              <w:rPr>
                <w:sz w:val="20"/>
                <w:szCs w:val="20"/>
                <w:color w:val="auto"/>
              </w:rPr>
            </w:pPr>
            <w:r>
              <w:rPr>
                <w:rFonts w:ascii="Arial" w:cs="Arial" w:eastAsia="Arial" w:hAnsi="Arial"/>
                <w:sz w:val="18"/>
                <w:szCs w:val="18"/>
                <w:color w:val="auto"/>
              </w:rPr>
              <w:t>Joan Solotar</w:t>
            </w:r>
          </w:p>
        </w:tc>
        <w:tc>
          <w:tcPr>
            <w:tcW w:w="7280" w:type="dxa"/>
            <w:vAlign w:val="bottom"/>
            <w:gridSpan w:val="2"/>
          </w:tcPr>
          <w:p>
            <w:pPr>
              <w:ind w:left="1980"/>
              <w:spacing w:after="0"/>
              <w:rPr>
                <w:sz w:val="20"/>
                <w:szCs w:val="20"/>
                <w:color w:val="auto"/>
              </w:rPr>
            </w:pPr>
            <w:r>
              <w:rPr>
                <w:rFonts w:ascii="Arial" w:cs="Arial" w:eastAsia="Arial" w:hAnsi="Arial"/>
                <w:sz w:val="18"/>
                <w:szCs w:val="18"/>
                <w:color w:val="auto"/>
                <w:w w:val="99"/>
              </w:rPr>
              <w:t>Senior Managing Director — Head of Private Wealth Solutions and</w:t>
            </w:r>
          </w:p>
        </w:tc>
      </w:tr>
      <w:tr>
        <w:trPr>
          <w:trHeight w:val="230"/>
        </w:trPr>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280" w:type="dxa"/>
            <w:vAlign w:val="bottom"/>
            <w:gridSpan w:val="2"/>
          </w:tcPr>
          <w:p>
            <w:pPr>
              <w:ind w:left="1980"/>
              <w:spacing w:after="0"/>
              <w:rPr>
                <w:sz w:val="20"/>
                <w:szCs w:val="20"/>
                <w:color w:val="auto"/>
              </w:rPr>
            </w:pPr>
            <w:r>
              <w:rPr>
                <w:rFonts w:ascii="Arial" w:cs="Arial" w:eastAsia="Arial" w:hAnsi="Arial"/>
                <w:sz w:val="18"/>
                <w:szCs w:val="18"/>
                <w:color w:val="auto"/>
              </w:rPr>
              <w:t>External Relations of The Blackstone Group Inc.</w:t>
            </w:r>
          </w:p>
        </w:tc>
      </w:tr>
      <w:tr>
        <w:trPr>
          <w:trHeight w:val="500"/>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DIRECTORS:</w:t>
            </w:r>
          </w:p>
        </w:tc>
        <w:tc>
          <w:tcPr>
            <w:tcW w:w="2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412"/>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20" w:type="dxa"/>
            <w:vAlign w:val="bottom"/>
          </w:tcPr>
          <w:p>
            <w:pPr>
              <w:spacing w:after="0"/>
              <w:rPr>
                <w:sz w:val="24"/>
                <w:szCs w:val="24"/>
                <w:color w:val="auto"/>
              </w:rPr>
            </w:pPr>
          </w:p>
        </w:tc>
        <w:tc>
          <w:tcPr>
            <w:tcW w:w="7280" w:type="dxa"/>
            <w:vAlign w:val="bottom"/>
            <w:gridSpan w:val="2"/>
          </w:tcPr>
          <w:p>
            <w:pPr>
              <w:ind w:left="1980"/>
              <w:spacing w:after="0"/>
              <w:rPr>
                <w:sz w:val="20"/>
                <w:szCs w:val="20"/>
                <w:color w:val="auto"/>
              </w:rPr>
            </w:pPr>
            <w:r>
              <w:rPr>
                <w:rFonts w:ascii="Arial" w:cs="Arial" w:eastAsia="Arial" w:hAnsi="Arial"/>
                <w:sz w:val="14"/>
                <w:szCs w:val="14"/>
                <w:b w:val="1"/>
                <w:bCs w:val="1"/>
                <w:color w:val="auto"/>
              </w:rPr>
              <w:t>Present Principal Occupation or Employment</w:t>
            </w:r>
          </w:p>
        </w:tc>
      </w:tr>
      <w:tr>
        <w:trPr>
          <w:trHeight w:val="27"/>
        </w:trPr>
        <w:tc>
          <w:tcPr>
            <w:tcW w:w="1140" w:type="dxa"/>
            <w:vAlign w:val="bottom"/>
            <w:gridSpan w:val="2"/>
            <w:shd w:val="clear" w:color="auto" w:fill="000000"/>
          </w:tcPr>
          <w:p>
            <w:pPr>
              <w:spacing w:after="0"/>
              <w:rPr>
                <w:sz w:val="2"/>
                <w:szCs w:val="2"/>
                <w:color w:val="auto"/>
              </w:rPr>
            </w:pPr>
          </w:p>
        </w:tc>
        <w:tc>
          <w:tcPr>
            <w:tcW w:w="26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280" w:type="dxa"/>
            <w:vAlign w:val="bottom"/>
            <w:shd w:val="clear" w:color="auto" w:fill="000000"/>
          </w:tcPr>
          <w:p>
            <w:pPr>
              <w:spacing w:after="0"/>
              <w:rPr>
                <w:sz w:val="2"/>
                <w:szCs w:val="2"/>
                <w:color w:val="auto"/>
              </w:rPr>
            </w:pPr>
          </w:p>
        </w:tc>
      </w:tr>
      <w:tr>
        <w:trPr>
          <w:trHeight w:val="296"/>
        </w:trPr>
        <w:tc>
          <w:tcPr>
            <w:tcW w:w="3760" w:type="dxa"/>
            <w:vAlign w:val="bottom"/>
            <w:gridSpan w:val="3"/>
          </w:tcPr>
          <w:p>
            <w:pPr>
              <w:spacing w:after="0"/>
              <w:rPr>
                <w:sz w:val="20"/>
                <w:szCs w:val="20"/>
                <w:color w:val="auto"/>
              </w:rPr>
            </w:pPr>
            <w:r>
              <w:rPr>
                <w:rFonts w:ascii="Arial" w:cs="Arial" w:eastAsia="Arial" w:hAnsi="Arial"/>
                <w:sz w:val="18"/>
                <w:szCs w:val="18"/>
                <w:color w:val="auto"/>
              </w:rPr>
              <w:t>Stephen A. Schwarzman</w:t>
            </w:r>
          </w:p>
        </w:tc>
        <w:tc>
          <w:tcPr>
            <w:tcW w:w="7280" w:type="dxa"/>
            <w:vAlign w:val="bottom"/>
            <w:gridSpan w:val="2"/>
          </w:tcPr>
          <w:p>
            <w:pPr>
              <w:ind w:left="1980"/>
              <w:spacing w:after="0"/>
              <w:rPr>
                <w:sz w:val="20"/>
                <w:szCs w:val="20"/>
                <w:color w:val="auto"/>
              </w:rPr>
            </w:pPr>
            <w:r>
              <w:rPr>
                <w:rFonts w:ascii="Arial" w:cs="Arial" w:eastAsia="Arial" w:hAnsi="Arial"/>
                <w:sz w:val="18"/>
                <w:szCs w:val="18"/>
                <w:color w:val="auto"/>
              </w:rPr>
              <w:t>Founder, Chairman and Chief Executive Officer of The Blackstone</w:t>
            </w:r>
          </w:p>
        </w:tc>
      </w:tr>
      <w:tr>
        <w:trPr>
          <w:trHeight w:val="230"/>
        </w:trPr>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280" w:type="dxa"/>
            <w:vAlign w:val="bottom"/>
            <w:gridSpan w:val="2"/>
          </w:tcPr>
          <w:p>
            <w:pPr>
              <w:ind w:left="1980"/>
              <w:spacing w:after="0"/>
              <w:rPr>
                <w:sz w:val="20"/>
                <w:szCs w:val="20"/>
                <w:color w:val="auto"/>
              </w:rPr>
            </w:pPr>
            <w:r>
              <w:rPr>
                <w:rFonts w:ascii="Arial" w:cs="Arial" w:eastAsia="Arial" w:hAnsi="Arial"/>
                <w:sz w:val="18"/>
                <w:szCs w:val="18"/>
                <w:color w:val="auto"/>
              </w:rPr>
              <w:t>Group Inc.</w:t>
            </w:r>
          </w:p>
        </w:tc>
      </w:tr>
      <w:tr>
        <w:trPr>
          <w:trHeight w:val="324"/>
        </w:trPr>
        <w:tc>
          <w:tcPr>
            <w:tcW w:w="3760" w:type="dxa"/>
            <w:vAlign w:val="bottom"/>
            <w:gridSpan w:val="3"/>
          </w:tcPr>
          <w:p>
            <w:pPr>
              <w:spacing w:after="0"/>
              <w:rPr>
                <w:sz w:val="20"/>
                <w:szCs w:val="20"/>
                <w:color w:val="auto"/>
              </w:rPr>
            </w:pPr>
            <w:r>
              <w:rPr>
                <w:rFonts w:ascii="Arial" w:cs="Arial" w:eastAsia="Arial" w:hAnsi="Arial"/>
                <w:sz w:val="18"/>
                <w:szCs w:val="18"/>
                <w:color w:val="auto"/>
              </w:rPr>
              <w:t>Jonathan D. Gray</w:t>
            </w:r>
          </w:p>
        </w:tc>
        <w:tc>
          <w:tcPr>
            <w:tcW w:w="7280" w:type="dxa"/>
            <w:vAlign w:val="bottom"/>
            <w:gridSpan w:val="2"/>
          </w:tcPr>
          <w:p>
            <w:pPr>
              <w:ind w:left="1980"/>
              <w:spacing w:after="0"/>
              <w:rPr>
                <w:sz w:val="20"/>
                <w:szCs w:val="20"/>
                <w:color w:val="auto"/>
              </w:rPr>
            </w:pPr>
            <w:r>
              <w:rPr>
                <w:rFonts w:ascii="Arial" w:cs="Arial" w:eastAsia="Arial" w:hAnsi="Arial"/>
                <w:sz w:val="18"/>
                <w:szCs w:val="18"/>
                <w:color w:val="auto"/>
              </w:rPr>
              <w:t>President, Chief Operating Officer of The Blackstone Group Inc.</w:t>
            </w:r>
          </w:p>
        </w:tc>
      </w:tr>
      <w:tr>
        <w:trPr>
          <w:trHeight w:val="324"/>
        </w:trPr>
        <w:tc>
          <w:tcPr>
            <w:tcW w:w="3760" w:type="dxa"/>
            <w:vAlign w:val="bottom"/>
            <w:gridSpan w:val="3"/>
          </w:tcPr>
          <w:p>
            <w:pPr>
              <w:spacing w:after="0"/>
              <w:rPr>
                <w:sz w:val="20"/>
                <w:szCs w:val="20"/>
                <w:color w:val="auto"/>
              </w:rPr>
            </w:pPr>
            <w:r>
              <w:rPr>
                <w:rFonts w:ascii="Arial" w:cs="Arial" w:eastAsia="Arial" w:hAnsi="Arial"/>
                <w:sz w:val="18"/>
                <w:szCs w:val="18"/>
                <w:color w:val="auto"/>
              </w:rPr>
              <w:t>Hamilton E. James</w:t>
            </w:r>
          </w:p>
        </w:tc>
        <w:tc>
          <w:tcPr>
            <w:tcW w:w="7280" w:type="dxa"/>
            <w:vAlign w:val="bottom"/>
            <w:gridSpan w:val="2"/>
          </w:tcPr>
          <w:p>
            <w:pPr>
              <w:ind w:left="1980"/>
              <w:spacing w:after="0"/>
              <w:rPr>
                <w:sz w:val="20"/>
                <w:szCs w:val="20"/>
                <w:color w:val="auto"/>
              </w:rPr>
            </w:pPr>
            <w:r>
              <w:rPr>
                <w:rFonts w:ascii="Arial" w:cs="Arial" w:eastAsia="Arial" w:hAnsi="Arial"/>
                <w:sz w:val="18"/>
                <w:szCs w:val="18"/>
                <w:color w:val="auto"/>
              </w:rPr>
              <w:t>Executive Vice Chairman of The Blackstone Group Inc.</w:t>
            </w:r>
          </w:p>
        </w:tc>
      </w:tr>
      <w:tr>
        <w:trPr>
          <w:trHeight w:val="310"/>
        </w:trPr>
        <w:tc>
          <w:tcPr>
            <w:tcW w:w="3760" w:type="dxa"/>
            <w:vAlign w:val="bottom"/>
            <w:gridSpan w:val="3"/>
          </w:tcPr>
          <w:p>
            <w:pPr>
              <w:spacing w:after="0"/>
              <w:rPr>
                <w:sz w:val="20"/>
                <w:szCs w:val="20"/>
                <w:color w:val="auto"/>
              </w:rPr>
            </w:pPr>
            <w:r>
              <w:rPr>
                <w:rFonts w:ascii="Arial" w:cs="Arial" w:eastAsia="Arial" w:hAnsi="Arial"/>
                <w:sz w:val="18"/>
                <w:szCs w:val="18"/>
                <w:color w:val="auto"/>
              </w:rPr>
              <w:t>Bennett J. Goodman</w:t>
            </w:r>
          </w:p>
        </w:tc>
        <w:tc>
          <w:tcPr>
            <w:tcW w:w="7280" w:type="dxa"/>
            <w:vAlign w:val="bottom"/>
            <w:gridSpan w:val="2"/>
          </w:tcPr>
          <w:p>
            <w:pPr>
              <w:ind w:left="1980"/>
              <w:spacing w:after="0"/>
              <w:rPr>
                <w:sz w:val="20"/>
                <w:szCs w:val="20"/>
                <w:color w:val="auto"/>
              </w:rPr>
            </w:pPr>
            <w:r>
              <w:rPr>
                <w:rFonts w:ascii="Arial" w:cs="Arial" w:eastAsia="Arial" w:hAnsi="Arial"/>
                <w:sz w:val="18"/>
                <w:szCs w:val="18"/>
                <w:color w:val="auto"/>
                <w:w w:val="94"/>
              </w:rPr>
              <w:t>Senior Managing Director and Co-Founder of GSO Capital Partners of</w:t>
            </w:r>
          </w:p>
        </w:tc>
      </w:tr>
      <w:tr>
        <w:trPr>
          <w:trHeight w:val="230"/>
        </w:trPr>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280" w:type="dxa"/>
            <w:vAlign w:val="bottom"/>
            <w:gridSpan w:val="2"/>
          </w:tcPr>
          <w:p>
            <w:pPr>
              <w:ind w:left="1980"/>
              <w:spacing w:after="0"/>
              <w:rPr>
                <w:sz w:val="20"/>
                <w:szCs w:val="20"/>
                <w:color w:val="auto"/>
              </w:rPr>
            </w:pPr>
            <w:r>
              <w:rPr>
                <w:rFonts w:ascii="Arial" w:cs="Arial" w:eastAsia="Arial" w:hAnsi="Arial"/>
                <w:sz w:val="18"/>
                <w:szCs w:val="18"/>
                <w:color w:val="auto"/>
              </w:rPr>
              <w:t>The Blackstone Group Inc.</w:t>
            </w:r>
          </w:p>
        </w:tc>
      </w:tr>
      <w:tr>
        <w:trPr>
          <w:trHeight w:val="324"/>
        </w:trPr>
        <w:tc>
          <w:tcPr>
            <w:tcW w:w="3760" w:type="dxa"/>
            <w:vAlign w:val="bottom"/>
            <w:gridSpan w:val="3"/>
          </w:tcPr>
          <w:p>
            <w:pPr>
              <w:spacing w:after="0"/>
              <w:rPr>
                <w:sz w:val="20"/>
                <w:szCs w:val="20"/>
                <w:color w:val="auto"/>
              </w:rPr>
            </w:pPr>
            <w:r>
              <w:rPr>
                <w:rFonts w:ascii="Arial" w:cs="Arial" w:eastAsia="Arial" w:hAnsi="Arial"/>
                <w:sz w:val="18"/>
                <w:szCs w:val="18"/>
                <w:color w:val="auto"/>
              </w:rPr>
              <w:t>Kelly A. Ayotte</w:t>
            </w:r>
          </w:p>
        </w:tc>
        <w:tc>
          <w:tcPr>
            <w:tcW w:w="7280" w:type="dxa"/>
            <w:vAlign w:val="bottom"/>
            <w:gridSpan w:val="2"/>
          </w:tcPr>
          <w:p>
            <w:pPr>
              <w:ind w:left="1980"/>
              <w:spacing w:after="0"/>
              <w:rPr>
                <w:sz w:val="20"/>
                <w:szCs w:val="20"/>
                <w:color w:val="auto"/>
              </w:rPr>
            </w:pPr>
            <w:r>
              <w:rPr>
                <w:rFonts w:ascii="Arial" w:cs="Arial" w:eastAsia="Arial" w:hAnsi="Arial"/>
                <w:sz w:val="18"/>
                <w:szCs w:val="18"/>
                <w:color w:val="auto"/>
              </w:rPr>
              <w:t>Former United States Senator from New Hampshire</w:t>
            </w:r>
          </w:p>
        </w:tc>
      </w:tr>
      <w:tr>
        <w:trPr>
          <w:trHeight w:val="324"/>
        </w:trPr>
        <w:tc>
          <w:tcPr>
            <w:tcW w:w="3760" w:type="dxa"/>
            <w:vAlign w:val="bottom"/>
            <w:gridSpan w:val="3"/>
          </w:tcPr>
          <w:p>
            <w:pPr>
              <w:spacing w:after="0"/>
              <w:rPr>
                <w:sz w:val="20"/>
                <w:szCs w:val="20"/>
                <w:color w:val="auto"/>
              </w:rPr>
            </w:pPr>
            <w:r>
              <w:rPr>
                <w:rFonts w:ascii="Arial" w:cs="Arial" w:eastAsia="Arial" w:hAnsi="Arial"/>
                <w:sz w:val="18"/>
                <w:szCs w:val="18"/>
                <w:color w:val="auto"/>
              </w:rPr>
              <w:t>James W. Breyer</w:t>
            </w:r>
          </w:p>
        </w:tc>
        <w:tc>
          <w:tcPr>
            <w:tcW w:w="7280" w:type="dxa"/>
            <w:vAlign w:val="bottom"/>
            <w:gridSpan w:val="2"/>
          </w:tcPr>
          <w:p>
            <w:pPr>
              <w:ind w:left="1980"/>
              <w:spacing w:after="0"/>
              <w:rPr>
                <w:sz w:val="20"/>
                <w:szCs w:val="20"/>
                <w:color w:val="auto"/>
              </w:rPr>
            </w:pPr>
            <w:r>
              <w:rPr>
                <w:rFonts w:ascii="Arial" w:cs="Arial" w:eastAsia="Arial" w:hAnsi="Arial"/>
                <w:sz w:val="18"/>
                <w:szCs w:val="18"/>
                <w:color w:val="auto"/>
              </w:rPr>
              <w:t>Founder and Chief Executive Officer of Breyer Capital</w:t>
            </w:r>
          </w:p>
        </w:tc>
      </w:tr>
      <w:tr>
        <w:trPr>
          <w:trHeight w:val="310"/>
        </w:trPr>
        <w:tc>
          <w:tcPr>
            <w:tcW w:w="3760" w:type="dxa"/>
            <w:vAlign w:val="bottom"/>
            <w:gridSpan w:val="3"/>
          </w:tcPr>
          <w:p>
            <w:pPr>
              <w:spacing w:after="0"/>
              <w:rPr>
                <w:sz w:val="20"/>
                <w:szCs w:val="20"/>
                <w:color w:val="auto"/>
              </w:rPr>
            </w:pPr>
            <w:r>
              <w:rPr>
                <w:rFonts w:ascii="Arial" w:cs="Arial" w:eastAsia="Arial" w:hAnsi="Arial"/>
                <w:sz w:val="18"/>
                <w:szCs w:val="18"/>
                <w:color w:val="auto"/>
              </w:rPr>
              <w:t>Sir John Antony Hood</w:t>
            </w:r>
          </w:p>
        </w:tc>
        <w:tc>
          <w:tcPr>
            <w:tcW w:w="7280" w:type="dxa"/>
            <w:vAlign w:val="bottom"/>
            <w:gridSpan w:val="2"/>
          </w:tcPr>
          <w:p>
            <w:pPr>
              <w:ind w:left="1980"/>
              <w:spacing w:after="0"/>
              <w:rPr>
                <w:sz w:val="20"/>
                <w:szCs w:val="20"/>
                <w:color w:val="auto"/>
              </w:rPr>
            </w:pPr>
            <w:r>
              <w:rPr>
                <w:rFonts w:ascii="Arial" w:cs="Arial" w:eastAsia="Arial" w:hAnsi="Arial"/>
                <w:sz w:val="18"/>
                <w:szCs w:val="18"/>
                <w:color w:val="auto"/>
                <w:w w:val="93"/>
              </w:rPr>
              <w:t>President and Chief Executive Officer of the Robertson Foundation and</w:t>
            </w:r>
          </w:p>
        </w:tc>
      </w:tr>
      <w:tr>
        <w:trPr>
          <w:trHeight w:val="230"/>
        </w:trPr>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280" w:type="dxa"/>
            <w:vAlign w:val="bottom"/>
            <w:gridSpan w:val="2"/>
          </w:tcPr>
          <w:p>
            <w:pPr>
              <w:ind w:left="1980"/>
              <w:spacing w:after="0"/>
              <w:rPr>
                <w:sz w:val="20"/>
                <w:szCs w:val="20"/>
                <w:color w:val="auto"/>
              </w:rPr>
            </w:pPr>
            <w:r>
              <w:rPr>
                <w:rFonts w:ascii="Arial" w:cs="Arial" w:eastAsia="Arial" w:hAnsi="Arial"/>
                <w:sz w:val="18"/>
                <w:szCs w:val="18"/>
                <w:color w:val="auto"/>
              </w:rPr>
              <w:t>Chair of the Rhodes Trust</w:t>
            </w:r>
          </w:p>
        </w:tc>
      </w:tr>
    </w:tbl>
    <w:p>
      <w:pPr>
        <w:sectPr>
          <w:pgSz w:w="11900" w:h="16838" w:orient="portrait"/>
          <w:cols w:equalWidth="0" w:num="1">
            <w:col w:w="11040"/>
          </w:cols>
          <w:pgMar w:left="440" w:top="274" w:right="41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Rochelle B. Lazarus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Chairman Emeritus &amp; Former Chief Executive Officer, Ogilvy &amp; Mather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-456565</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5020" w:space="720"/>
            <w:col w:w="5280"/>
          </w:cols>
          <w:pgMar w:left="440" w:top="382" w:right="439" w:bottom="1440" w:gutter="0" w:footer="0" w:header="0"/>
        </w:sectPr>
      </w:pPr>
    </w:p>
    <w:p>
      <w:pPr>
        <w:spacing w:after="0"/>
        <w:rPr>
          <w:sz w:val="20"/>
          <w:szCs w:val="20"/>
          <w:color w:val="auto"/>
        </w:rPr>
      </w:pPr>
      <w:r>
        <w:rPr>
          <w:rFonts w:ascii="Arial" w:cs="Arial" w:eastAsia="Arial" w:hAnsi="Arial"/>
          <w:sz w:val="16"/>
          <w:szCs w:val="16"/>
          <w:color w:val="auto"/>
        </w:rPr>
        <w:t>Jay O. Light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Dean Emeritus, Harvard Business School</w:t>
      </w:r>
    </w:p>
    <w:p>
      <w:pPr>
        <w:spacing w:after="0" w:line="140" w:lineRule="exact"/>
        <w:rPr>
          <w:sz w:val="20"/>
          <w:szCs w:val="20"/>
          <w:color w:val="auto"/>
        </w:rPr>
      </w:pPr>
    </w:p>
    <w:p>
      <w:pPr>
        <w:sectPr>
          <w:pgSz w:w="11900" w:h="16838" w:orient="portrait"/>
          <w:cols w:equalWidth="0" w:num="2">
            <w:col w:w="5020" w:space="720"/>
            <w:col w:w="5280"/>
          </w:cols>
          <w:pgMar w:left="440" w:top="382" w:right="439" w:bottom="1440" w:gutter="0" w:footer="0" w:header="0"/>
          <w:type w:val="continuous"/>
        </w:sectPr>
      </w:pPr>
    </w:p>
    <w:p>
      <w:pPr>
        <w:spacing w:after="0"/>
        <w:rPr>
          <w:sz w:val="20"/>
          <w:szCs w:val="20"/>
          <w:color w:val="auto"/>
        </w:rPr>
      </w:pPr>
      <w:r>
        <w:rPr>
          <w:rFonts w:ascii="Arial" w:cs="Arial" w:eastAsia="Arial" w:hAnsi="Arial"/>
          <w:sz w:val="16"/>
          <w:szCs w:val="16"/>
          <w:color w:val="auto"/>
        </w:rPr>
        <w:t>The Right Honorable Brian Mulroney</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Senior Partner and International Business Consultant for the Montreal law firm, Norton Rose Canada LLP</w:t>
      </w:r>
    </w:p>
    <w:p>
      <w:pPr>
        <w:spacing w:after="0" w:line="62" w:lineRule="exact"/>
        <w:rPr>
          <w:sz w:val="20"/>
          <w:szCs w:val="20"/>
          <w:color w:val="auto"/>
        </w:rPr>
      </w:pPr>
    </w:p>
    <w:p>
      <w:pPr>
        <w:sectPr>
          <w:pgSz w:w="11900" w:h="16838" w:orient="portrait"/>
          <w:cols w:equalWidth="0" w:num="2">
            <w:col w:w="5020" w:space="720"/>
            <w:col w:w="5280"/>
          </w:cols>
          <w:pgMar w:left="440" w:top="382" w:right="439" w:bottom="1440" w:gutter="0" w:footer="0" w:header="0"/>
          <w:type w:val="continuous"/>
        </w:sectPr>
      </w:pPr>
    </w:p>
    <w:p>
      <w:pPr>
        <w:spacing w:after="0"/>
        <w:rPr>
          <w:sz w:val="20"/>
          <w:szCs w:val="20"/>
          <w:color w:val="auto"/>
        </w:rPr>
      </w:pPr>
      <w:r>
        <w:rPr>
          <w:rFonts w:ascii="Arial" w:cs="Arial" w:eastAsia="Arial" w:hAnsi="Arial"/>
          <w:sz w:val="17"/>
          <w:szCs w:val="17"/>
          <w:color w:val="auto"/>
        </w:rPr>
        <w:t>William G. Parrett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Retired CEO and Senior Partner, Deloitte (Deloitte Touche Tohmatsu)</w:t>
      </w:r>
    </w:p>
    <w:p>
      <w:pPr>
        <w:spacing w:after="0" w:line="211" w:lineRule="exact"/>
        <w:rPr>
          <w:sz w:val="20"/>
          <w:szCs w:val="20"/>
          <w:color w:val="auto"/>
        </w:rPr>
      </w:pPr>
    </w:p>
    <w:p>
      <w:pPr>
        <w:sectPr>
          <w:pgSz w:w="11900" w:h="16838" w:orient="portrait"/>
          <w:cols w:equalWidth="0" w:num="2">
            <w:col w:w="5020" w:space="720"/>
            <w:col w:w="5280"/>
          </w:cols>
          <w:pgMar w:left="440" w:top="382" w:right="439" w:bottom="1440" w:gutter="0" w:footer="0" w:header="0"/>
          <w:type w:val="continuous"/>
        </w:sectPr>
      </w:pPr>
    </w:p>
    <w:p>
      <w:pPr>
        <w:spacing w:after="0" w:line="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Except as set forth in this Schedule 13D, to the best knowledge of the Reporting Persons, none of the individuals listed above beneficially owns any shares of Class A Common Stock.</w:t>
      </w:r>
    </w:p>
    <w:p>
      <w:pPr>
        <w:sectPr>
          <w:pgSz w:w="11900" w:h="16838" w:orient="portrait"/>
          <w:cols w:equalWidth="0" w:num="1">
            <w:col w:w="11020"/>
          </w:cols>
          <w:pgMar w:left="440" w:top="382" w:right="439" w:bottom="1440" w:gutter="0" w:footer="0" w:header="0"/>
          <w:type w:val="continuous"/>
        </w:sectPr>
      </w:pPr>
    </w:p>
    <w:bookmarkStart w:id="15" w:name="page16"/>
    <w:bookmarkEnd w:id="15"/>
    <w:p>
      <w:pPr>
        <w:jc w:val="center"/>
        <w:ind w:right="-10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60-Day Trading History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below reflects the transactions effected by Clarus Lifesciences III, L.P. during the past 60 days.</w:t>
      </w:r>
    </w:p>
    <w:p>
      <w:pPr>
        <w:spacing w:after="0" w:line="23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290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3360" w:type="dxa"/>
            <w:vAlign w:val="bottom"/>
            <w:gridSpan w:val="2"/>
            <w:vMerge w:val="restart"/>
          </w:tcPr>
          <w:p>
            <w:pPr>
              <w:jc w:val="center"/>
              <w:ind w:right="3080"/>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vMerge w:val="continue"/>
          </w:tcPr>
          <w:p>
            <w:pPr>
              <w:spacing w:after="0"/>
              <w:rPr>
                <w:sz w:val="12"/>
                <w:szCs w:val="12"/>
                <w:color w:val="auto"/>
              </w:rPr>
            </w:pPr>
          </w:p>
        </w:tc>
        <w:tc>
          <w:tcPr>
            <w:tcW w:w="290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Average Sales</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336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Stock Sold</w:t>
            </w:r>
          </w:p>
        </w:tc>
        <w:tc>
          <w:tcPr>
            <w:tcW w:w="3900" w:type="dxa"/>
            <w:vAlign w:val="bottom"/>
            <w:gridSpan w:val="3"/>
          </w:tcPr>
          <w:p>
            <w:pPr>
              <w:jc w:val="center"/>
              <w:ind w:left="2731"/>
              <w:spacing w:after="0"/>
              <w:rPr>
                <w:sz w:val="20"/>
                <w:szCs w:val="20"/>
                <w:color w:val="auto"/>
              </w:rPr>
            </w:pPr>
            <w:r>
              <w:rPr>
                <w:rFonts w:ascii="Arial" w:cs="Arial" w:eastAsia="Arial" w:hAnsi="Arial"/>
                <w:sz w:val="14"/>
                <w:szCs w:val="14"/>
                <w:b w:val="1"/>
                <w:bCs w:val="1"/>
                <w:color w:val="auto"/>
                <w:w w:val="93"/>
              </w:rPr>
              <w:t>Price per Share</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gridSpan w:val="3"/>
            <w:shd w:val="clear" w:color="auto" w:fill="CCEEFF"/>
          </w:tcPr>
          <w:p>
            <w:pPr>
              <w:jc w:val="center"/>
              <w:ind w:right="2860"/>
              <w:spacing w:after="0"/>
              <w:rPr>
                <w:sz w:val="20"/>
                <w:szCs w:val="20"/>
                <w:color w:val="auto"/>
              </w:rPr>
            </w:pPr>
            <w:r>
              <w:rPr>
                <w:rFonts w:ascii="Arial" w:cs="Arial" w:eastAsia="Arial" w:hAnsi="Arial"/>
                <w:sz w:val="18"/>
                <w:szCs w:val="18"/>
                <w:color w:val="auto"/>
                <w:w w:val="89"/>
              </w:rPr>
              <w:t>7/19/2019</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7,004</w:t>
            </w:r>
          </w:p>
        </w:tc>
        <w:tc>
          <w:tcPr>
            <w:tcW w:w="3860" w:type="dxa"/>
            <w:vAlign w:val="bottom"/>
            <w:gridSpan w:val="2"/>
            <w:shd w:val="clear" w:color="auto" w:fill="CCEEFF"/>
          </w:tcPr>
          <w:p>
            <w:pPr>
              <w:jc w:val="center"/>
              <w:ind w:left="2791"/>
              <w:spacing w:after="0"/>
              <w:rPr>
                <w:sz w:val="20"/>
                <w:szCs w:val="20"/>
                <w:color w:val="auto"/>
              </w:rPr>
            </w:pPr>
            <w:r>
              <w:rPr>
                <w:rFonts w:ascii="Arial" w:cs="Arial" w:eastAsia="Arial" w:hAnsi="Arial"/>
                <w:sz w:val="18"/>
                <w:szCs w:val="18"/>
                <w:color w:val="auto"/>
                <w:w w:val="90"/>
              </w:rPr>
              <w:t>$23.106336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jc w:val="center"/>
              <w:ind w:right="2860"/>
              <w:spacing w:after="0"/>
              <w:rPr>
                <w:sz w:val="20"/>
                <w:szCs w:val="20"/>
                <w:color w:val="auto"/>
              </w:rPr>
            </w:pPr>
            <w:r>
              <w:rPr>
                <w:rFonts w:ascii="Arial" w:cs="Arial" w:eastAsia="Arial" w:hAnsi="Arial"/>
                <w:sz w:val="18"/>
                <w:szCs w:val="18"/>
                <w:color w:val="auto"/>
                <w:w w:val="89"/>
              </w:rPr>
              <w:t>7/19/2019</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53,192</w:t>
            </w:r>
          </w:p>
        </w:tc>
        <w:tc>
          <w:tcPr>
            <w:tcW w:w="3860" w:type="dxa"/>
            <w:vAlign w:val="bottom"/>
            <w:gridSpan w:val="2"/>
          </w:tcPr>
          <w:p>
            <w:pPr>
              <w:jc w:val="center"/>
              <w:ind w:left="2791"/>
              <w:spacing w:after="0"/>
              <w:rPr>
                <w:sz w:val="20"/>
                <w:szCs w:val="20"/>
                <w:color w:val="auto"/>
              </w:rPr>
            </w:pPr>
            <w:r>
              <w:rPr>
                <w:rFonts w:ascii="Arial" w:cs="Arial" w:eastAsia="Arial" w:hAnsi="Arial"/>
                <w:sz w:val="18"/>
                <w:szCs w:val="18"/>
                <w:color w:val="auto"/>
                <w:w w:val="90"/>
              </w:rPr>
              <w:t>$23.000265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jc w:val="center"/>
              <w:ind w:right="2860"/>
              <w:spacing w:after="0"/>
              <w:rPr>
                <w:sz w:val="20"/>
                <w:szCs w:val="20"/>
                <w:color w:val="auto"/>
              </w:rPr>
            </w:pPr>
            <w:r>
              <w:rPr>
                <w:rFonts w:ascii="Arial" w:cs="Arial" w:eastAsia="Arial" w:hAnsi="Arial"/>
                <w:sz w:val="18"/>
                <w:szCs w:val="18"/>
                <w:color w:val="auto"/>
                <w:w w:val="89"/>
              </w:rPr>
              <w:t>7/22/2019</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66,329</w:t>
            </w:r>
          </w:p>
        </w:tc>
        <w:tc>
          <w:tcPr>
            <w:tcW w:w="3860" w:type="dxa"/>
            <w:vAlign w:val="bottom"/>
            <w:gridSpan w:val="2"/>
            <w:shd w:val="clear" w:color="auto" w:fill="CCEEFF"/>
          </w:tcPr>
          <w:p>
            <w:pPr>
              <w:jc w:val="center"/>
              <w:ind w:left="2791"/>
              <w:spacing w:after="0"/>
              <w:rPr>
                <w:sz w:val="20"/>
                <w:szCs w:val="20"/>
                <w:color w:val="auto"/>
              </w:rPr>
            </w:pPr>
            <w:r>
              <w:rPr>
                <w:rFonts w:ascii="Arial" w:cs="Arial" w:eastAsia="Arial" w:hAnsi="Arial"/>
                <w:sz w:val="18"/>
                <w:szCs w:val="18"/>
                <w:color w:val="auto"/>
                <w:w w:val="90"/>
              </w:rPr>
              <w:t>$23.015349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jc w:val="center"/>
              <w:ind w:right="2860"/>
              <w:spacing w:after="0"/>
              <w:rPr>
                <w:sz w:val="20"/>
                <w:szCs w:val="20"/>
                <w:color w:val="auto"/>
              </w:rPr>
            </w:pPr>
            <w:r>
              <w:rPr>
                <w:rFonts w:ascii="Arial" w:cs="Arial" w:eastAsia="Arial" w:hAnsi="Arial"/>
                <w:sz w:val="18"/>
                <w:szCs w:val="18"/>
                <w:color w:val="auto"/>
                <w:w w:val="89"/>
              </w:rPr>
              <w:t>7/22/2019</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48,974</w:t>
            </w:r>
          </w:p>
        </w:tc>
        <w:tc>
          <w:tcPr>
            <w:tcW w:w="3860" w:type="dxa"/>
            <w:vAlign w:val="bottom"/>
            <w:gridSpan w:val="2"/>
          </w:tcPr>
          <w:p>
            <w:pPr>
              <w:jc w:val="center"/>
              <w:ind w:left="2791"/>
              <w:spacing w:after="0"/>
              <w:rPr>
                <w:sz w:val="20"/>
                <w:szCs w:val="20"/>
                <w:color w:val="auto"/>
              </w:rPr>
            </w:pPr>
            <w:r>
              <w:rPr>
                <w:rFonts w:ascii="Arial" w:cs="Arial" w:eastAsia="Arial" w:hAnsi="Arial"/>
                <w:sz w:val="18"/>
                <w:szCs w:val="18"/>
                <w:color w:val="auto"/>
                <w:w w:val="90"/>
              </w:rPr>
              <w:t>$22.964158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jc w:val="center"/>
              <w:ind w:right="2860"/>
              <w:spacing w:after="0"/>
              <w:rPr>
                <w:sz w:val="20"/>
                <w:szCs w:val="20"/>
                <w:color w:val="auto"/>
              </w:rPr>
            </w:pPr>
            <w:r>
              <w:rPr>
                <w:rFonts w:ascii="Arial" w:cs="Arial" w:eastAsia="Arial" w:hAnsi="Arial"/>
                <w:sz w:val="18"/>
                <w:szCs w:val="18"/>
                <w:color w:val="auto"/>
                <w:w w:val="89"/>
              </w:rPr>
              <w:t>7/23/2019</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17,687</w:t>
            </w:r>
          </w:p>
        </w:tc>
        <w:tc>
          <w:tcPr>
            <w:tcW w:w="3860" w:type="dxa"/>
            <w:vAlign w:val="bottom"/>
            <w:gridSpan w:val="2"/>
            <w:shd w:val="clear" w:color="auto" w:fill="CCEEFF"/>
          </w:tcPr>
          <w:p>
            <w:pPr>
              <w:jc w:val="center"/>
              <w:ind w:left="2791"/>
              <w:spacing w:after="0"/>
              <w:rPr>
                <w:sz w:val="20"/>
                <w:szCs w:val="20"/>
                <w:color w:val="auto"/>
              </w:rPr>
            </w:pPr>
            <w:r>
              <w:rPr>
                <w:rFonts w:ascii="Arial" w:cs="Arial" w:eastAsia="Arial" w:hAnsi="Arial"/>
                <w:sz w:val="18"/>
                <w:szCs w:val="18"/>
                <w:color w:val="auto"/>
                <w:w w:val="90"/>
              </w:rPr>
              <w:t>$22.970506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jc w:val="center"/>
              <w:ind w:right="2860"/>
              <w:spacing w:after="0"/>
              <w:rPr>
                <w:sz w:val="20"/>
                <w:szCs w:val="20"/>
                <w:color w:val="auto"/>
              </w:rPr>
            </w:pPr>
            <w:r>
              <w:rPr>
                <w:rFonts w:ascii="Arial" w:cs="Arial" w:eastAsia="Arial" w:hAnsi="Arial"/>
                <w:sz w:val="18"/>
                <w:szCs w:val="18"/>
                <w:color w:val="auto"/>
                <w:w w:val="89"/>
              </w:rPr>
              <w:t>7/23/2019</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29,731</w:t>
            </w:r>
          </w:p>
        </w:tc>
        <w:tc>
          <w:tcPr>
            <w:tcW w:w="3860" w:type="dxa"/>
            <w:vAlign w:val="bottom"/>
            <w:gridSpan w:val="2"/>
          </w:tcPr>
          <w:p>
            <w:pPr>
              <w:jc w:val="center"/>
              <w:ind w:left="2791"/>
              <w:spacing w:after="0"/>
              <w:rPr>
                <w:sz w:val="20"/>
                <w:szCs w:val="20"/>
                <w:color w:val="auto"/>
              </w:rPr>
            </w:pPr>
            <w:r>
              <w:rPr>
                <w:rFonts w:ascii="Arial" w:cs="Arial" w:eastAsia="Arial" w:hAnsi="Arial"/>
                <w:sz w:val="18"/>
                <w:szCs w:val="18"/>
                <w:color w:val="auto"/>
                <w:w w:val="90"/>
              </w:rPr>
              <w:t>$22.941305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jc w:val="center"/>
              <w:ind w:right="2860"/>
              <w:spacing w:after="0"/>
              <w:rPr>
                <w:sz w:val="20"/>
                <w:szCs w:val="20"/>
                <w:color w:val="auto"/>
              </w:rPr>
            </w:pPr>
            <w:r>
              <w:rPr>
                <w:rFonts w:ascii="Arial" w:cs="Arial" w:eastAsia="Arial" w:hAnsi="Arial"/>
                <w:sz w:val="18"/>
                <w:szCs w:val="18"/>
                <w:color w:val="auto"/>
                <w:w w:val="89"/>
              </w:rPr>
              <w:t>7/24/2019</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95,509</w:t>
            </w:r>
          </w:p>
        </w:tc>
        <w:tc>
          <w:tcPr>
            <w:tcW w:w="3860" w:type="dxa"/>
            <w:vAlign w:val="bottom"/>
            <w:gridSpan w:val="2"/>
            <w:shd w:val="clear" w:color="auto" w:fill="CCEEFF"/>
          </w:tcPr>
          <w:p>
            <w:pPr>
              <w:jc w:val="center"/>
              <w:ind w:left="2791"/>
              <w:spacing w:after="0"/>
              <w:rPr>
                <w:sz w:val="20"/>
                <w:szCs w:val="20"/>
                <w:color w:val="auto"/>
              </w:rPr>
            </w:pPr>
            <w:r>
              <w:rPr>
                <w:rFonts w:ascii="Arial" w:cs="Arial" w:eastAsia="Arial" w:hAnsi="Arial"/>
                <w:sz w:val="18"/>
                <w:szCs w:val="18"/>
                <w:color w:val="auto"/>
                <w:w w:val="90"/>
              </w:rPr>
              <w:t>$22.957081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jc w:val="center"/>
              <w:ind w:right="2860"/>
              <w:spacing w:after="0"/>
              <w:rPr>
                <w:sz w:val="20"/>
                <w:szCs w:val="20"/>
                <w:color w:val="auto"/>
              </w:rPr>
            </w:pPr>
            <w:r>
              <w:rPr>
                <w:rFonts w:ascii="Arial" w:cs="Arial" w:eastAsia="Arial" w:hAnsi="Arial"/>
                <w:sz w:val="18"/>
                <w:szCs w:val="18"/>
                <w:color w:val="auto"/>
                <w:w w:val="89"/>
              </w:rPr>
              <w:t>7/25/2019</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60,709</w:t>
            </w:r>
          </w:p>
        </w:tc>
        <w:tc>
          <w:tcPr>
            <w:tcW w:w="3860" w:type="dxa"/>
            <w:vAlign w:val="bottom"/>
            <w:gridSpan w:val="2"/>
          </w:tcPr>
          <w:p>
            <w:pPr>
              <w:jc w:val="center"/>
              <w:ind w:left="2791"/>
              <w:spacing w:after="0"/>
              <w:rPr>
                <w:sz w:val="20"/>
                <w:szCs w:val="20"/>
                <w:color w:val="auto"/>
              </w:rPr>
            </w:pPr>
            <w:r>
              <w:rPr>
                <w:rFonts w:ascii="Arial" w:cs="Arial" w:eastAsia="Arial" w:hAnsi="Arial"/>
                <w:sz w:val="18"/>
                <w:szCs w:val="18"/>
                <w:color w:val="auto"/>
                <w:w w:val="90"/>
              </w:rPr>
              <w:t>$23.070524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jc w:val="center"/>
              <w:ind w:right="2860"/>
              <w:spacing w:after="0"/>
              <w:rPr>
                <w:sz w:val="20"/>
                <w:szCs w:val="20"/>
                <w:color w:val="auto"/>
              </w:rPr>
            </w:pPr>
            <w:r>
              <w:rPr>
                <w:rFonts w:ascii="Arial" w:cs="Arial" w:eastAsia="Arial" w:hAnsi="Arial"/>
                <w:sz w:val="18"/>
                <w:szCs w:val="18"/>
                <w:color w:val="auto"/>
                <w:w w:val="89"/>
              </w:rPr>
              <w:t>7/26/2019</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162,442</w:t>
            </w:r>
          </w:p>
        </w:tc>
        <w:tc>
          <w:tcPr>
            <w:tcW w:w="3860" w:type="dxa"/>
            <w:vAlign w:val="bottom"/>
            <w:gridSpan w:val="2"/>
            <w:shd w:val="clear" w:color="auto" w:fill="CCEEFF"/>
          </w:tcPr>
          <w:p>
            <w:pPr>
              <w:jc w:val="center"/>
              <w:ind w:left="2791"/>
              <w:spacing w:after="0"/>
              <w:rPr>
                <w:sz w:val="20"/>
                <w:szCs w:val="20"/>
                <w:color w:val="auto"/>
              </w:rPr>
            </w:pPr>
            <w:r>
              <w:rPr>
                <w:rFonts w:ascii="Arial" w:cs="Arial" w:eastAsia="Arial" w:hAnsi="Arial"/>
                <w:sz w:val="18"/>
                <w:szCs w:val="18"/>
                <w:color w:val="auto"/>
                <w:w w:val="90"/>
              </w:rPr>
              <w:t>$23.042708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jc w:val="center"/>
              <w:ind w:right="2860"/>
              <w:spacing w:after="0"/>
              <w:rPr>
                <w:sz w:val="20"/>
                <w:szCs w:val="20"/>
                <w:color w:val="auto"/>
              </w:rPr>
            </w:pPr>
            <w:r>
              <w:rPr>
                <w:rFonts w:ascii="Arial" w:cs="Arial" w:eastAsia="Arial" w:hAnsi="Arial"/>
                <w:sz w:val="18"/>
                <w:szCs w:val="18"/>
                <w:color w:val="auto"/>
                <w:w w:val="89"/>
              </w:rPr>
              <w:t>7/30/2019</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30,000</w:t>
            </w:r>
          </w:p>
        </w:tc>
        <w:tc>
          <w:tcPr>
            <w:tcW w:w="3860" w:type="dxa"/>
            <w:vAlign w:val="bottom"/>
            <w:gridSpan w:val="2"/>
          </w:tcPr>
          <w:p>
            <w:pPr>
              <w:jc w:val="center"/>
              <w:ind w:left="2791"/>
              <w:spacing w:after="0"/>
              <w:rPr>
                <w:sz w:val="20"/>
                <w:szCs w:val="20"/>
                <w:color w:val="auto"/>
              </w:rPr>
            </w:pPr>
            <w:r>
              <w:rPr>
                <w:rFonts w:ascii="Arial" w:cs="Arial" w:eastAsia="Arial" w:hAnsi="Arial"/>
                <w:sz w:val="18"/>
                <w:szCs w:val="18"/>
                <w:color w:val="auto"/>
                <w:w w:val="90"/>
              </w:rPr>
              <w:t>$22.900699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jc w:val="center"/>
              <w:ind w:right="2860"/>
              <w:spacing w:after="0"/>
              <w:rPr>
                <w:sz w:val="20"/>
                <w:szCs w:val="20"/>
                <w:color w:val="auto"/>
              </w:rPr>
            </w:pPr>
            <w:r>
              <w:rPr>
                <w:rFonts w:ascii="Arial" w:cs="Arial" w:eastAsia="Arial" w:hAnsi="Arial"/>
                <w:sz w:val="18"/>
                <w:szCs w:val="18"/>
                <w:color w:val="auto"/>
                <w:w w:val="89"/>
              </w:rPr>
              <w:t>7/30/2019</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8,423</w:t>
            </w:r>
          </w:p>
        </w:tc>
        <w:tc>
          <w:tcPr>
            <w:tcW w:w="3860" w:type="dxa"/>
            <w:vAlign w:val="bottom"/>
            <w:gridSpan w:val="2"/>
            <w:shd w:val="clear" w:color="auto" w:fill="CCEEFF"/>
          </w:tcPr>
          <w:p>
            <w:pPr>
              <w:jc w:val="center"/>
              <w:ind w:left="2791"/>
              <w:spacing w:after="0"/>
              <w:rPr>
                <w:sz w:val="20"/>
                <w:szCs w:val="20"/>
                <w:color w:val="auto"/>
              </w:rPr>
            </w:pPr>
            <w:r>
              <w:rPr>
                <w:rFonts w:ascii="Arial" w:cs="Arial" w:eastAsia="Arial" w:hAnsi="Arial"/>
                <w:sz w:val="18"/>
                <w:szCs w:val="18"/>
                <w:color w:val="auto"/>
                <w:w w:val="90"/>
              </w:rPr>
              <w:t>$21.999973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above transactions were effected on the open market.</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1"/>
    </w:lvl>
  </w:abstractNum>
  <w:abstractNum w:abstractNumId="2">
    <w:nsid w:val="41B71EFB"/>
    <w:multiLevelType w:val="hybridMultilevel"/>
    <w:lvl w:ilvl="0">
      <w:lvlJc w:val="left"/>
      <w:lvlText w:val="%1"/>
      <w:numFmt w:val="decimal"/>
      <w:start w:val="1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1"/>
      <w:numFmt w:val="decimal"/>
      <w:start w:val="11"/>
    </w:lvl>
  </w:abstractNum>
  <w:abstractNum w:abstractNumId="5">
    <w:nsid w:val="515F007C"/>
    <w:multiLevelType w:val="hybridMultilevel"/>
    <w:lvl w:ilvl="0">
      <w:lvlJc w:val="left"/>
      <w:lvlText w:val="%1"/>
      <w:numFmt w:val="decimal"/>
      <w:start w:val="11"/>
    </w:lvl>
  </w:abstractNum>
  <w:abstractNum w:abstractNumId="6">
    <w:nsid w:val="5BD062C2"/>
    <w:multiLevelType w:val="hybridMultilevel"/>
    <w:lvl w:ilvl="0">
      <w:lvlJc w:val="left"/>
      <w:lvlText w:val="%1"/>
      <w:numFmt w:val="decimal"/>
      <w:start w:val="11"/>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2019-12-21T01:02:26Z</dcterms:created>
  <dcterms:modified xsi:type="dcterms:W3CDTF">2019-12-21T01:02:26Z</dcterms:modified>
</cp:coreProperties>
</file>