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81-0710585</w:t>
            </w:r>
          </w:p>
        </w:tc>
      </w:tr>
      <w:tr>
        <w:trPr>
          <w:trHeight w:val="148"/>
        </w:trPr>
        <w:tc>
          <w:tcPr>
            <w:tcW w:w="3660" w:type="dxa"/>
            <w:vAlign w:val="bottom"/>
          </w:tcPr>
          <w:p>
            <w:pPr>
              <w:jc w:val="center"/>
              <w:ind w:right="1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490 Arsenal Way, Suite 210</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February 3, 2025, Tectonic Therapeutic, Inc. (the “Company”) entered into a securities purchase agreement (the “Purchase Agreement”) with certain accredited investors (the “Purchasers”). The Purchase Agreement provides that, subject to the satisfaction of customary closing conditions, the Purchasers will purchase an aggregate of 3,689,465 shares (the “Shares”) of common stock, $0.0001 par value per share (“Common Stock”), of the Company, at a price of $50.00 per Share to fund investors and $54.14 per Share to individual investors that are either an officer or director of the Company (the “Private Placement”).</w:t>
      </w:r>
    </w:p>
    <w:p>
      <w:pPr>
        <w:spacing w:after="0" w:line="18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Gross proceeds from the Private Placement are expected to be approximately $185.0 million. The Private Placement is expected to close on or about February 5, 2025, subject to the satisfaction of the closing conditions referenced above. The Company expects the net proceeds from the Private Placement to be used for the advancement of its development pipeline, working capital and other general corporate purposes.</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TD Securities (USA) LLC, Leerink Partners LLC, Piper Sandler &amp; Co. and Wells Fargo Securities, LLC acted as placement agents for the Private Placement. The Company has agreed to pay the placement agents customary placement fees in their capacity as placement agents for the sale of the Shares to the Purchasers.</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form of Purchase Agreement, a form of which is filed as Exhibit 10.1 hereto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February 3, 2025, the Company entered into a registration rights agreement (the “Registration Rights Agreement”) with the Purchasers, pursuant to which the Company agreed, among other things, to prepare and file with the Securities and Exchange Commission (the “SEC”) a registration statement on Form S-1 to register for resale the Shares within 54 calendar days of the closing of the Private Placement, and to use reasonable best efforts to have the registration statement declared effective at the earliest possible date, but in any event no later than the earlier of (a) the 90th calendar day following the initial filing date or (b) the fifth business day after the date the Company is notified (orally or in writing, whichever is earlier) by the SEC that the registration statement will not be “reviewed” or will not be subject to further review. The Company also agreed to use reasonable best efforts to keep such registration statement effective until the earlier of the date the Shares covered by such registration statement have been sold or may be resold pursuant to Rule 144 without restriction. The Company has agreed to be responsible for all fees and expenses incurred in connection with the registration of the Shares.</w:t>
      </w:r>
    </w:p>
    <w:p>
      <w:pPr>
        <w:spacing w:after="0" w:line="18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has granted the Purchasers customary indemnification rights in connection with the registration statement. The Purchasers have also granted the Company customary indemnification rights in connection with the registration statement.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form of Registration Rights Agreement, a form of which is filed as Exhibit 10.2 hereto and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information contained above in Item 1.01 relating to the Private Placement is hereby incorporated by reference into this Item 3.02. Based in part upon the representations of the Purchasers in the Purchase Agreement, the offering and sale of the Shares will be made in reliance on the exemption afforded by Regulation D of the Securities Act of 1933, as amended (the “Securities Act”), and corresponding provisions of state securities or “blue sky” laws. The Shares have not been registered under the Securities Act or any state securities laws and may not be offered or sold in the United States absent registration with the SEC or an applicable exemption from the registration requirements. Each of the Purchasers has represented that it is an “accredited investor” as defined in Regulation D of the Securities Act, that it is purchasing the Securities solely for the Purchaser’s own account and not for the account of others, and</w:t>
      </w:r>
    </w:p>
    <w:p>
      <w:pPr>
        <w:sectPr>
          <w:pgSz w:w="11900" w:h="16838" w:orient="portrait"/>
          <w:cols w:equalWidth="0" w:num="1">
            <w:col w:w="11020"/>
          </w:cols>
          <w:pgMar w:left="440" w:top="293" w:right="439" w:bottom="1440" w:gutter="0" w:footer="0" w:header="0"/>
        </w:sectPr>
      </w:pPr>
    </w:p>
    <w:bookmarkStart w:id="2" w:name="page3"/>
    <w:bookmarkEnd w:id="2"/>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 with a view to the resale or distribution of any part thereof in violation of the Securities Act, and that the Purchaser has no present intention of selling, granting any participation in, or otherwise distributing the Securities in violation of the Securities Act. The sale of the Securities did not involve a public offering and was made without general solicitation or general advertising.</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shares of Common Stock or other securities of the Company.</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February 3, 2025, the Company issued a press release announcing the Private Placement. A copy of the press release is filed as Exhibit 99.1 hereto and incorporated by reference herein.</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shall not be deemed “filed” for purposes of Section 18 of the Securities Exchange Act of 1934, as amended, or subject to the liabilities of that section or Sections 11 and 12(a)(2) of the Securities Act. The information in this Item 7.01, including Exhibit 99.1, shall not be deemed incorporated by reference into any other filing with the SEC made by the Company, whether made before or after the date hereof, regardless of any general incorporation language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Securities Purchase Agreement.</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Form of Registration Rights Agreement.</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3,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without limitation statements regarding the anticipated closing and use of proceeds of the Private Placement and the filing and timing of a resale registration statement. The words “anticipate,” “believe,” “continue,” “could,” “estimate,” “expect,” “intend,” “may,” “plan,” “potential,” “predict,” “project,” “target,” “should,”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important factors, including risks relating to market conditions, the satisfaction of the customary closing conditions and other risks described under the caption “Risk Factors” in the Company’s Quarterly Report on Form 10-Q filed with the SEC on November 12, 2024, and its subsequent filings with the SEC. Any forward-looking statements contained in this Current Report on</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Form 8-K speak only as of the date hereof, and the Company expressly disclaims any obligation to update any forward-looking statements, whether because of new information, future events or otherwise.</w:t>
      </w:r>
    </w:p>
    <w:p>
      <w:pPr>
        <w:sectPr>
          <w:pgSz w:w="11900" w:h="16838" w:orient="portrait"/>
          <w:cols w:equalWidth="0" w:num="1">
            <w:col w:w="11000"/>
          </w:cols>
          <w:pgMar w:left="440" w:top="297" w:right="4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2025</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SECURITIES PURCHASE AGREEMENT</w:t>
      </w:r>
    </w:p>
    <w:p>
      <w:pPr>
        <w:spacing w:after="0" w:line="22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February 3, 2025, by and among Tectonic Therapeutic,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each of the entities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Agreement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30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and the Investors are executing and delivering this Agreement in reliance upon the exemption from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registration afforded by Section 4(a)(2) of the Securities Act (defined below) and/or Rule 506 of Regulation D promulgated under the Securities Act;</w:t>
      </w:r>
    </w:p>
    <w:p>
      <w:pPr>
        <w:spacing w:after="0" w:line="132"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sell to the Investors, and each Investor desires to purchase from the Company, severally and not jointly,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subject to the conditions stated in this Agreement,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sale of the Securities, the parties hereto will execute and deliver a Registration Rights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pursuant to which the Company will agree to provide certain registration rights in respect of the Shares under the Securities Act and applicable state securities laws.</w:t>
      </w:r>
    </w:p>
    <w:p>
      <w:pPr>
        <w:spacing w:after="0" w:line="17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representations, warranties and covenants herein contained,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Investor, severally and not jointly, agree as follows: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respective meanings:</w:t>
      </w:r>
    </w:p>
    <w:p>
      <w:pPr>
        <w:spacing w:after="0" w:line="221"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Person, as such terms are used in or construed under Rule 405 under the Securities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Bylaws</w:t>
      </w:r>
      <w:r>
        <w:rPr>
          <w:rFonts w:ascii="Times New Roman" w:cs="Times New Roman" w:eastAsia="Times New Roman" w:hAnsi="Times New Roman"/>
          <w:sz w:val="18"/>
          <w:szCs w:val="18"/>
          <w:color w:val="auto"/>
        </w:rPr>
        <w:t>” means the bylaws of the Company, as currently in effect.</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means the certificate of incorporation of the Company, as amended and currently in effect.</w:t>
      </w:r>
    </w:p>
    <w:p>
      <w:pPr>
        <w:spacing w:after="0" w:line="15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ectPr>
          <w:pgSz w:w="11900" w:h="16838" w:orient="portrait"/>
          <w:cols w:equalWidth="0" w:num="1">
            <w:col w:w="11020"/>
          </w:cols>
          <w:pgMar w:left="440" w:top="117" w:right="43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that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Regulatory Agency</w:t>
      </w:r>
      <w:r>
        <w:rPr>
          <w:rFonts w:ascii="Times New Roman" w:cs="Times New Roman" w:eastAsia="Times New Roman" w:hAnsi="Times New Roman"/>
          <w:sz w:val="18"/>
          <w:szCs w:val="18"/>
          <w:color w:val="auto"/>
        </w:rPr>
        <w:t>” means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means the representations and warranties made by the Company in Sections 3.1 (Organization and Power), 3.2 (Capitalization), 3.4 (Authorization), 3.5 (Valid Issuance), 3.6 (No Conflict), 3.7 (Consents), 3.8 (SEC Filings; Financial Statements), 3.18 (Nasdaq Stock Market), 3.19 (Sarbanes-Oxley Act), 3.23 (Price Stabilization of Common Stock), 3.24 (Investment Company Act), 3.25 (General Solicitation; No Integration or Aggregation), 3.26 (Brokers and Finders), 3.27 (Reliance by the Investors), 3.28 (No Disqualification Events), 3.29 (Other Covered Persons) and 3.30 (No Additional Agreements)</w:t>
      </w:r>
      <w:r>
        <w:rPr>
          <w:rFonts w:ascii="Times New Roman" w:cs="Times New Roman" w:eastAsia="Times New Roman" w:hAnsi="Times New Roman"/>
          <w:sz w:val="18"/>
          <w:szCs w:val="18"/>
          <w:b w:val="1"/>
          <w:bCs w:val="1"/>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the meanings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means the Lock-Up Agreement, dated as of the date hereof, by and among the Company and each of the Company’s directors and executive officers.</w:t>
      </w:r>
    </w:p>
    <w:p>
      <w:pPr>
        <w:spacing w:after="0" w:line="155" w:lineRule="exact"/>
        <w:rPr>
          <w:sz w:val="20"/>
          <w:szCs w:val="20"/>
          <w:color w:val="auto"/>
        </w:rPr>
      </w:pPr>
    </w:p>
    <w:p>
      <w:pPr>
        <w:ind w:right="2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timely comply, or prevents the Company from complying, with its obligations under this Agreement, the other Transaction Agreements, or with respect to the Closing, or would reasonably be expected to do so.</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Exchange</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71"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Agent(s)</w:t>
      </w:r>
      <w:r>
        <w:rPr>
          <w:rFonts w:ascii="Times New Roman" w:cs="Times New Roman" w:eastAsia="Times New Roman" w:hAnsi="Times New Roman"/>
          <w:sz w:val="18"/>
          <w:szCs w:val="18"/>
          <w:color w:val="auto"/>
        </w:rPr>
        <w:t>” means TD Securities (USA) LLC, Leerink Partners LLC, Piper Sandler &amp; Co. and Wells Fargo Securities, LLC.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the Company’s shares of preferred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7" w:name="page8"/>
    <w:bookmarkEnd w:id="7"/>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means (a) the Company’s Registration Statement on Form S-4, which was declared effective by the SEC on May 3, 2024, (b)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most recently filed Annual Report on Form 10-K and (c) all Quarterly Reports on Form 10-Q or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securities offered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71"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National Exchange on which the Common Stock is listed or quoted is open for trading.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means this Agreement and the Registration Rights Agreement.</w:t>
      </w:r>
    </w:p>
    <w:p>
      <w:pPr>
        <w:spacing w:after="0" w:line="225"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with respect to the Common Stock, Computershare Trust Company, LLC or such other financial institution that provides transfer agent services as the Company may engage from time to time.</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Investors, severally and not jointly, agree to purchase, the number of Shares, for the price per Share and aggregate purchase price, set forth opposite the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1983"/>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the satisfaction or waiver of the conditions set forth in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of this Agreement, the closing of the purchase and sale of the Securities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shall occur remotely via the exchange of documents and signatures at such time as agreed to by the Company and the Investors but (i) in no event earlier than the second Business Day after the date of this Agreement and (ii) in no event later than the fifth Business Day after the date of this Agreement. At the Closing, the Shares shall be issued and registered in the name of the Investor, or in such nominee name(s) as designated by such Investor, representing the number of Shares to be purchased by the Investor at such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 each case against payment to the Company of the purchase price therefor in full, by wire transfer to the Company of immediately available funds, at or prior to the Closing, in accordance with wire instructions provided by the Company to the Investors no less than one Business Day prior to the Closing. On the Closing Date, the Company will cause the Transfer Agent to issue the Shares in book-entry form, free and clear of all restrictive and other legends (except as expressly provided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Notwithstanding the foregoing and anything in this Agreement to the contrary, as may be agreed to among the Company and one or more Investors, if an Investor affirmatively notifies the Company on or prior to the date hereof that it is (1) an investment company registered under the Investment Company Act of 1940, as amended, (2) advised by an investment adviser subject to regulation under the Investment Advisers Act of 1940, as amended, or (3) otherwise subject to internal policies and/or procedures relating to the timing of funding and issuance of securities that would require it, such Investor shall not be required to wire its “Aggregate Purchase Price”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until it confirms receipt on the Closing Date of evidence of the issuance of such Investor’s Shares from the Transfer Agent in form and substance reasonably acceptable to the Investor. In the event that the Closing has not occurred within two Business Days after the expected Closing Date, unless otherwise agreed by the Company and such Investor, the Company shall promptly (but no later than two Business Days thereafter) return the previously wired amounts to each respective Investor by wire transfer of United States dollars in immediately available funds to the account specified by each Investor, and any book entries for the Securities shall be deemed cancelled; provided that, unless this Agreement has been terminated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such return of funds shall not terminate this Agreement or relieve such Investor of its obligation to purchase, or the Company of its obligation to issue and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9" w:name="page10"/>
    <w:bookmarkEnd w:id="9"/>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 the Securities at the Closing. Subsequent to Closing, upon request of an Investor, the Company shall deliver or cause to be delivered to such Investor within five (5) Business Days of such request a book-entry statement of account from the Company’s transfer agent reflecting the issuance of the Securities.</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Except as set forth in the SEC Reports (other than as to the Fundamental Representations, which are not so qualified), the Company hereby represents and warrants to each of the Investors and the Placement Agents that the statements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true and correct as of the date of this Agreement and as of the Closing Date (except for the representations and warranties that speak as of a specific date, which shall be made as of such date).</w:t>
      </w:r>
    </w:p>
    <w:p>
      <w:pPr>
        <w:spacing w:after="0" w:line="180" w:lineRule="exact"/>
        <w:rPr>
          <w:sz w:val="20"/>
          <w:szCs w:val="20"/>
          <w:color w:val="auto"/>
        </w:rPr>
      </w:pPr>
    </w:p>
    <w:p>
      <w:pPr>
        <w:ind w:right="40" w:firstLine="1983"/>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Good Standing, Corporate Power and Qualification</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 As of the date hereof, the Company has the following subsidiaries: AVRIOBIO Inc., AVROBIO Australia Pty Ltd, AVROBIO Securities Corporation, Tectonic Therapeutic Pty Ltd., Tectonic Therapeutic Securities Corp. and Tectonic Operating Company, Inc.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Each of the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cause a Material Adverse Effect.</w:t>
      </w:r>
    </w:p>
    <w:p>
      <w:pPr>
        <w:spacing w:after="0" w:line="188" w:lineRule="exact"/>
        <w:rPr>
          <w:sz w:val="20"/>
          <w:szCs w:val="20"/>
          <w:color w:val="auto"/>
        </w:rPr>
      </w:pPr>
    </w:p>
    <w:p>
      <w:pPr>
        <w:ind w:firstLine="1983"/>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consists of 150,000,000 shares of Common Stock and 10,000,000 shares of Preferred Stock. The Company’s disclosure of its authorized, issued and outstanding capital stock in the most recent SEC Report containing such disclosure was accurate in all material respects as of the date indicated in such SEC Reports and the Company has not issued any capital stock since its most recently filed periodic report under the Exchange Act, other than pursuant to the exercise of employee stock options under the Company’s stock option plans.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The issuance and sale of the Securities hereunder will not obligate the Company or any Subsidiary to issue shares of Common Stock or other securities to any Person (other than the Investors). No further approval or authorization of any stockholder, the Board or others is required for the issuance and sale of the Securities. There are no securities or instruments issued by or to which the Company is a party containing anti-dilution or similar provisions that will be triggered by the issuance of the Securities pursuant to this Agreement.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 w:name="page11"/>
    <w:bookmarkEnd w:id="10"/>
    <w:p>
      <w:pPr>
        <w:ind w:right="240" w:firstLine="19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spacing w:after="0" w:line="180" w:lineRule="exact"/>
        <w:rPr>
          <w:sz w:val="20"/>
          <w:szCs w:val="20"/>
          <w:color w:val="auto"/>
        </w:rPr>
      </w:pPr>
    </w:p>
    <w:p>
      <w:pPr>
        <w:ind w:firstLine="1983"/>
        <w:spacing w:after="0" w:line="25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corporate action required to be taken by the Board and stockholders of the Company in order to authorize the Company to enter into this Agreement and to issue the Securities at the Closing has been taken or will be taken prior to the Closing. A committee of the Board comprised solely of independent directors who are not Investors or Affiliates of any Investor has approved the transactions contemplated by the Transaction Agreements. The execution and delivery of the Transaction Agreements and the consummation of the transactions contemplated by the Transaction Agreements by the Company have been duly authorized by all necessary corporate action on the part of the Company. All action on the part of the Board and officers of the Company necessary for the execution and delivery of the Transaction Agreements, the performance of all obligations of the Company under this Agreement to be performed as of the Closing, the issuance and delivery of the Securities has been taken or will be taken prior to the Closing. This Agreement, when executed and delivered by the Company, assuming the due authorization, execution and delivery by each Investor and that this Agreement constitutes the legal, valid and binding agreement of each applicable Investor, shall constitute a valid and legally binding obligation of the Company, enforceable against the Company in accordance with its terms except (i) as limited by applicable bankruptcy, insolvency, reorganization, moratorium, fraudulent conveyance, or other laws of general application relating to or affecting the enforcement of creditors’ rights generally, or (ii) as limited by laws relating to the availability of specific performance, injunctive relief, or other equitable remedies.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Any member of the Board who is an Investor or an Affiliate of an Investor abstained from all votes of the Board (or any committee of the Board) pricing and approving the transactions contemplated by the Transaction Agreements.</w:t>
      </w:r>
    </w:p>
    <w:p>
      <w:pPr>
        <w:spacing w:after="0" w:line="192" w:lineRule="exact"/>
        <w:rPr>
          <w:sz w:val="20"/>
          <w:szCs w:val="20"/>
          <w:color w:val="auto"/>
        </w:rPr>
      </w:pPr>
    </w:p>
    <w:p>
      <w:pPr>
        <w:ind w:right="120" w:firstLine="1983"/>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xml:space="preserve">. The Shares, when issued, sold and delivered to the Investors in accordance with the terms and for the consideration set forth in this Agreement, will be validly issued, fully paid and nonassessable and free of all encumbrances and restrictions on transfer (other than those as provided in the Transaction Agreements or restrictions on transfer under applicable state and federal securities laws). The holder of the Shares shall be entitled to all rights accorded to a holder of Common Stock. Subject to the accuracy of the representations and warranties made by the Investors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ind w:firstLine="198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3.6 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Agreements by the Company, the issuance and sale of the Securities and the consummation of the other transactions contemplated by the Transaction Agreements do not and will not (i) conflict with or violate any provision of the Amended and Restated Certificate of Incorporation or Amended and Restated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conflict with or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have or reasonably be expected to result in a Material Adverse Effect.</w:t>
      </w:r>
    </w:p>
    <w:p>
      <w:pPr>
        <w:spacing w:after="0" w:line="192" w:lineRule="exact"/>
        <w:rPr>
          <w:sz w:val="20"/>
          <w:szCs w:val="20"/>
          <w:color w:val="auto"/>
        </w:rPr>
      </w:pPr>
    </w:p>
    <w:p>
      <w:pPr>
        <w:ind w:firstLine="1983"/>
        <w:spacing w:after="0" w:line="253"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Assuming the accuracy of the representations and warranties of the Investors in Section 4,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Shares and the 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983"/>
        <w:spacing w:after="0" w:line="254" w:lineRule="auto"/>
        <w:rPr>
          <w:sz w:val="20"/>
          <w:szCs w:val="20"/>
          <w:color w:val="auto"/>
        </w:rPr>
      </w:pPr>
      <w:r>
        <w:rPr>
          <w:rFonts w:ascii="Times New Roman" w:cs="Times New Roman" w:eastAsia="Times New Roman" w:hAnsi="Times New Roman"/>
          <w:sz w:val="18"/>
          <w:szCs w:val="18"/>
          <w:color w:val="auto"/>
        </w:rPr>
        <w:t>(a)  The Company has filed or furnished, as applicable, all forms, statements, certifications, reports and documents required to be filed or furnished by it with the SEC under Section 13, 14(a) and 15(d) of the Exchange Act for the one year preceding the date of this Agreement. As of the time it was filed with the SEC (or, if amended or superseded by a filing prior to the date of this Agreement, then on the date of such filing), each of the SEC Reports complied in all material respects with the applicable requirements of the Exchange Act , and, as of the time they were filed or furnished, none of the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2" w:name="page13"/>
    <w:bookmarkEnd w:id="12"/>
    <w:p>
      <w:pPr>
        <w:ind w:left="4" w:firstLine="198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financial statements of the Company included in the SEC Reports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as of the dates indicated, and the results of its operations and cash flows for the periods therein specified, all in accordance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otherwise noted therein, and in the case of unaudited financial statements, as permitted by Form 10-Q of the SEC, and except that the unaudited financial statements may not contain footnotes and are subject to normal and recurring year-end adjustments) applied on a consistent basis throughout the periods therein specified (unless otherwise noted therein).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would not have had or would not reasonably be expected to result in a Material Adverse Effect.</w:t>
      </w:r>
    </w:p>
    <w:p>
      <w:pPr>
        <w:spacing w:after="0" w:line="186" w:lineRule="exact"/>
        <w:rPr>
          <w:sz w:val="20"/>
          <w:szCs w:val="20"/>
          <w:color w:val="auto"/>
        </w:rPr>
      </w:pPr>
    </w:p>
    <w:p>
      <w:pPr>
        <w:ind w:left="4" w:right="140" w:firstLine="1983"/>
        <w:spacing w:after="0" w:line="270"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Absence of Changes</w:t>
      </w:r>
      <w:r>
        <w:rPr>
          <w:rFonts w:ascii="Times New Roman" w:cs="Times New Roman" w:eastAsia="Times New Roman" w:hAnsi="Times New Roman"/>
          <w:sz w:val="17"/>
          <w:szCs w:val="17"/>
          <w:color w:val="auto"/>
        </w:rPr>
        <w:t>. Since September 30, 2024, (a) the Company has conducted its business only in the ordinary course of business and there have been no material transactions entered into by the Company (except for the execution and performance of this Agreement and the discussions, negotiations and transactions related thereto); (b) no material change to any material contract or arrangement by which the Company is bound or to which any of its assets or properties is subject has been entered into that has not been disclosed in the SEC Reports; and</w:t>
      </w:r>
    </w:p>
    <w:p>
      <w:pPr>
        <w:spacing w:after="0" w:line="3" w:lineRule="exact"/>
        <w:rPr>
          <w:sz w:val="20"/>
          <w:szCs w:val="20"/>
          <w:color w:val="auto"/>
        </w:rPr>
      </w:pPr>
    </w:p>
    <w:p>
      <w:pPr>
        <w:ind w:left="4" w:right="40" w:hanging="4"/>
        <w:spacing w:after="0" w:line="255"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4" w:right="280" w:firstLine="1983"/>
        <w:spacing w:after="0" w:line="266" w:lineRule="auto"/>
        <w:rPr>
          <w:sz w:val="20"/>
          <w:szCs w:val="20"/>
          <w:color w:val="auto"/>
        </w:rPr>
      </w:pPr>
      <w:r>
        <w:rPr>
          <w:rFonts w:ascii="Times New Roman" w:cs="Times New Roman" w:eastAsia="Times New Roman" w:hAnsi="Times New Roman"/>
          <w:sz w:val="18"/>
          <w:szCs w:val="18"/>
          <w:color w:val="auto"/>
        </w:rPr>
        <w:t>(a)  any change generally affecting the economy, financial markets or political, economic or regulatory conditions in the United States or any other geographic region in which the Company conducts business, provided that the Company is not disproportionately affected thereby;</w:t>
      </w:r>
    </w:p>
    <w:p>
      <w:pPr>
        <w:spacing w:after="0" w:line="176" w:lineRule="exact"/>
        <w:rPr>
          <w:sz w:val="20"/>
          <w:szCs w:val="20"/>
          <w:color w:val="auto"/>
        </w:rPr>
      </w:pPr>
    </w:p>
    <w:p>
      <w:pPr>
        <w:ind w:left="4" w:right="80" w:firstLine="1983"/>
        <w:spacing w:after="0" w:line="282" w:lineRule="auto"/>
        <w:rPr>
          <w:sz w:val="20"/>
          <w:szCs w:val="20"/>
          <w:color w:val="auto"/>
        </w:rPr>
      </w:pPr>
      <w:r>
        <w:rPr>
          <w:rFonts w:ascii="Times New Roman" w:cs="Times New Roman" w:eastAsia="Times New Roman" w:hAnsi="Times New Roman"/>
          <w:sz w:val="18"/>
          <w:szCs w:val="18"/>
          <w:color w:val="auto"/>
        </w:rPr>
        <w:t>(b)  general financial, credit or capital market conditions, including interest rates or exchange rates, or any changes therein, provided that the Company is not disproportionately affected thereby;</w:t>
      </w:r>
    </w:p>
    <w:p>
      <w:pPr>
        <w:spacing w:after="0" w:line="162" w:lineRule="exact"/>
        <w:rPr>
          <w:sz w:val="20"/>
          <w:szCs w:val="20"/>
          <w:color w:val="auto"/>
        </w:rPr>
      </w:pPr>
    </w:p>
    <w:p>
      <w:pPr>
        <w:ind w:left="4" w:right="100" w:firstLine="1983"/>
        <w:spacing w:after="0" w:line="282" w:lineRule="auto"/>
        <w:rPr>
          <w:sz w:val="20"/>
          <w:szCs w:val="20"/>
          <w:color w:val="auto"/>
        </w:rPr>
      </w:pPr>
      <w:r>
        <w:rPr>
          <w:rFonts w:ascii="Times New Roman" w:cs="Times New Roman" w:eastAsia="Times New Roman" w:hAnsi="Times New Roman"/>
          <w:sz w:val="18"/>
          <w:szCs w:val="18"/>
          <w:color w:val="auto"/>
        </w:rPr>
        <w:t>(c)  any change that generally affects industries in which the Company and its Subsidiaries conduct business, provided that the Company is not disproportionately affected thereby;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13" w:name="page14"/>
    <w:bookmarkEnd w:id="13"/>
    <w:p>
      <w:pPr>
        <w:ind w:right="200" w:firstLine="198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is not disproportionately affected thereby;</w:t>
      </w:r>
    </w:p>
    <w:p>
      <w:pPr>
        <w:spacing w:after="0" w:line="176" w:lineRule="exact"/>
        <w:rPr>
          <w:sz w:val="20"/>
          <w:szCs w:val="20"/>
          <w:color w:val="auto"/>
        </w:rPr>
      </w:pPr>
    </w:p>
    <w:p>
      <w:pPr>
        <w:jc w:val="both"/>
        <w:ind w:right="280" w:firstLine="1983"/>
        <w:spacing w:after="0" w:line="266" w:lineRule="auto"/>
        <w:rPr>
          <w:sz w:val="20"/>
          <w:szCs w:val="20"/>
          <w:color w:val="auto"/>
        </w:rPr>
      </w:pPr>
      <w:r>
        <w:rPr>
          <w:rFonts w:ascii="Times New Roman" w:cs="Times New Roman" w:eastAsia="Times New Roman" w:hAnsi="Times New Roman"/>
          <w:sz w:val="18"/>
          <w:szCs w:val="18"/>
          <w:color w:val="auto"/>
        </w:rPr>
        <w:t>(e)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w:t>
      </w:r>
    </w:p>
    <w:p>
      <w:pPr>
        <w:spacing w:after="0" w:line="17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   material changes in laws after the date of this Agreement; and</w:t>
      </w:r>
    </w:p>
    <w:p>
      <w:pPr>
        <w:spacing w:after="0" w:line="225" w:lineRule="exact"/>
        <w:rPr>
          <w:sz w:val="20"/>
          <w:szCs w:val="20"/>
          <w:color w:val="auto"/>
        </w:rPr>
      </w:pPr>
    </w:p>
    <w:p>
      <w:pPr>
        <w:ind w:right="6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(g)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(a)-(e)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w:t>
      </w:r>
    </w:p>
    <w:p>
      <w:pPr>
        <w:spacing w:after="0" w:line="183" w:lineRule="exact"/>
        <w:rPr>
          <w:sz w:val="20"/>
          <w:szCs w:val="20"/>
          <w:color w:val="auto"/>
        </w:rPr>
      </w:pPr>
    </w:p>
    <w:p>
      <w:pPr>
        <w:ind w:firstLine="1983"/>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8"/>
          <w:szCs w:val="18"/>
          <w:b w:val="1"/>
          <w:bCs w:val="1"/>
          <w:color w:val="auto"/>
        </w:rPr>
        <w:t>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from such federal, state or local government or governmental agency, department or body that are currently necessary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94" w:lineRule="exact"/>
        <w:rPr>
          <w:sz w:val="20"/>
          <w:szCs w:val="20"/>
          <w:color w:val="auto"/>
        </w:rPr>
      </w:pPr>
    </w:p>
    <w:p>
      <w:pPr>
        <w:ind w:right="360" w:firstLine="1983"/>
        <w:spacing w:after="0" w:line="312"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The Company and its Subsidiaries own, or have rights to use, all material inventions, patent applications, patents, trademarks, trade names, service names, service marks, copyrights, trade secrets, know how (including unpatented and/or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unpatentable proprietary of confidential information, systems or procedures) and other intellectual property as described in the SEC Reports necessary for, or used in the conduct of their respective businesses (including as described in the SEC Reports)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spacing w:after="0" w:line="195" w:lineRule="exact"/>
        <w:rPr>
          <w:sz w:val="20"/>
          <w:szCs w:val="20"/>
          <w:color w:val="auto"/>
        </w:rPr>
      </w:pPr>
    </w:p>
    <w:p>
      <w:pPr>
        <w:ind w:right="40" w:firstLine="1983"/>
        <w:spacing w:after="0" w:line="273" w:lineRule="auto"/>
        <w:rPr>
          <w:sz w:val="20"/>
          <w:szCs w:val="20"/>
          <w:color w:val="auto"/>
        </w:rPr>
      </w:pPr>
      <w:r>
        <w:rPr>
          <w:rFonts w:ascii="Times New Roman" w:cs="Times New Roman" w:eastAsia="Times New Roman" w:hAnsi="Times New Roman"/>
          <w:sz w:val="17"/>
          <w:szCs w:val="17"/>
          <w:color w:val="auto"/>
        </w:rPr>
        <w:t xml:space="preserve">3.13  </w:t>
      </w: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171" w:lineRule="exact"/>
        <w:rPr>
          <w:sz w:val="20"/>
          <w:szCs w:val="20"/>
          <w:color w:val="auto"/>
        </w:rPr>
      </w:pPr>
    </w:p>
    <w:p>
      <w:pPr>
        <w:ind w:right="100" w:firstLine="1983"/>
        <w:spacing w:after="0" w:line="255"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There are no federal, state, county, local or foreign taxes due and payable by the Company that have not been timely paid. There are no accrued and unpaid federal, state, county, local or foreign taxes of the Company that are due, whether or not assessed or disputed. There have been no examinations or audits of any Tax Returns or reports by any applicable federal, state, local or foreign governmental agency. The Company has duly and timely filed all federal, state, county, local and foreign Tax Returns required to have been filed by it and there are in effect no waivers of applicable statutes of limitations with respect to taxes for any year.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5" w:name="page16"/>
    <w:bookmarkEnd w:id="15"/>
    <w:p>
      <w:pPr>
        <w:ind w:left="1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3.15 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could not reasonably be expected to have a Material Adverse Effect to the best of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(a) the Company is and has been in compliance with all Environmental Laws; (b) there has been no release or to the Company’s knowledge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threatened release of any pollutant, contaminant or toxic or hazardous material, substance or waste or petroleum or any fraction thereof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on, upon, into or from any site currently or heretofore owned, leased or otherwise used by the Company; (c) there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Hazardous Substances generated by the Company that have been disposed of or come to rest at any site that has been included in any published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state or local “superfund” site list or any other similar list of hazardous or toxic waste sites published by any governmental authority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and (d) there are no underground storage tanks located on, no polychlorinated biphenyls (“</w:t>
      </w:r>
      <w:r>
        <w:rPr>
          <w:rFonts w:ascii="Times New Roman" w:cs="Times New Roman" w:eastAsia="Times New Roman" w:hAnsi="Times New Roman"/>
          <w:sz w:val="18"/>
          <w:szCs w:val="18"/>
          <w:b w:val="1"/>
          <w:bCs w:val="1"/>
          <w:color w:val="auto"/>
        </w:rPr>
        <w:t>PCBs</w:t>
      </w:r>
      <w:r>
        <w:rPr>
          <w:rFonts w:ascii="Times New Roman" w:cs="Times New Roman" w:eastAsia="Times New Roman" w:hAnsi="Times New Roman"/>
          <w:sz w:val="18"/>
          <w:szCs w:val="18"/>
          <w:color w:val="auto"/>
        </w:rPr>
        <w:t>”) or PCB-containing equipment used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stored on, and no hazardous waste as defined by the Resource Conservation and Recovery Act, as amended, stored on, any site owned or operated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except for the storage of hazardous waste in compliance with Environmental Laws. The Company has made available to the Investors true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complete copies of all material environmental records, reports, notifications, certificates of need, permits, pending permit applications,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correspondence, engineering studies and environmental studies or assessments. None of the Company nor any of its subsidiaries has received since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any written notice or other communication (in writing or otherwise), whether from a governmental authority or other Person,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alleges that the Company or any subsidiary is not in compliance with any Environmental Law and, to the knowledge of the Company, there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circumstances that may prevent or interfere with the Company’s or any subsidiary’s compliance in any material respects with any Environmental Law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except where such failure to comply would not reasonably be expected to have a Material Adverse Effect.</w:t>
      </w:r>
    </w:p>
    <w:p>
      <w:pPr>
        <w:spacing w:after="0" w:line="207" w:lineRule="exact"/>
        <w:rPr>
          <w:sz w:val="20"/>
          <w:szCs w:val="20"/>
          <w:color w:val="auto"/>
        </w:rPr>
      </w:pPr>
    </w:p>
    <w:p>
      <w:pPr>
        <w:ind w:firstLine="1983"/>
        <w:spacing w:after="0" w:line="256"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and its Subsidiaries do not own any real property.</w:t>
      </w:r>
    </w:p>
    <w:p>
      <w:pPr>
        <w:spacing w:after="0" w:line="187" w:lineRule="exact"/>
        <w:rPr>
          <w:sz w:val="20"/>
          <w:szCs w:val="20"/>
          <w:color w:val="auto"/>
        </w:rPr>
      </w:pPr>
    </w:p>
    <w:p>
      <w:pPr>
        <w:ind w:right="140" w:firstLine="1983"/>
        <w:spacing w:after="0" w:line="256"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has in full force and effect insurance policies concerning such casualties as would be reasonable and customary for companies like the Company, with extended coverage, and the Company reasonably believes such insurance coverage to be adequate against all liabilities, claims and risks against which it is customary for comparably situated companies to insure. Other than customary end-of-policy notifications from insurance carriers, since September 30, 2024,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ind w:right="80" w:firstLine="1983"/>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3.18  </w:t>
      </w:r>
      <w:r>
        <w:rPr>
          <w:rFonts w:ascii="Times New Roman" w:cs="Times New Roman" w:eastAsia="Times New Roman" w:hAnsi="Times New Roman"/>
          <w:sz w:val="17"/>
          <w:szCs w:val="17"/>
          <w:u w:val="single" w:color="auto"/>
          <w:color w:val="auto"/>
        </w:rPr>
        <w:t>Nasdaq Stock Market</w:t>
      </w:r>
      <w:r>
        <w:rPr>
          <w:rFonts w:ascii="Times New Roman" w:cs="Times New Roman" w:eastAsia="Times New Roman" w:hAnsi="Times New Roman"/>
          <w:sz w:val="17"/>
          <w:szCs w:val="17"/>
          <w:color w:val="auto"/>
        </w:rPr>
        <w:t>. The issued and outstanding shares of Common Stock are registered pursuant to Section 12(b) of the Exchange Act and are listed for trading on the Nasdaq Global Market under the symbol “TECX”. The Company is in compliance with all listing requirements of Nasdaq applicable to the Company. There is no suit, action, proceeding or investigation pending or, to the knowledge of the Company, threatened against the Company by Nasdaq or the SEC, respectively, to prohibit or terminate the listing of the Common Stock on the Nasdaq Global Market or to deregister the Common Stock under the Exchange Act. The Company has taken no action that is designed to terminate the registration of the Common Stock under the Exchange Act. The issuance and sale of the Securities hereunder does not contravene the rules and regulations of Nasdaq.</w:t>
      </w:r>
    </w:p>
    <w:p>
      <w:pPr>
        <w:spacing w:after="0" w:line="173" w:lineRule="exact"/>
        <w:rPr>
          <w:sz w:val="20"/>
          <w:szCs w:val="20"/>
          <w:color w:val="auto"/>
        </w:rPr>
      </w:pPr>
    </w:p>
    <w:p>
      <w:pPr>
        <w:ind w:right="18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is, and since June 20, 2024 has been, in compliance in all material respects with all applicable requirements of the Sarbanes-Oxley Act of 2002 and applicable rules and regulations promulgated by the SEC thereunder</w:t>
      </w:r>
      <w:r>
        <w:rPr>
          <w:rFonts w:ascii="Times New Roman" w:cs="Times New Roman" w:eastAsia="Times New Roman" w:hAnsi="Times New Roman"/>
          <w:sz w:val="18"/>
          <w:szCs w:val="18"/>
          <w:u w:val="single" w:color="auto"/>
          <w:color w:val="auto"/>
        </w:rPr>
        <w:t>.</w:t>
      </w:r>
    </w:p>
    <w:p>
      <w:pPr>
        <w:spacing w:after="0" w:line="16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 xml:space="preserve">3.20   </w:t>
      </w:r>
      <w:r>
        <w:rPr>
          <w:rFonts w:ascii="Times New Roman" w:cs="Times New Roman" w:eastAsia="Times New Roman" w:hAnsi="Times New Roman"/>
          <w:sz w:val="17"/>
          <w:szCs w:val="17"/>
          <w:u w:val="single" w:color="auto"/>
          <w:color w:val="auto"/>
        </w:rPr>
        <w:t>Clinical Data and Regulatory Compliance</w:t>
      </w:r>
      <w:r>
        <w:rPr>
          <w:rFonts w:ascii="Times New Roman" w:cs="Times New Roman" w:eastAsia="Times New Roman" w:hAnsi="Times New Roman"/>
          <w:sz w:val="17"/>
          <w:szCs w:val="17"/>
          <w:color w:val="auto"/>
        </w:rPr>
        <w:t>. Except as would not reasonably be expected to result in a Material Adverse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(i) the preclinical tests and clinical trials and other studies used to support regulatory approval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being conducted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that are described in, or the results of which are referred to in, the SEC Reports were (and, if still pending, are being) conducted in all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in accordance with the protocols, procedures and controls designed and approved for such Studies and with standard medical and scientific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procedures; (ii) each description of the results of such Studies is accurate and complete in all material respects and fairly presents the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derived from such Studies, and the Company and its subsidiaries have no knowledge of any other studies the results of which are inconsistent with,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call into question, the results described or referred to in the SEC Reports; (iii) the Company and its subsidiaries have made all such filings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obtained all such approvals as may be required by the FDA or from any other U.S. federal, state or local government or foreign government or Drug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Agency, or Institutional Review Board, each having jurisdiction over biopharmaceutical products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conduct of its business as described in the SEC Reports; (iv) neither the Company nor any of its subsidiaries has received any notice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correspondence from, any of the Regulatory Agencies requiring the termination or suspension of or imposing any clinical hold on any clinical trials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described or referred to in the SEC Reports; and (v) the Company and its subsidiaries have each operated and currently are in compliance in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respects with all applicable rules, regulations and policies of the Regulatory Agencies.</w:t>
      </w:r>
    </w:p>
    <w:p>
      <w:pPr>
        <w:spacing w:after="0" w:line="207" w:lineRule="exact"/>
        <w:rPr>
          <w:sz w:val="20"/>
          <w:szCs w:val="20"/>
          <w:color w:val="auto"/>
        </w:rPr>
      </w:pPr>
    </w:p>
    <w:p>
      <w:pPr>
        <w:ind w:right="20" w:firstLine="1983"/>
        <w:spacing w:after="0" w:line="254"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Except as would not reasonably be expected to result in a Material Adverse Effect, the Company and its subsidiaries are in compliance with all Health Care Laws to the extent applicable to the Company’s current business.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(i) the Federal Food, Drug, and Cosmetic Act (21U.S.C.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Clinical Trials Regulation (Regulation (EU) No.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healthcare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193" w:lineRule="exact"/>
        <w:rPr>
          <w:sz w:val="20"/>
          <w:szCs w:val="20"/>
          <w:color w:val="auto"/>
        </w:rPr>
      </w:pPr>
    </w:p>
    <w:p>
      <w:pPr>
        <w:ind w:left="4" w:right="20" w:firstLine="1983"/>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Accounting Controls and Disclosure Controls and Procedures</w:t>
      </w:r>
      <w:r>
        <w:rPr>
          <w:rFonts w:ascii="Times New Roman" w:cs="Times New Roman" w:eastAsia="Times New Roman" w:hAnsi="Times New Roman"/>
          <w:sz w:val="18"/>
          <w:szCs w:val="18"/>
          <w:color w:val="auto"/>
        </w:rPr>
        <w:t>.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and</w:t>
      </w:r>
    </w:p>
    <w:p>
      <w:pPr>
        <w:spacing w:after="0" w:line="5" w:lineRule="exact"/>
        <w:rPr>
          <w:sz w:val="20"/>
          <w:szCs w:val="20"/>
          <w:color w:val="auto"/>
        </w:rPr>
      </w:pPr>
    </w:p>
    <w:p>
      <w:pPr>
        <w:ind w:left="4" w:right="20" w:hanging="4"/>
        <w:spacing w:after="0" w:line="252"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70" w:right="439" w:bottom="1440" w:gutter="0" w:footer="0" w:header="0"/>
        </w:sectPr>
      </w:pPr>
    </w:p>
    <w:bookmarkStart w:id="18" w:name="page19"/>
    <w:bookmarkEnd w:id="18"/>
    <w:p>
      <w:pPr>
        <w:jc w:val="both"/>
        <w:ind w:left="4" w:right="20" w:firstLine="198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3.23  </w:t>
      </w:r>
      <w:r>
        <w:rPr>
          <w:rFonts w:ascii="Times New Roman" w:cs="Times New Roman" w:eastAsia="Times New Roman" w:hAnsi="Times New Roman"/>
          <w:sz w:val="18"/>
          <w:szCs w:val="18"/>
          <w:u w:val="single" w:color="auto"/>
          <w:color w:val="auto"/>
        </w:rPr>
        <w:t>Price Stabilization of Common Stock</w:t>
      </w:r>
      <w:r>
        <w:rPr>
          <w:rFonts w:ascii="Times New Roman" w:cs="Times New Roman" w:eastAsia="Times New Roman" w:hAnsi="Times New Roman"/>
          <w:sz w:val="18"/>
          <w:szCs w:val="18"/>
          <w:color w:val="auto"/>
        </w:rPr>
        <w:t>. The Company has not taken, nor will it take, and, to the Company’s knowledge, no Person acting on its behalf has taken or intends to take, directly or indirectly, any action designed to stabilize or manipulate the price of the Common Stock to facilitate the sale or resale of the Shares.</w:t>
      </w:r>
    </w:p>
    <w:p>
      <w:pPr>
        <w:spacing w:after="0" w:line="176" w:lineRule="exact"/>
        <w:rPr>
          <w:sz w:val="20"/>
          <w:szCs w:val="20"/>
          <w:color w:val="auto"/>
        </w:rPr>
      </w:pPr>
    </w:p>
    <w:p>
      <w:pPr>
        <w:ind w:left="4" w:right="4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U.S. Investment Company Act of 1940, as amended.</w:t>
      </w:r>
    </w:p>
    <w:p>
      <w:pPr>
        <w:spacing w:after="0" w:line="162" w:lineRule="exact"/>
        <w:rPr>
          <w:sz w:val="20"/>
          <w:szCs w:val="20"/>
          <w:color w:val="auto"/>
        </w:rPr>
      </w:pPr>
    </w:p>
    <w:p>
      <w:pPr>
        <w:jc w:val="both"/>
        <w:ind w:left="4" w:right="200" w:firstLine="1983"/>
        <w:spacing w:after="0" w:line="270" w:lineRule="auto"/>
        <w:rPr>
          <w:sz w:val="20"/>
          <w:szCs w:val="20"/>
          <w:color w:val="auto"/>
        </w:rPr>
      </w:pPr>
      <w:r>
        <w:rPr>
          <w:rFonts w:ascii="Times New Roman" w:cs="Times New Roman" w:eastAsia="Times New Roman" w:hAnsi="Times New Roman"/>
          <w:sz w:val="17"/>
          <w:szCs w:val="17"/>
          <w:color w:val="auto"/>
        </w:rPr>
        <w:t xml:space="preserve">3.25  </w:t>
      </w:r>
      <w:r>
        <w:rPr>
          <w:rFonts w:ascii="Times New Roman" w:cs="Times New Roman" w:eastAsia="Times New Roman" w:hAnsi="Times New Roman"/>
          <w:sz w:val="17"/>
          <w:szCs w:val="17"/>
          <w:u w:val="single" w:color="auto"/>
          <w:color w:val="auto"/>
        </w:rPr>
        <w:t>General Solicitation; No Integration or Aggregation</w:t>
      </w:r>
      <w:r>
        <w:rPr>
          <w:rFonts w:ascii="Times New Roman" w:cs="Times New Roman" w:eastAsia="Times New Roman" w:hAnsi="Times New Roman"/>
          <w:sz w:val="17"/>
          <w:szCs w:val="17"/>
          <w:color w:val="auto"/>
        </w:rPr>
        <w:t>.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w:t>
      </w:r>
    </w:p>
    <w:p>
      <w:pPr>
        <w:spacing w:after="0" w:line="3" w:lineRule="exact"/>
        <w:rPr>
          <w:sz w:val="20"/>
          <w:szCs w:val="20"/>
          <w:color w:val="auto"/>
        </w:rPr>
      </w:pPr>
    </w:p>
    <w:p>
      <w:pPr>
        <w:ind w:left="4" w:right="60" w:hanging="4"/>
        <w:spacing w:after="0" w:line="252"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with the Securities sold pursuant to this Agreement for purposes of the Securities Act or (ii) aggregated with prior offerings by the Company for the purposes of the rules and regulations of the Nasdaq Global Market.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w:t>
      </w:r>
    </w:p>
    <w:p>
      <w:pPr>
        <w:spacing w:after="0" w:line="190" w:lineRule="exact"/>
        <w:rPr>
          <w:sz w:val="20"/>
          <w:szCs w:val="20"/>
          <w:color w:val="auto"/>
        </w:rPr>
      </w:pPr>
    </w:p>
    <w:p>
      <w:pPr>
        <w:jc w:val="both"/>
        <w:ind w:left="4" w:right="14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Other than the Placement Agents, neither the Company nor any other Person authorized by the Company to act on its behalf has retained, utilized or been represented by any broker or finder in connection with the transactions contemplated by this Agreement.</w:t>
      </w:r>
    </w:p>
    <w:p>
      <w:pPr>
        <w:spacing w:after="0" w:line="176" w:lineRule="exact"/>
        <w:rPr>
          <w:sz w:val="20"/>
          <w:szCs w:val="20"/>
          <w:color w:val="auto"/>
        </w:rPr>
      </w:pPr>
    </w:p>
    <w:p>
      <w:pPr>
        <w:ind w:left="4" w:right="4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Reliance by the Investors</w:t>
      </w:r>
      <w:r>
        <w:rPr>
          <w:rFonts w:ascii="Times New Roman" w:cs="Times New Roman" w:eastAsia="Times New Roman" w:hAnsi="Times New Roman"/>
          <w:sz w:val="18"/>
          <w:szCs w:val="18"/>
          <w:color w:val="auto"/>
        </w:rPr>
        <w:t xml:space="preserve">. The Company has a reasonable basis for making each of the representations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76" w:lineRule="exact"/>
        <w:rPr>
          <w:sz w:val="20"/>
          <w:szCs w:val="20"/>
          <w:color w:val="auto"/>
        </w:rPr>
      </w:pPr>
    </w:p>
    <w:p>
      <w:pPr>
        <w:ind w:left="4" w:firstLine="1983"/>
        <w:spacing w:after="0" w:line="256"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Neither the Company nor any of its (i) predecessors, (ii) Affiliates, (iii) directors, (iv) executive officers, (v) non-executive officers participating in the placement contemplated by this Agreement, (vi) beneficial owners of 20% or more of its outstanding voting equity securities (calculated on the basis of voting power), (vii) promoters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managing members’ directors, executive officers or officers participating in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70" w:right="439" w:bottom="1440" w:gutter="0" w:footer="0" w:header="0"/>
        </w:sectPr>
      </w:pPr>
    </w:p>
    <w:bookmarkStart w:id="19" w:name="page20"/>
    <w:bookmarkEnd w:id="19"/>
    <w:p>
      <w:pPr>
        <w:ind w:right="68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placement contemplated by this Agreement)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the disqualification provisions of Rule 506(d)(1)(i-viii) of Regulation D under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4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Agents, the Company is not aware of any person (other than any Issuer Covered Person) that has been or will be paid (directly or indirectly) remuneration for solicitation of purchasers in connection with the sale of any Securities.</w:t>
      </w:r>
    </w:p>
    <w:p>
      <w:pPr>
        <w:spacing w:after="0" w:line="176" w:lineRule="exact"/>
        <w:rPr>
          <w:sz w:val="20"/>
          <w:szCs w:val="20"/>
          <w:color w:val="auto"/>
        </w:rPr>
      </w:pPr>
    </w:p>
    <w:p>
      <w:pPr>
        <w:jc w:val="both"/>
        <w:ind w:right="2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There are no agreements or understandings between the Company and any Investor with respect to the transactions contemplated by the Transaction Agreements other than (i) as specified in the Transaction Agreements and (ii) any side letter agreements with any of the Investors, which side letters the Company has shared with all Investors and which, for the avoidance of doubt, do not contain terms (economic or otherwise) more favorable to such Investor.</w:t>
      </w:r>
    </w:p>
    <w:p>
      <w:pPr>
        <w:spacing w:after="0" w:line="180" w:lineRule="exact"/>
        <w:rPr>
          <w:sz w:val="20"/>
          <w:szCs w:val="20"/>
          <w:color w:val="auto"/>
        </w:rPr>
      </w:pPr>
    </w:p>
    <w:p>
      <w:pPr>
        <w:ind w:firstLine="1983"/>
        <w:spacing w:after="0" w:line="252"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Neither the Company, any of its Subsidiaries nor any of its or their respective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Company or any of its affiliates in obtaining or retaining business for or with, or directing business to, any person. Neither the Company, any of its Subsidiaries nor any of their respective directors, officers, employees or agents have made or authorized any bribe, rebate, payoff, influence payment, kickback or other unlawful payment of funds or received or retained any funds in violation of any law, rule or regulation. The Company further represents that it has maintained, and has caused each of its Subsidiaries and affiliates to maintain, systems of internal controls (including, but not limited to, accounting systems, purchasing systems and billing systems) and written policies to ensure compliance with the FCPA or any other applicable anti-bribery or anti-corruption law, and to ensure that all books and records of the Company accurately and fairly reflect, in reasonable detail, all transactions and dispositions of funds and assets. Neither the Company, any Subsidiary nor, to the Company’s knowledge, any of their respective officers, directors or employees are the subject of any allegation, voluntary disclosure, investigation, prosecution or other enforcement action related to the FCPA or any other anti-corruption law.</w:t>
      </w:r>
    </w:p>
    <w:p>
      <w:pPr>
        <w:spacing w:after="0" w:line="196" w:lineRule="exact"/>
        <w:rPr>
          <w:sz w:val="20"/>
          <w:szCs w:val="20"/>
          <w:color w:val="auto"/>
        </w:rPr>
      </w:pPr>
    </w:p>
    <w:p>
      <w:pPr>
        <w:ind w:right="140" w:firstLine="1983"/>
        <w:spacing w:after="0" w:line="256"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claim, action, suit, proceeding (including, without limitation, an informal investigation or partial proceeding, such as a deposition), arbitration, complaint, charge or investigation by or before any court or governmental agency, authority or body or any arbitrator involving the Company or any Subsidiary with respect to the Money Laundering Laws is pending or, to the knowledge of the Company or any Subsidiary, threatened.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20" w:name="page21"/>
    <w:bookmarkEnd w:id="20"/>
    <w:p>
      <w:pPr>
        <w:ind w:firstLine="198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3.33 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In connection with its collection, storage, transfer, use and/or disclosure of any information from any identifiable individuals including, without limitation, all information that constitutes “personal information,” “personal data” or “personally identifiable information” as defined in applicable laws (collectively “</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by or on behalf of the Company, the Company is and has been, in compliance with all applicable laws in all relevant jurisdictions, the Company’s privacy policies, and the requirements of any contract to which the Company is a party and with all industry standards to which the Company is bound or to which the Company has represented itself to comply (collectively, “</w:t>
      </w:r>
      <w:r>
        <w:rPr>
          <w:rFonts w:ascii="Times New Roman" w:cs="Times New Roman" w:eastAsia="Times New Roman" w:hAnsi="Times New Roman"/>
          <w:sz w:val="18"/>
          <w:szCs w:val="18"/>
          <w:b w:val="1"/>
          <w:bCs w:val="1"/>
          <w:color w:val="auto"/>
        </w:rPr>
        <w:t>Privacy Requirements</w:t>
      </w:r>
      <w:r>
        <w:rPr>
          <w:rFonts w:ascii="Times New Roman" w:cs="Times New Roman" w:eastAsia="Times New Roman" w:hAnsi="Times New Roman"/>
          <w:sz w:val="18"/>
          <w:szCs w:val="18"/>
          <w:color w:val="auto"/>
        </w:rPr>
        <w:t>”) except as would not reasonably be expected to result in a Material Adverse Effect. The Company has implemented, maintains and has maintained reasonable physical, technical, and administrative security measures and policies designed to maintain and protect all Personal Information collected, stored, transferred, used, maintained or controlled by or on behalf of the Company from and against unlawful or unauthorized access, destruction, loss, use, modification and/or disclosure, and the integrity, availability continuous operation, redundancy and security of all of the Company’s information technology assets and equipment, computers, systems, networks, hardware, software, websites, applications, and databases. Except as would not reasonably be expected to result in a Material Adverse Effect, the Company is and has been, in compliance with all laws relating to data loss, theft and breach of security notification obligations. The Company has not transferred or sold the Personal Information to any third party and there are no outstanding agreements or arrangements that the Company is bound by, with any third party, for the sale, transfer, access, license, encumbrance or creation of any right over the Personal Information. There has been no occurrence of unlawful, accidental or unauthorized destruction, loss, use, modification or disclosure of or access to Personal Information owned, stored, used, maintained or controlled by or on behalf of the Company such that Privacy Requirements or any unauthorized access to or disclosure of the Company’s confidential information or trade secrets that reasonably would be expected to result in a Material Adverse Effect.</w:t>
      </w:r>
    </w:p>
    <w:p>
      <w:pPr>
        <w:spacing w:after="0" w:line="193" w:lineRule="exact"/>
        <w:rPr>
          <w:sz w:val="20"/>
          <w:szCs w:val="20"/>
          <w:color w:val="auto"/>
        </w:rPr>
      </w:pPr>
    </w:p>
    <w:p>
      <w:pPr>
        <w:ind w:right="32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 relationship, direct or indirect, exists between or among the Company, on the one hand, and the directors, officers, stockholders, customers or suppliers of the Company, on the other hand, that is required to be described in the SEC Reports that is not so described.</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Each Investor</w:t>
      </w:r>
      <w:r>
        <w:rPr>
          <w:rFonts w:ascii="Times New Roman" w:cs="Times New Roman" w:eastAsia="Times New Roman" w:hAnsi="Times New Roman"/>
          <w:sz w:val="18"/>
          <w:szCs w:val="18"/>
          <w:color w:val="auto"/>
        </w:rPr>
        <w:t xml:space="preserve">. Each Investor, severally for itself and not jointly with any other Investor, represents and warrants to the Company and the Placement Agents that the statements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true and correct as of the date of this Agreement and the Closing Date:</w:t>
      </w:r>
    </w:p>
    <w:p>
      <w:pPr>
        <w:spacing w:after="0" w:line="176" w:lineRule="exact"/>
        <w:rPr>
          <w:sz w:val="20"/>
          <w:szCs w:val="20"/>
          <w:color w:val="auto"/>
        </w:rPr>
      </w:pPr>
    </w:p>
    <w:p>
      <w:pPr>
        <w:ind w:firstLine="1983"/>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Investor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62" w:lineRule="exact"/>
        <w:rPr>
          <w:sz w:val="20"/>
          <w:szCs w:val="20"/>
          <w:color w:val="auto"/>
        </w:rPr>
      </w:pPr>
    </w:p>
    <w:p>
      <w:pPr>
        <w:ind w:right="10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Investor has all requisite corporate or similar power and authority to enter into this Agreement and the other Transaction Agreements to which it will be a party and to carry out and perform its obligations hereunder and thereunder. All corporate,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92" w:lineRule="exact"/>
        <w:rPr>
          <w:sz w:val="20"/>
          <w:szCs w:val="20"/>
          <w:color w:val="auto"/>
        </w:rPr>
      </w:pPr>
    </w:p>
    <w:p>
      <w:pPr>
        <w:ind w:right="80" w:firstLine="1983"/>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the Investor to perform its obligations under the Transaction Agreements.</w:t>
      </w:r>
    </w:p>
    <w:p>
      <w:pPr>
        <w:spacing w:after="0" w:line="188" w:lineRule="exact"/>
        <w:rPr>
          <w:sz w:val="20"/>
          <w:szCs w:val="20"/>
          <w:color w:val="auto"/>
        </w:rPr>
      </w:pPr>
    </w:p>
    <w:p>
      <w:pPr>
        <w:jc w:val="both"/>
        <w:ind w:right="28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The Investor’s residence (if an individual) or offices in which its investment decision with respect to the Securities was made (if an entity) are located at the address immediately below the Investor’s name on its respective signature page hereto, except as otherwise communicated by the Investor to the Company.</w:t>
      </w:r>
    </w:p>
    <w:p>
      <w:pPr>
        <w:spacing w:after="0" w:line="176" w:lineRule="exact"/>
        <w:rPr>
          <w:sz w:val="20"/>
          <w:szCs w:val="20"/>
          <w:color w:val="auto"/>
        </w:rPr>
      </w:pPr>
    </w:p>
    <w:p>
      <w:pPr>
        <w:ind w:right="16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The Investor has not retained, utilized or been represented by any broker or finder in connection with the transactions contemplated by this Agreement whose fees the Company would be required to pay.</w:t>
      </w:r>
    </w:p>
    <w:p>
      <w:pPr>
        <w:spacing w:after="0" w:line="162" w:lineRule="exact"/>
        <w:rPr>
          <w:sz w:val="20"/>
          <w:szCs w:val="20"/>
          <w:color w:val="auto"/>
        </w:rPr>
      </w:pPr>
    </w:p>
    <w:p>
      <w:pPr>
        <w:ind w:firstLine="1983"/>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Investment Representations and Warranties</w:t>
      </w:r>
      <w:r>
        <w:rPr>
          <w:rFonts w:ascii="Times New Roman" w:cs="Times New Roman" w:eastAsia="Times New Roman" w:hAnsi="Times New Roman"/>
          <w:sz w:val="18"/>
          <w:szCs w:val="18"/>
          <w:color w:val="auto"/>
        </w:rPr>
        <w:t>.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2" w:name="page23"/>
    <w:bookmarkEnd w:id="22"/>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w:t>
      </w:r>
    </w:p>
    <w:p>
      <w:pPr>
        <w:spacing w:after="0" w:line="176" w:lineRule="exact"/>
        <w:rPr>
          <w:sz w:val="20"/>
          <w:szCs w:val="20"/>
          <w:color w:val="auto"/>
        </w:rPr>
      </w:pPr>
    </w:p>
    <w:p>
      <w:pPr>
        <w:ind w:firstLine="1983"/>
        <w:spacing w:after="0" w:line="25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Intent</w:t>
      </w:r>
      <w:r>
        <w:rPr>
          <w:rFonts w:ascii="Times New Roman" w:cs="Times New Roman" w:eastAsia="Times New Roman" w:hAnsi="Times New Roman"/>
          <w:sz w:val="18"/>
          <w:szCs w:val="18"/>
          <w:color w:val="auto"/>
        </w:rPr>
        <w: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may be required to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w:t>
      </w:r>
    </w:p>
    <w:p>
      <w:pPr>
        <w:spacing w:after="0" w:line="194" w:lineRule="exact"/>
        <w:rPr>
          <w:sz w:val="20"/>
          <w:szCs w:val="20"/>
          <w:color w:val="auto"/>
        </w:rPr>
      </w:pPr>
    </w:p>
    <w:p>
      <w:pPr>
        <w:ind w:firstLine="1983"/>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Investment Experience; Ability to Protect Its Own Interests and Bear Economic Risks</w:t>
      </w:r>
      <w:r>
        <w:rPr>
          <w:rFonts w:ascii="Times New Roman" w:cs="Times New Roman" w:eastAsia="Times New Roman" w:hAnsi="Times New Roman"/>
          <w:sz w:val="18"/>
          <w:szCs w:val="18"/>
          <w:color w:val="auto"/>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spacing w:after="0" w:line="190" w:lineRule="exact"/>
        <w:rPr>
          <w:sz w:val="20"/>
          <w:szCs w:val="20"/>
          <w:color w:val="auto"/>
        </w:rPr>
      </w:pPr>
    </w:p>
    <w:p>
      <w:pPr>
        <w:ind w:right="8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firstLine="198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4.10  </w:t>
      </w:r>
      <w:r>
        <w:rPr>
          <w:rFonts w:ascii="Times New Roman" w:cs="Times New Roman" w:eastAsia="Times New Roman" w:hAnsi="Times New Roman"/>
          <w:sz w:val="18"/>
          <w:szCs w:val="18"/>
          <w:u w:val="single" w:color="auto"/>
          <w:color w:val="auto"/>
        </w:rPr>
        <w:t>Securities Not Registered; Legends</w:t>
      </w:r>
      <w:r>
        <w:rPr>
          <w:rFonts w:ascii="Times New Roman" w:cs="Times New Roman" w:eastAsia="Times New Roman" w:hAnsi="Times New Roman"/>
          <w:sz w:val="18"/>
          <w:szCs w:val="18"/>
          <w:color w:val="auto"/>
        </w:rPr>
        <w:t>.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w:t>
      </w:r>
    </w:p>
    <w:p>
      <w:pPr>
        <w:spacing w:after="0" w:line="19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Investor understands that any certificates or book entry notations evidencing the Securities may bear one or more legends in substantially the following form and substance:</w:t>
      </w:r>
    </w:p>
    <w:p>
      <w:pPr>
        <w:spacing w:after="0" w:line="54" w:lineRule="exact"/>
        <w:rPr>
          <w:sz w:val="20"/>
          <w:szCs w:val="20"/>
          <w:color w:val="auto"/>
        </w:rPr>
      </w:pPr>
    </w:p>
    <w:p>
      <w:pPr>
        <w:ind w:left="440" w:right="16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the Securities may contain a legend regarding affiliate status of the Investor, if applicable.</w:t>
      </w:r>
    </w:p>
    <w:p>
      <w:pPr>
        <w:spacing w:after="0" w:line="225" w:lineRule="exact"/>
        <w:rPr>
          <w:sz w:val="20"/>
          <w:szCs w:val="20"/>
          <w:color w:val="auto"/>
        </w:rPr>
      </w:pPr>
    </w:p>
    <w:p>
      <w:pPr>
        <w:ind w:right="140" w:firstLine="1983"/>
        <w:spacing w:after="0" w:line="25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Investor acknowledges and agrees that the Investor is purchasing the Securities directly from the Company.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24" w:name="page25"/>
    <w:bookmarkEnd w:id="24"/>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Company, the Placement Agents and/or their respective representatives. Investor did not become aware of this offering of the Securities, nor were the Securities offered to Investor, by any other means, and none of the Company, the Placement Agents and/or their respective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spacing w:after="0" w:line="187" w:lineRule="exact"/>
        <w:rPr>
          <w:sz w:val="20"/>
          <w:szCs w:val="20"/>
          <w:color w:val="auto"/>
        </w:rPr>
      </w:pPr>
    </w:p>
    <w:p>
      <w:pPr>
        <w:ind w:right="100" w:firstLine="1983"/>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The Investor acknowledges and agrees that the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spacing w:after="0" w:line="187" w:lineRule="exact"/>
        <w:rPr>
          <w:sz w:val="20"/>
          <w:szCs w:val="20"/>
          <w:color w:val="auto"/>
        </w:rPr>
      </w:pPr>
    </w:p>
    <w:p>
      <w:pPr>
        <w:ind w:firstLine="1983"/>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Other than consummating the transaction contemplated hereby, the Investor has not, nor, to the Investor’s knowledge,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Placement Agents,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5" w:name="page26"/>
    <w:bookmarkEnd w:id="2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76" w:lineRule="exact"/>
        <w:rPr>
          <w:sz w:val="20"/>
          <w:szCs w:val="20"/>
          <w:color w:val="auto"/>
        </w:rPr>
      </w:pPr>
    </w:p>
    <w:p>
      <w:pPr>
        <w:ind w:right="2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To the extent the Investor is one of the covered persons identified in Rule 506(d)(1), the Investor represents that no Disqualification Event is applicable to the Investor or any of its Rule 506(d) Related Parties (as defined below), except, if applicable, for a Disqualification Event as to which Rule 506(d)(2)(ii) or (iii) or (d)(3) is applicable. For purposes of this Section, “</w:t>
      </w:r>
      <w:r>
        <w:rPr>
          <w:rFonts w:ascii="Times New Roman" w:cs="Times New Roman" w:eastAsia="Times New Roman" w:hAnsi="Times New Roman"/>
          <w:sz w:val="18"/>
          <w:szCs w:val="18"/>
          <w:b w:val="1"/>
          <w:bCs w:val="1"/>
          <w:color w:val="auto"/>
        </w:rPr>
        <w:t>Rule 506(d)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person or entity that is a beneficial owner of the Investor’s securities for purposes of Rule 506(d) of the Securities Act.</w:t>
      </w:r>
    </w:p>
    <w:p>
      <w:pPr>
        <w:spacing w:after="0" w:line="180" w:lineRule="exact"/>
        <w:rPr>
          <w:sz w:val="20"/>
          <w:szCs w:val="20"/>
          <w:color w:val="auto"/>
        </w:rPr>
      </w:pPr>
    </w:p>
    <w:p>
      <w:pPr>
        <w:ind w:right="120" w:firstLine="1983"/>
        <w:spacing w:after="0" w:line="312"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Disclosure of Reportable Events</w:t>
      </w:r>
      <w:r>
        <w:rPr>
          <w:rFonts w:ascii="Times New Roman" w:cs="Times New Roman" w:eastAsia="Times New Roman" w:hAnsi="Times New Roman"/>
          <w:sz w:val="17"/>
          <w:szCs w:val="17"/>
          <w:color w:val="auto"/>
        </w:rPr>
        <w:t xml:space="preserve">. Such Investor hereby acknowledges and agrees that such Investor has received and reviewed the disclosure set forth on </w:t>
      </w:r>
      <w:r>
        <w:rPr>
          <w:rFonts w:ascii="Times New Roman" w:cs="Times New Roman" w:eastAsia="Times New Roman" w:hAnsi="Times New Roman"/>
          <w:sz w:val="17"/>
          <w:szCs w:val="17"/>
          <w:u w:val="single" w:color="auto"/>
          <w:color w:val="auto"/>
        </w:rPr>
        <w:t>Schedule 4.15</w:t>
      </w:r>
      <w:r>
        <w:rPr>
          <w:rFonts w:ascii="Times New Roman" w:cs="Times New Roman" w:eastAsia="Times New Roman" w:hAnsi="Times New Roman"/>
          <w:sz w:val="17"/>
          <w:szCs w:val="17"/>
          <w:color w:val="auto"/>
        </w:rPr>
        <w:t xml:space="preserve"> hereto a reasonable time prior to the time that such Investor has agreed to purchase the Securities.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983"/>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Prior to and at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are no longer accurate and the Company agrees to promptly notify each Investor if any of the acknowledgments, understandings, agreements, representations and warranties set forth in Section 3 of this Agreement are no longer accurate.</w:t>
      </w:r>
    </w:p>
    <w:p>
      <w:pPr>
        <w:spacing w:after="0" w:line="188" w:lineRule="exact"/>
        <w:rPr>
          <w:sz w:val="20"/>
          <w:szCs w:val="20"/>
          <w:color w:val="auto"/>
        </w:rPr>
      </w:pPr>
    </w:p>
    <w:p>
      <w:pPr>
        <w:ind w:right="4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commercially reasonable efforts to maintain the listing and trading of its Common Stock on the Nasdaq Global Market and, in accordance therewith, will use reasonable best efforts to comply in all material respects with the Company’s reporting, filing and other obligations under the rules and regulations of Nasdaq.</w:t>
      </w:r>
    </w:p>
    <w:p>
      <w:pPr>
        <w:spacing w:after="0" w:line="176" w:lineRule="exact"/>
        <w:rPr>
          <w:sz w:val="20"/>
          <w:szCs w:val="20"/>
          <w:color w:val="auto"/>
        </w:rPr>
      </w:pPr>
    </w:p>
    <w:p>
      <w:pPr>
        <w:ind w:firstLine="1983"/>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 The Company shall, no later than 9:00 a.m., New York City time, on the first (1st) Business Day immediately following the date of this Agreement (provided that, if this Agreement is executed between midnight and 9:00 a.m., New York City time on any Business Day, no later than 9:01 a.m. on the date hereof), issue a press release and/or file with the SEC a Current Report on Form 8-K (including all exhibits thereto, the “</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and the time of the actual issuance of such press release and/or filing of a Current Report on Form 8-K, the “</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disclosing (i) all material terms of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6" w:name="page27"/>
    <w:bookmarkEnd w:id="26"/>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contemplated hereby and by the other Transaction Agreements and, in the case of a filing of a Current Report on Form 8-K, attaching this Agreement and the other Transaction Agreements as exhibits to such Disclosure Document and (ii) all material, non-public information concerning the Company, the transactions contemplated hereby and by the other Transaction Agreements disclosed to the Investors prior to the Disclosure Time.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Following the Disclosure Time, no Investor shall be in possession of any material non-public information concerning the Company disclosed to the Investors by the Placement Agents, the Company or any of its directors, officers, employees, officers or other representatives. The Company understands and confirms that the Investors will rely on the foregoing representation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press release, public announcement or filing with the SEC (other than any registration statement contemplated by the Registration Rights Agreement) or any regulatory agency, without the prior written consent of the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Global Market, provided that the Company shall use commercially reasonable efforts to provide such Investor with prior notice and a reasonable opportunity to review such disclosure permitted under foregoing clause (ii).</w:t>
      </w:r>
    </w:p>
    <w:p>
      <w:pPr>
        <w:spacing w:after="0" w:line="192" w:lineRule="exact"/>
        <w:rPr>
          <w:sz w:val="20"/>
          <w:szCs w:val="20"/>
          <w:color w:val="auto"/>
        </w:rPr>
      </w:pPr>
    </w:p>
    <w:p>
      <w:pPr>
        <w:ind w:right="60" w:firstLine="1983"/>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983"/>
        <w:spacing w:after="0" w:line="255" w:lineRule="auto"/>
        <w:rPr>
          <w:sz w:val="20"/>
          <w:szCs w:val="20"/>
          <w:color w:val="auto"/>
        </w:rPr>
      </w:pPr>
      <w:r>
        <w:rPr>
          <w:rFonts w:ascii="Times New Roman" w:cs="Times New Roman" w:eastAsia="Times New Roman" w:hAnsi="Times New Roman"/>
          <w:sz w:val="18"/>
          <w:szCs w:val="18"/>
          <w:color w:val="auto"/>
        </w:rPr>
        <w:t>(a)  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27" w:name="page28"/>
    <w:bookmarkEnd w:id="27"/>
    <w:p>
      <w:pPr>
        <w:ind w:left="4" w:right="320" w:firstLine="19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Subject to receipt from the Investor by the Company and the Transfer Agent of customary representations and other documentation reasonably acceptable to the Company and the Transfer Agent in connection therewith, upon the earliest of such time as the Shares</w:t>
      </w:r>
    </w:p>
    <w:p>
      <w:pPr>
        <w:ind w:left="4" w:hanging="4"/>
        <w:spacing w:after="0" w:line="265" w:lineRule="auto"/>
        <w:tabs>
          <w:tab w:leader="none" w:pos="21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7"/>
          <w:szCs w:val="17"/>
          <w:u w:val="single" w:color="auto"/>
          <w:color w:val="auto"/>
        </w:rPr>
        <w:t>Section 5.5(b)</w:t>
      </w:r>
      <w:r>
        <w:rPr>
          <w:rFonts w:ascii="Times New Roman" w:cs="Times New Roman" w:eastAsia="Times New Roman" w:hAnsi="Times New Roman"/>
          <w:sz w:val="17"/>
          <w:szCs w:val="17"/>
          <w:color w:val="auto"/>
        </w:rPr>
        <w:t xml:space="preserve"> and as soon as reasonably practicable following any request therefor from an Investor accompanied by such customary and reasonably acceptable documentation referred to above,</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deliver to the Transfer Agent irrevocable instructions that the Transfer Agent shall make a new, unlegended entry for such book entry shares, and</w:t>
      </w:r>
    </w:p>
    <w:p>
      <w:pPr>
        <w:spacing w:after="0" w:line="9" w:lineRule="exact"/>
        <w:rPr>
          <w:rFonts w:ascii="Times New Roman" w:cs="Times New Roman" w:eastAsia="Times New Roman" w:hAnsi="Times New Roman"/>
          <w:sz w:val="17"/>
          <w:szCs w:val="17"/>
          <w:color w:val="auto"/>
        </w:rPr>
      </w:pPr>
    </w:p>
    <w:p>
      <w:pPr>
        <w:ind w:left="4"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In making such request, the Investor shall deliver a representation certificate, in form and substance reasonably acceptable to counsel to the Company and the Transfer Agent that such parties shall be entitled to rely upon in connection with the removal of any legend.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and all DTC fees associated with such issuance.</w:t>
      </w:r>
    </w:p>
    <w:p>
      <w:pPr>
        <w:spacing w:after="0" w:line="188" w:lineRule="exact"/>
        <w:rPr>
          <w:sz w:val="20"/>
          <w:szCs w:val="20"/>
          <w:color w:val="auto"/>
        </w:rPr>
      </w:pPr>
    </w:p>
    <w:p>
      <w:pPr>
        <w:ind w:left="4" w:right="22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76" w:lineRule="exact"/>
        <w:rPr>
          <w:sz w:val="20"/>
          <w:szCs w:val="20"/>
          <w:color w:val="auto"/>
        </w:rPr>
      </w:pPr>
    </w:p>
    <w:p>
      <w:pPr>
        <w:ind w:left="4" w:right="52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Fees and Commissions</w:t>
      </w:r>
      <w:r>
        <w:rPr>
          <w:rFonts w:ascii="Times New Roman" w:cs="Times New Roman" w:eastAsia="Times New Roman" w:hAnsi="Times New Roman"/>
          <w:sz w:val="18"/>
          <w:szCs w:val="18"/>
          <w:color w:val="auto"/>
        </w:rPr>
        <w:t>.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w:t>
      </w:r>
    </w:p>
    <w:p>
      <w:pPr>
        <w:spacing w:after="0" w:line="176" w:lineRule="exact"/>
        <w:rPr>
          <w:sz w:val="20"/>
          <w:szCs w:val="20"/>
          <w:color w:val="auto"/>
        </w:rPr>
      </w:pPr>
    </w:p>
    <w:p>
      <w:pPr>
        <w:ind w:left="4" w:right="2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62"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4" w:right="100" w:firstLine="1983"/>
        <w:spacing w:after="0" w:line="256" w:lineRule="auto"/>
        <w:rPr>
          <w:sz w:val="20"/>
          <w:szCs w:val="20"/>
          <w:color w:val="auto"/>
        </w:rPr>
      </w:pPr>
      <w:r>
        <w:rPr>
          <w:rFonts w:ascii="Times New Roman" w:cs="Times New Roman" w:eastAsia="Times New Roman" w:hAnsi="Times New Roman"/>
          <w:sz w:val="18"/>
          <w:szCs w:val="18"/>
          <w:color w:val="auto"/>
        </w:rPr>
        <w:t>(a)  The Company agrees to indemnify and hold harmless each Investor and its Affiliates, and their respective directors, officers, trustees, members, managers, employees, investment advisers and agents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this Agreement or (ii) as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70" w:right="439" w:bottom="1440" w:gutter="0" w:footer="0" w:header="0"/>
        </w:sectPr>
      </w:pPr>
    </w:p>
    <w:bookmarkStart w:id="28" w:name="page29"/>
    <w:bookmarkEnd w:id="2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result of or arising out of any action, claim or proceeding, pending or threatened, against an Indemnified Person in any capacity by any third party (including a stockholder of the Company), whether directly or in a derivative capacity, who is not an Affiliate of the Indemnified Person, with respect to the transactions contemplated by the Transaction Agreements, and will reimburse any such Indemnified Person for all such amounts as they are incurred by such Indemnified Person.</w:t>
      </w:r>
    </w:p>
    <w:p>
      <w:pPr>
        <w:spacing w:after="0" w:line="180" w:lineRule="exact"/>
        <w:rPr>
          <w:sz w:val="20"/>
          <w:szCs w:val="20"/>
          <w:color w:val="auto"/>
        </w:rPr>
      </w:pPr>
    </w:p>
    <w:p>
      <w:pPr>
        <w:ind w:firstLine="1983"/>
        <w:spacing w:after="0" w:line="252" w:lineRule="auto"/>
        <w:rPr>
          <w:sz w:val="20"/>
          <w:szCs w:val="20"/>
          <w:color w:val="auto"/>
        </w:rPr>
      </w:pPr>
      <w:r>
        <w:rPr>
          <w:rFonts w:ascii="Times New Roman" w:cs="Times New Roman" w:eastAsia="Times New Roman" w:hAnsi="Times New Roman"/>
          <w:sz w:val="18"/>
          <w:szCs w:val="18"/>
          <w:color w:val="auto"/>
        </w:rPr>
        <w:t>(b)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91" w:lineRule="exact"/>
        <w:rPr>
          <w:sz w:val="20"/>
          <w:szCs w:val="20"/>
          <w:color w:val="auto"/>
        </w:rPr>
      </w:pPr>
    </w:p>
    <w:p>
      <w:pPr>
        <w:ind w:right="20" w:firstLine="1983"/>
        <w:spacing w:after="0" w:line="254"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xml:space="preserve">. From the date of this Agreement until the earlier of (i) ninety (90) calendar days after the Closing Date and (b) the Business Day immediately following the effective date of the registration statement filed pursuant to the Registration Rights Agreement, the Company shall not (A) issue shares of Common Stock or Common Stock Equivalents, (B)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Notwithstanding the foregoing, the provisions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not apply to (i) the issuance of the Securities hereunder, (ii) the issuance of Common Stock or Common Stock Equivalents upon the conversion, exercise or vesting of any securities of the Company outstanding on the 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Agreement or outstanding pursuant to clause (iii) below, (iii) the issuance of any Common Stock or Common Stock Equivalents pursuant to any Company stock-based compensation plans approved by the Board of Directors of the Company or in accordance with Nasdaq Stock Market Rule 5635(c)(4), or (iv) the filing of a registration statement on Form S-8 under the Securities Act to register the offer and sale of securities on an equity incentive plan or employee stock purchase plan.</w:t>
      </w:r>
    </w:p>
    <w:p>
      <w:pPr>
        <w:spacing w:after="0" w:line="180" w:lineRule="exact"/>
        <w:rPr>
          <w:sz w:val="20"/>
          <w:szCs w:val="20"/>
          <w:color w:val="auto"/>
        </w:rPr>
      </w:pPr>
    </w:p>
    <w:p>
      <w:pPr>
        <w:ind w:firstLine="1983"/>
        <w:spacing w:after="0" w:line="26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Conditions of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the Obligation of the Investors</w:t>
      </w:r>
      <w:r>
        <w:rPr>
          <w:rFonts w:ascii="Times New Roman" w:cs="Times New Roman" w:eastAsia="Times New Roman" w:hAnsi="Times New Roman"/>
          <w:sz w:val="18"/>
          <w:szCs w:val="18"/>
          <w:color w:val="auto"/>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176" w:lineRule="exact"/>
        <w:rPr>
          <w:sz w:val="20"/>
          <w:szCs w:val="20"/>
          <w:color w:val="auto"/>
        </w:rPr>
      </w:pPr>
    </w:p>
    <w:p>
      <w:pPr>
        <w:jc w:val="both"/>
        <w:ind w:right="10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as though made on and as of such date, except to the extent any such representation or warranty expressly speaks as of an earlier date, in which case such representation or warranty shall be true and correct as of such earlier date.</w:t>
      </w:r>
    </w:p>
    <w:p>
      <w:pPr>
        <w:spacing w:after="0" w:line="176" w:lineRule="exact"/>
        <w:rPr>
          <w:sz w:val="20"/>
          <w:szCs w:val="20"/>
          <w:color w:val="auto"/>
        </w:rPr>
      </w:pPr>
    </w:p>
    <w:p>
      <w:pPr>
        <w:ind w:right="2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in all material respects the obligations and conditions herein required to be performed or observed by the Company on or prior to the Closing Date.</w:t>
      </w:r>
    </w:p>
    <w:p>
      <w:pPr>
        <w:spacing w:after="0" w:line="162" w:lineRule="exact"/>
        <w:rPr>
          <w:sz w:val="20"/>
          <w:szCs w:val="20"/>
          <w:color w:val="auto"/>
        </w:rPr>
      </w:pPr>
    </w:p>
    <w:p>
      <w:pPr>
        <w:ind w:right="16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 and no such prohibition shall have been threatened in writing.</w:t>
      </w:r>
    </w:p>
    <w:p>
      <w:pPr>
        <w:spacing w:after="0" w:line="162" w:lineRule="exact"/>
        <w:rPr>
          <w:sz w:val="20"/>
          <w:szCs w:val="20"/>
          <w:color w:val="auto"/>
        </w:rPr>
      </w:pPr>
    </w:p>
    <w:p>
      <w:pPr>
        <w:ind w:right="62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have furnished all required materials to the Transfer Agent to reflect the issuance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at the Closing.</w:t>
      </w:r>
    </w:p>
    <w:p>
      <w:pPr>
        <w:spacing w:after="0" w:line="207" w:lineRule="exact"/>
        <w:rPr>
          <w:sz w:val="20"/>
          <w:szCs w:val="20"/>
          <w:color w:val="auto"/>
        </w:rPr>
      </w:pPr>
    </w:p>
    <w:p>
      <w:pPr>
        <w:ind w:right="36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Since the date of this Agreement, no event or series of events shall have occurred that has had or would reasonably be expected to have a Material Adverse Effect.</w:t>
      </w:r>
    </w:p>
    <w:p>
      <w:pPr>
        <w:spacing w:after="0" w:line="162" w:lineRule="exact"/>
        <w:rPr>
          <w:sz w:val="20"/>
          <w:szCs w:val="20"/>
          <w:color w:val="auto"/>
        </w:rPr>
      </w:pPr>
    </w:p>
    <w:p>
      <w:pPr>
        <w:ind w:right="54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Opinion of Company Counsel</w:t>
      </w:r>
      <w:r>
        <w:rPr>
          <w:rFonts w:ascii="Times New Roman" w:cs="Times New Roman" w:eastAsia="Times New Roman" w:hAnsi="Times New Roman"/>
          <w:sz w:val="18"/>
          <w:szCs w:val="18"/>
          <w:color w:val="auto"/>
        </w:rPr>
        <w:t>. The Company shall have delivered to the Investors and the Placement Agents the opinion of Cooley LLP, dated as of the Closing Date, in customary form and substance to be reasonably agreed upon with the Investors and the Placement Agents and addressing such legal matters as the Investors and Placement Agents and the Company reasonably agree.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p>
      <w:pPr>
        <w:ind w:right="60" w:firstLine="19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An authorized officer of the Company shall have delivered to the Investors at the Closing Date a certificate in form and substance reasonably acceptable to the Investors certifying that the conditions specified in </w:t>
      </w:r>
      <w:r>
        <w:rPr>
          <w:rFonts w:ascii="Times New Roman" w:cs="Times New Roman" w:eastAsia="Times New Roman" w:hAnsi="Times New Roman"/>
          <w:sz w:val="18"/>
          <w:szCs w:val="18"/>
          <w:u w:val="single" w:color="auto"/>
          <w:color w:val="auto"/>
        </w:rPr>
        <w:t>Sections 6.1(a) (Representations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6.1(b)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6.1(c) (No Injunction)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6.1(d) (Consents)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6.1(e) (Transfer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6.1(f) (Adverse Changes)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6.1(k) (Listing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Requirements)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6.1(l) (No Injunction)</w:t>
      </w:r>
      <w:r>
        <w:rPr>
          <w:rFonts w:ascii="Times New Roman" w:cs="Times New Roman" w:eastAsia="Times New Roman" w:hAnsi="Times New Roman"/>
          <w:sz w:val="18"/>
          <w:szCs w:val="18"/>
          <w:color w:val="auto"/>
        </w:rPr>
        <w:t xml:space="preserve"> of this Agreement have been fulfilled.</w:t>
      </w:r>
    </w:p>
    <w:p>
      <w:pPr>
        <w:spacing w:after="0" w:line="180" w:lineRule="exact"/>
        <w:rPr>
          <w:sz w:val="20"/>
          <w:szCs w:val="20"/>
          <w:color w:val="auto"/>
        </w:rPr>
      </w:pPr>
    </w:p>
    <w:p>
      <w:pPr>
        <w:ind w:right="4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Chief Executive Officer or Chief Financial Officer of the Company shall have delivered to the Investors at the Closing Date a certificate certifying (i) the Amended and Restated Certificate of Incorporation; (ii) the Amended and Restated Bylaws; and (iii) resolutions of the Board (or an authorized committee thereof) approving this Agreement, the other Transaction Agreements, the transactions contemplated by this Agreement and the issuance of the Securities.</w:t>
      </w:r>
    </w:p>
    <w:p>
      <w:pPr>
        <w:spacing w:after="0" w:line="180" w:lineRule="exact"/>
        <w:rPr>
          <w:sz w:val="20"/>
          <w:szCs w:val="20"/>
          <w:color w:val="auto"/>
        </w:rPr>
      </w:pPr>
    </w:p>
    <w:p>
      <w:pPr>
        <w:ind w:right="12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The Company shall have executed and delivered the Registration Rights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to the Investors.</w:t>
      </w:r>
    </w:p>
    <w:p>
      <w:pPr>
        <w:spacing w:after="0" w:line="162" w:lineRule="exact"/>
        <w:rPr>
          <w:sz w:val="20"/>
          <w:szCs w:val="20"/>
          <w:color w:val="auto"/>
        </w:rPr>
      </w:pPr>
    </w:p>
    <w:p>
      <w:pPr>
        <w:ind w:firstLine="1983"/>
        <w:spacing w:after="0" w:line="256"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Listing Requirements</w:t>
      </w:r>
      <w:r>
        <w:rPr>
          <w:rFonts w:ascii="Times New Roman" w:cs="Times New Roman" w:eastAsia="Times New Roman" w:hAnsi="Times New Roman"/>
          <w:sz w:val="18"/>
          <w:szCs w:val="18"/>
          <w:color w:val="auto"/>
        </w:rPr>
        <w:t>.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a Notification Form: Listing of Additional Shares for the listing of the Shares and Nasdaq shall have raised no objection to such notice and the transactions contemplated hereby.</w:t>
      </w:r>
    </w:p>
    <w:p>
      <w:pPr>
        <w:spacing w:after="0" w:line="187" w:lineRule="exact"/>
        <w:rPr>
          <w:sz w:val="20"/>
          <w:szCs w:val="20"/>
          <w:color w:val="auto"/>
        </w:rPr>
      </w:pPr>
    </w:p>
    <w:p>
      <w:pPr>
        <w:ind w:right="8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judgment, writ, order, injunction, award or decree of or by any court, or judge, justice or magistrate, including any bankruptcy court or judge, or any order of or by any governmental entity, shall have been issued against the Company, and no action or proceeding shall have been instituted by any governmental entity, enjoining or preventing the consummation of the transactions contemplated hereby or in the other Transaction Agreements.</w:t>
      </w:r>
    </w:p>
    <w:p>
      <w:pPr>
        <w:spacing w:after="0" w:line="180" w:lineRule="exact"/>
        <w:rPr>
          <w:sz w:val="20"/>
          <w:szCs w:val="20"/>
          <w:color w:val="auto"/>
        </w:rPr>
      </w:pPr>
    </w:p>
    <w:p>
      <w:pPr>
        <w:ind w:right="46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0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the Obligation of the Company</w:t>
      </w:r>
      <w:r>
        <w:rPr>
          <w:rFonts w:ascii="Times New Roman" w:cs="Times New Roman" w:eastAsia="Times New Roman" w:hAnsi="Times New Roman"/>
          <w:sz w:val="18"/>
          <w:szCs w:val="18"/>
          <w:color w:val="auto"/>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spacing w:after="0" w:line="176" w:lineRule="exact"/>
        <w:rPr>
          <w:sz w:val="20"/>
          <w:szCs w:val="20"/>
          <w:color w:val="auto"/>
        </w:rPr>
      </w:pPr>
    </w:p>
    <w:p>
      <w:pPr>
        <w:ind w:right="24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each Investor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hereto shall be true and correct in all material respects on and as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w:t>
      </w:r>
    </w:p>
    <w:p>
      <w:pPr>
        <w:spacing w:after="0" w:line="176" w:lineRule="exact"/>
        <w:rPr>
          <w:sz w:val="20"/>
          <w:szCs w:val="20"/>
          <w:color w:val="auto"/>
        </w:rPr>
      </w:pPr>
    </w:p>
    <w:p>
      <w:pPr>
        <w:ind w:right="74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Each Investor shall have performed or complied with in all material respects all obligations and conditions herein required to be performed or observed by such Investor on or prior to the Closing Date.</w:t>
      </w:r>
    </w:p>
    <w:p>
      <w:pPr>
        <w:spacing w:after="0" w:line="162" w:lineRule="exact"/>
        <w:rPr>
          <w:sz w:val="20"/>
          <w:szCs w:val="20"/>
          <w:color w:val="auto"/>
        </w:rPr>
      </w:pPr>
    </w:p>
    <w:p>
      <w:pPr>
        <w:ind w:right="12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w:t>
      </w:r>
    </w:p>
    <w:p>
      <w:pPr>
        <w:spacing w:after="0" w:line="162" w:lineRule="exact"/>
        <w:rPr>
          <w:sz w:val="20"/>
          <w:szCs w:val="20"/>
          <w:color w:val="auto"/>
        </w:rPr>
      </w:pPr>
    </w:p>
    <w:p>
      <w:pPr>
        <w:ind w:right="10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2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obligations of the Company, on the one hand, and each Investor, on the other hand, to effect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shall terminate as follows:</w:t>
      </w:r>
    </w:p>
    <w:p>
      <w:pPr>
        <w:spacing w:after="0" w:line="207" w:lineRule="exact"/>
        <w:rPr>
          <w:sz w:val="20"/>
          <w:szCs w:val="20"/>
          <w:color w:val="auto"/>
        </w:rPr>
      </w:pPr>
    </w:p>
    <w:p>
      <w:pPr>
        <w:ind w:right="320" w:firstLine="1983"/>
        <w:spacing w:after="0" w:line="266" w:lineRule="auto"/>
        <w:rPr>
          <w:sz w:val="20"/>
          <w:szCs w:val="20"/>
          <w:color w:val="auto"/>
        </w:rPr>
      </w:pPr>
      <w:r>
        <w:rPr>
          <w:rFonts w:ascii="Times New Roman" w:cs="Times New Roman" w:eastAsia="Times New Roman" w:hAnsi="Times New Roman"/>
          <w:sz w:val="18"/>
          <w:szCs w:val="18"/>
          <w:color w:val="auto"/>
        </w:rPr>
        <w:t>(i)  Upon the mutual written consent of the Company and each Investor that, together with its Affiliates (and any other Person that shares the same management company or investment adviser or sub-adviser as such Investor), agrees to purchase at least $20,000,000 of Shares, prior to the Closing;</w:t>
      </w:r>
    </w:p>
    <w:p>
      <w:pPr>
        <w:spacing w:after="0" w:line="176" w:lineRule="exact"/>
        <w:rPr>
          <w:sz w:val="20"/>
          <w:szCs w:val="20"/>
          <w:color w:val="auto"/>
        </w:rPr>
      </w:pPr>
    </w:p>
    <w:p>
      <w:pPr>
        <w:ind w:right="16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(ii)  By the Company if any of the conditions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have become incapable of fulfillment, and shall not have been waived by the Company;</w:t>
      </w:r>
    </w:p>
    <w:p>
      <w:pPr>
        <w:spacing w:after="0" w:line="162" w:lineRule="exact"/>
        <w:rPr>
          <w:sz w:val="20"/>
          <w:szCs w:val="20"/>
          <w:color w:val="auto"/>
        </w:rPr>
      </w:pPr>
    </w:p>
    <w:p>
      <w:pPr>
        <w:ind w:right="2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(iii)  By an Investor (with respect to itself only) if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have become incapable of fulfillment, and shall not have been waived by such Investor; or</w:t>
      </w:r>
    </w:p>
    <w:p>
      <w:pPr>
        <w:spacing w:after="0" w:line="162" w:lineRule="exact"/>
        <w:rPr>
          <w:sz w:val="20"/>
          <w:szCs w:val="20"/>
          <w:color w:val="auto"/>
        </w:rPr>
      </w:pPr>
    </w:p>
    <w:p>
      <w:pPr>
        <w:ind w:firstLine="1983"/>
        <w:spacing w:after="0" w:line="282" w:lineRule="auto"/>
        <w:rPr>
          <w:sz w:val="20"/>
          <w:szCs w:val="20"/>
          <w:color w:val="auto"/>
        </w:rPr>
      </w:pPr>
      <w:r>
        <w:rPr>
          <w:rFonts w:ascii="Times New Roman" w:cs="Times New Roman" w:eastAsia="Times New Roman" w:hAnsi="Times New Roman"/>
          <w:sz w:val="18"/>
          <w:szCs w:val="18"/>
          <w:color w:val="auto"/>
        </w:rPr>
        <w:t>(iv)  By either the Company or an Investor (with respect to itself only) if the Closing has not occurred on or prior to the fifth Business Day following the date of this Agreement;</w:t>
      </w:r>
    </w:p>
    <w:p>
      <w:pPr>
        <w:spacing w:after="0" w:line="162" w:lineRule="exact"/>
        <w:rPr>
          <w:sz w:val="20"/>
          <w:szCs w:val="20"/>
          <w:color w:val="auto"/>
        </w:rPr>
      </w:pPr>
    </w:p>
    <w:p>
      <w:pPr>
        <w:jc w:val="both"/>
        <w:ind w:right="220" w:firstLine="1983"/>
        <w:spacing w:after="0" w:line="266" w:lineRule="auto"/>
        <w:rPr>
          <w:sz w:val="20"/>
          <w:szCs w:val="20"/>
          <w:color w:val="auto"/>
        </w:rPr>
      </w:pPr>
      <w:r>
        <w:rPr>
          <w:rFonts w:ascii="Times New Roman" w:cs="Times New Roman" w:eastAsia="Times New Roman" w:hAnsi="Times New Roman"/>
          <w:sz w:val="18"/>
          <w:szCs w:val="18"/>
          <w:color w:val="auto"/>
        </w:rPr>
        <w:t>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right="120" w:firstLine="19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In the event of termination by the Company or the Investor of its obligations to effect the Closing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written notice thereof shall be given to the other Investors by the Company.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983"/>
        <w:spacing w:after="0" w:line="25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Public Statements or Releases</w:t>
      </w:r>
      <w:r>
        <w:rPr>
          <w:rFonts w:ascii="Times New Roman" w:cs="Times New Roman" w:eastAsia="Times New Roman" w:hAnsi="Times New Roman"/>
          <w:sz w:val="18"/>
          <w:szCs w:val="18"/>
          <w:color w:val="auto"/>
        </w:rPr>
        <w:t xml:space="preserve">. Except as set forth in, and subject to compliance with the provisions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Notwithstanding the foregoing, and subject to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w:t>
      </w:r>
    </w:p>
    <w:p>
      <w:pPr>
        <w:spacing w:after="0" w:line="192" w:lineRule="exact"/>
        <w:rPr>
          <w:sz w:val="20"/>
          <w:szCs w:val="20"/>
          <w:color w:val="auto"/>
        </w:rPr>
      </w:pPr>
    </w:p>
    <w:p>
      <w:pPr>
        <w:ind w:firstLine="1983"/>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message is received by the sender,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   If to the Company, addressed as follows: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Daniel Lochner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Divakar Gupta and Brandon Fenn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70" w:right="519" w:bottom="1440" w:gutter="0" w:footer="0" w:header="0"/>
        </w:sectPr>
      </w:pPr>
    </w:p>
    <w:bookmarkStart w:id="33" w:name="page34"/>
    <w:bookmarkEnd w:id="33"/>
    <w:p>
      <w:pPr>
        <w:ind w:right="580" w:firstLine="198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If to any Investor, at its address or e-mail address set forth on </w:t>
      </w:r>
      <w:r>
        <w:rPr>
          <w:rFonts w:ascii="Times New Roman" w:cs="Times New Roman" w:eastAsia="Times New Roman" w:hAnsi="Times New Roman"/>
          <w:sz w:val="18"/>
          <w:szCs w:val="18"/>
          <w:u w:val="single" w:color="auto"/>
          <w:color w:val="auto"/>
        </w:rPr>
        <w:t>such Investor’s signature page</w:t>
      </w:r>
      <w:r>
        <w:rPr>
          <w:rFonts w:ascii="Times New Roman" w:cs="Times New Roman" w:eastAsia="Times New Roman" w:hAnsi="Times New Roman"/>
          <w:sz w:val="18"/>
          <w:szCs w:val="18"/>
          <w:color w:val="auto"/>
        </w:rPr>
        <w:t xml:space="preserve">, or such address as subsequently modified by written notice given in accordance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right="8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1983"/>
        <w:spacing w:after="0" w:line="282" w:lineRule="auto"/>
        <w:rPr>
          <w:sz w:val="20"/>
          <w:szCs w:val="20"/>
          <w:color w:val="auto"/>
        </w:rPr>
      </w:pPr>
      <w:r>
        <w:rPr>
          <w:rFonts w:ascii="Times New Roman" w:cs="Times New Roman" w:eastAsia="Times New Roman" w:hAnsi="Times New Roman"/>
          <w:sz w:val="18"/>
          <w:szCs w:val="18"/>
          <w:color w:val="auto"/>
        </w:rPr>
        <w:t>(a)  This Agreement shall be governed by, and construed in accordance with, the laws of the State of New York without regard to choice of laws or conflicts of laws provisions thereof that would require the application of the laws of any other jurisdiction.</w:t>
      </w:r>
    </w:p>
    <w:p>
      <w:pPr>
        <w:spacing w:after="0" w:line="16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   The Company and each of the Investors hereby irrevocably and unconditionally:</w:t>
      </w:r>
    </w:p>
    <w:p>
      <w:pPr>
        <w:spacing w:after="0" w:line="225" w:lineRule="exact"/>
        <w:rPr>
          <w:sz w:val="20"/>
          <w:szCs w:val="20"/>
          <w:color w:val="auto"/>
        </w:rPr>
      </w:pPr>
    </w:p>
    <w:p>
      <w:pPr>
        <w:ind w:right="80" w:firstLine="1983"/>
        <w:spacing w:after="0" w:line="266" w:lineRule="auto"/>
        <w:rPr>
          <w:sz w:val="20"/>
          <w:szCs w:val="20"/>
          <w:color w:val="auto"/>
        </w:rPr>
      </w:pPr>
      <w:r>
        <w:rPr>
          <w:rFonts w:ascii="Times New Roman" w:cs="Times New Roman" w:eastAsia="Times New Roman" w:hAnsi="Times New Roman"/>
          <w:sz w:val="18"/>
          <w:szCs w:val="18"/>
          <w:color w:val="auto"/>
        </w:rPr>
        <w:t>(i)  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spacing w:after="0" w:line="176" w:lineRule="exact"/>
        <w:rPr>
          <w:sz w:val="20"/>
          <w:szCs w:val="20"/>
          <w:color w:val="auto"/>
        </w:rPr>
      </w:pPr>
    </w:p>
    <w:p>
      <w:pPr>
        <w:ind w:right="40" w:firstLine="1983"/>
        <w:spacing w:after="0" w:line="266" w:lineRule="auto"/>
        <w:rPr>
          <w:sz w:val="20"/>
          <w:szCs w:val="20"/>
          <w:color w:val="auto"/>
        </w:rPr>
      </w:pPr>
      <w:r>
        <w:rPr>
          <w:rFonts w:ascii="Times New Roman" w:cs="Times New Roman" w:eastAsia="Times New Roman" w:hAnsi="Times New Roman"/>
          <w:sz w:val="18"/>
          <w:szCs w:val="18"/>
          <w:color w:val="auto"/>
        </w:rPr>
        <w:t>(ii)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76" w:lineRule="exact"/>
        <w:rPr>
          <w:sz w:val="20"/>
          <w:szCs w:val="20"/>
          <w:color w:val="auto"/>
        </w:rPr>
      </w:pPr>
    </w:p>
    <w:p>
      <w:pPr>
        <w:ind w:firstLine="1983"/>
        <w:spacing w:after="0" w:line="266" w:lineRule="auto"/>
        <w:rPr>
          <w:sz w:val="20"/>
          <w:szCs w:val="20"/>
          <w:color w:val="auto"/>
        </w:rPr>
      </w:pPr>
      <w:r>
        <w:rPr>
          <w:rFonts w:ascii="Times New Roman" w:cs="Times New Roman" w:eastAsia="Times New Roman" w:hAnsi="Times New Roman"/>
          <w:sz w:val="18"/>
          <w:szCs w:val="18"/>
          <w:color w:val="auto"/>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at such other address of which the other party shall have been notified pursuant thereto;</w:t>
      </w:r>
    </w:p>
    <w:p>
      <w:pPr>
        <w:spacing w:after="0" w:line="176" w:lineRule="exact"/>
        <w:rPr>
          <w:sz w:val="20"/>
          <w:szCs w:val="20"/>
          <w:color w:val="auto"/>
        </w:rPr>
      </w:pPr>
    </w:p>
    <w:p>
      <w:pPr>
        <w:jc w:val="both"/>
        <w:ind w:right="300" w:firstLine="1983"/>
        <w:spacing w:after="0" w:line="266" w:lineRule="auto"/>
        <w:rPr>
          <w:sz w:val="20"/>
          <w:szCs w:val="20"/>
          <w:color w:val="auto"/>
        </w:rPr>
      </w:pPr>
      <w:r>
        <w:rPr>
          <w:rFonts w:ascii="Times New Roman" w:cs="Times New Roman" w:eastAsia="Times New Roman" w:hAnsi="Times New Roman"/>
          <w:sz w:val="18"/>
          <w:szCs w:val="18"/>
          <w:color w:val="auto"/>
        </w:rPr>
        <w:t>(iv)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76" w:lineRule="exact"/>
        <w:rPr>
          <w:sz w:val="20"/>
          <w:szCs w:val="20"/>
          <w:color w:val="auto"/>
        </w:rPr>
      </w:pPr>
    </w:p>
    <w:p>
      <w:pPr>
        <w:ind w:right="120" w:firstLine="1983"/>
        <w:spacing w:after="0" w:line="266" w:lineRule="auto"/>
        <w:rPr>
          <w:sz w:val="20"/>
          <w:szCs w:val="20"/>
          <w:color w:val="auto"/>
        </w:rPr>
      </w:pPr>
      <w:r>
        <w:rPr>
          <w:rFonts w:ascii="Times New Roman" w:cs="Times New Roman" w:eastAsia="Times New Roman" w:hAnsi="Times New Roman"/>
          <w:sz w:val="18"/>
          <w:szCs w:val="18"/>
          <w:color w:val="auto"/>
        </w:rPr>
        <w:t>(v)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34" w:name="page35"/>
    <w:bookmarkEnd w:id="34"/>
    <w:p>
      <w:pPr>
        <w:ind w:left="4" w:right="120" w:firstLine="198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76"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(vii)   irrevocably and unconditionally waives trial by jury in any legal action or proceeding in relation to this Agreement.</w:t>
      </w:r>
    </w:p>
    <w:p>
      <w:pPr>
        <w:spacing w:after="0" w:line="225" w:lineRule="exact"/>
        <w:rPr>
          <w:sz w:val="20"/>
          <w:szCs w:val="20"/>
          <w:color w:val="auto"/>
        </w:rPr>
      </w:pPr>
    </w:p>
    <w:p>
      <w:pPr>
        <w:ind w:left="4" w:right="2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6" w:lineRule="exact"/>
        <w:rPr>
          <w:sz w:val="20"/>
          <w:szCs w:val="20"/>
          <w:color w:val="auto"/>
        </w:rPr>
      </w:pPr>
    </w:p>
    <w:p>
      <w:pPr>
        <w:ind w:left="4" w:right="100" w:firstLine="1983"/>
        <w:spacing w:after="0" w:line="255"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transfer taxes and other similar taxes (other than income taxes) and duties levied in connection with the delivery of any Securities to the Investors. The Company shall pay all Placement Agent fees relating to or arising out of the transactions contemplated by this Agreement.</w:t>
      </w:r>
    </w:p>
    <w:p>
      <w:pPr>
        <w:spacing w:after="0" w:line="18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7"/>
          <w:szCs w:val="17"/>
          <w:color w:val="auto"/>
        </w:rPr>
        <w:t xml:space="preserve">8.8 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None of the parties may assign its rights or obligations under this Agreement or designate another person</w:t>
      </w:r>
    </w:p>
    <w:p>
      <w:pPr>
        <w:spacing w:after="0" w:line="39" w:lineRule="exact"/>
        <w:rPr>
          <w:sz w:val="20"/>
          <w:szCs w:val="20"/>
          <w:color w:val="auto"/>
        </w:rPr>
      </w:pPr>
    </w:p>
    <w:p>
      <w:pPr>
        <w:ind w:left="4" w:hanging="4"/>
        <w:spacing w:after="0" w:line="251"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93"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983"/>
        <w:spacing w:after="0" w:line="261" w:lineRule="auto"/>
        <w:rPr>
          <w:sz w:val="20"/>
          <w:szCs w:val="20"/>
          <w:color w:val="auto"/>
        </w:rPr>
      </w:pPr>
      <w:r>
        <w:rPr>
          <w:rFonts w:ascii="Times New Roman" w:cs="Times New Roman" w:eastAsia="Times New Roman" w:hAnsi="Times New Roman"/>
          <w:sz w:val="18"/>
          <w:szCs w:val="18"/>
          <w:color w:val="auto"/>
        </w:rPr>
        <w:t>(a)  Each Investor covenants that until such time as the transactions contemplated by this Agreement and any material non-public information provided to such Investor are publicly disclosed by the Company or the earlier termination of this Agreement, such Investor will maintain the confidentiality of all disclosures made to it in connection with this transaction (including the existence and terms of this transaction), other than to such Investor’s</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4"/>
          </w:cols>
          <w:pgMar w:left="436" w:top="270" w:right="499" w:bottom="1440" w:gutter="0" w:footer="0" w:header="0"/>
        </w:sectPr>
      </w:pPr>
    </w:p>
    <w:bookmarkStart w:id="35" w:name="page36"/>
    <w:bookmarkEnd w:id="35"/>
    <w:p>
      <w:pPr>
        <w:ind w:left="4"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62" w:lineRule="exact"/>
        <w:rPr>
          <w:sz w:val="20"/>
          <w:szCs w:val="20"/>
          <w:color w:val="auto"/>
        </w:rPr>
      </w:pPr>
    </w:p>
    <w:p>
      <w:pPr>
        <w:ind w:left="4" w:firstLine="1983"/>
        <w:spacing w:after="0" w:line="255" w:lineRule="auto"/>
        <w:rPr>
          <w:sz w:val="20"/>
          <w:szCs w:val="20"/>
          <w:color w:val="auto"/>
        </w:rPr>
      </w:pPr>
      <w:r>
        <w:rPr>
          <w:rFonts w:ascii="Times New Roman" w:cs="Times New Roman" w:eastAsia="Times New Roman" w:hAnsi="Times New Roman"/>
          <w:sz w:val="18"/>
          <w:szCs w:val="18"/>
          <w:color w:val="auto"/>
        </w:rPr>
        <w:t>(b)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the Company may file a form of this Agreement and the Registration Rights Agreement with the SEC as exhibits to a periodic report or a registration statement of the Company.</w:t>
      </w:r>
    </w:p>
    <w:p>
      <w:pPr>
        <w:spacing w:after="0" w:line="18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Reliance by and Exculpation of Placement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1983"/>
        <w:spacing w:after="0" w:line="253" w:lineRule="auto"/>
        <w:rPr>
          <w:sz w:val="20"/>
          <w:szCs w:val="20"/>
          <w:color w:val="auto"/>
        </w:rPr>
      </w:pPr>
      <w:r>
        <w:rPr>
          <w:rFonts w:ascii="Times New Roman" w:cs="Times New Roman" w:eastAsia="Times New Roman" w:hAnsi="Times New Roman"/>
          <w:sz w:val="18"/>
          <w:szCs w:val="18"/>
          <w:color w:val="auto"/>
        </w:rPr>
        <w:t>(a)  Each Investor agrees for the express benefit of the Placement Agents, its affiliates and its representatives that (i) the Placement Agents, its affiliates and its representatives have not made, and will not make any representations or warranties with respect to the Company or the offer and sale of the Securities, and such Investor will not rely on any statements made by the Placement Agents, orally or in writing, to the contrary, (ii) such Investor will be responsible for conducting its own due diligence investigation with respect to the Company and the offer and sale of the Securities, (iii) such Investor will be purchasing Securities based on the results of its own due diligence investigation of the Company and the Placement Agents and each of its directors, officers, employees, representatives, and controlling persons have made no independent investigation with respect to the Company, the Securities, or the accuracy, completeness, or adequacy of any information supplied to the Investor by the Company,</w:t>
      </w:r>
    </w:p>
    <w:p>
      <w:pPr>
        <w:spacing w:after="0" w:line="3" w:lineRule="exact"/>
        <w:rPr>
          <w:sz w:val="20"/>
          <w:szCs w:val="20"/>
          <w:color w:val="auto"/>
        </w:rPr>
      </w:pPr>
    </w:p>
    <w:p>
      <w:pPr>
        <w:ind w:left="4" w:right="40" w:hanging="4"/>
        <w:spacing w:after="0" w:line="252" w:lineRule="auto"/>
        <w:tabs>
          <w:tab w:leader="none" w:pos="3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Investor has negotiated the offer and sale of the Securities directly with the Company, and the Placement Agents will not be responsible for the ultimate success of any such investment and (v)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shall survive any termination of this Agreement.</w:t>
      </w:r>
    </w:p>
    <w:p>
      <w:pPr>
        <w:spacing w:after="0" w:line="190" w:lineRule="exact"/>
        <w:rPr>
          <w:sz w:val="20"/>
          <w:szCs w:val="20"/>
          <w:color w:val="auto"/>
        </w:rPr>
      </w:pPr>
    </w:p>
    <w:p>
      <w:pPr>
        <w:ind w:left="4" w:right="120" w:firstLine="1983"/>
        <w:spacing w:after="0" w:line="289" w:lineRule="auto"/>
        <w:rPr>
          <w:sz w:val="20"/>
          <w:szCs w:val="20"/>
          <w:color w:val="auto"/>
        </w:rPr>
      </w:pPr>
      <w:r>
        <w:rPr>
          <w:rFonts w:ascii="Times New Roman" w:cs="Times New Roman" w:eastAsia="Times New Roman" w:hAnsi="Times New Roman"/>
          <w:sz w:val="17"/>
          <w:szCs w:val="17"/>
          <w:color w:val="auto"/>
        </w:rPr>
        <w:t>(b)  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6" w:name="page37"/>
    <w:bookmarkEnd w:id="36"/>
    <w:p>
      <w:pPr>
        <w:ind w:left="4" w:firstLine="198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Neither the Placement Agents nor any of their respective affiliates or representatives (i) shall be liable for any improper payment made in accordance with the information provided by the Company; (ii) makes any representation or warranty, or has any responsibilities as to the validity, accuracy, value or genuineness of any information, certificates or documentation delivered by or on behalf of the Company pursuant to the Transaction Agreements or in connection with any of the transactions contemplated therein; or (iii) shall be liable (x) for any action taken, suffered or omitted by any of them in good faith and reasonably believed to be authorized or within the discretion or rights or powers conferred upon it by the Transaction Agreements or (y) for anything which any of them may do or refrain from doing in connection with the Transaction Agreements, except in each case for such party’s own gross negligence or willful misconduct.</w:t>
      </w:r>
    </w:p>
    <w:p>
      <w:pPr>
        <w:spacing w:after="0" w:line="18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(d)   The Company agrees that the Placement Agents and their respective affiliates and representatives shall be entitled to</w:t>
      </w:r>
    </w:p>
    <w:p>
      <w:pPr>
        <w:spacing w:after="0" w:line="27" w:lineRule="exact"/>
        <w:rPr>
          <w:sz w:val="20"/>
          <w:szCs w:val="20"/>
          <w:color w:val="auto"/>
        </w:rPr>
      </w:pPr>
    </w:p>
    <w:p>
      <w:pPr>
        <w:ind w:left="4" w:right="40" w:hanging="4"/>
        <w:spacing w:after="0" w:line="255"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and shall be protected in acting upon, any certificate, instrument, notice, letter or any other document or security delivered to any of them by or on behalf of the Company, and (ii) be indemnified by the Company for acting as the Placement Agents hereunder pursuant to the indemnification provisions set forth in the applicable letter agreement between the Company and the Placement Agents.</w:t>
      </w:r>
    </w:p>
    <w:p>
      <w:pPr>
        <w:spacing w:after="0" w:line="186" w:lineRule="exact"/>
        <w:rPr>
          <w:sz w:val="20"/>
          <w:szCs w:val="20"/>
          <w:color w:val="auto"/>
        </w:rPr>
      </w:pPr>
    </w:p>
    <w:p>
      <w:pPr>
        <w:ind w:left="4" w:right="40" w:firstLine="1983"/>
        <w:spacing w:after="0" w:line="254"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third-party beneficiary with respect to this Agreement or the transactions contemplated hereby. Notwithstanding the foregoing, (i) the Placement Agents are an intended third-party beneficiary of the representations and warranties of the Company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of each Investor set forth in </w:t>
      </w:r>
      <w:r>
        <w:rPr>
          <w:rFonts w:ascii="Times New Roman" w:cs="Times New Roman" w:eastAsia="Times New Roman" w:hAnsi="Times New Roman"/>
          <w:sz w:val="18"/>
          <w:szCs w:val="18"/>
          <w:u w:val="single" w:color="auto"/>
          <w:color w:val="auto"/>
        </w:rPr>
        <w:t>Section 4, Section 6.1(g)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respectively, of this Agreement and (ii) the Indemnified Persons are intended third-party beneficiaries of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firstLine="1983"/>
        <w:spacing w:after="0" w:line="269" w:lineRule="auto"/>
        <w:rPr>
          <w:sz w:val="20"/>
          <w:szCs w:val="20"/>
          <w:color w:val="auto"/>
        </w:rPr>
      </w:pPr>
      <w:r>
        <w:rPr>
          <w:rFonts w:ascii="Times New Roman" w:cs="Times New Roman" w:eastAsia="Times New Roman" w:hAnsi="Times New Roman"/>
          <w:sz w:val="17"/>
          <w:szCs w:val="17"/>
          <w:color w:val="auto"/>
        </w:rPr>
        <w:t xml:space="preserve">8.12  </w:t>
      </w:r>
      <w:r>
        <w:rPr>
          <w:rFonts w:ascii="Times New Roman" w:cs="Times New Roman" w:eastAsia="Times New Roman" w:hAnsi="Times New Roman"/>
          <w:sz w:val="17"/>
          <w:szCs w:val="17"/>
          <w:u w:val="single" w:color="auto"/>
          <w:color w:val="auto"/>
        </w:rPr>
        <w:t>Independent Nature of Investors’ Obligations and Right.</w:t>
      </w:r>
      <w:r>
        <w:rPr>
          <w:rFonts w:ascii="Times New Roman" w:cs="Times New Roman" w:eastAsia="Times New Roman" w:hAnsi="Times New Roman"/>
          <w:sz w:val="17"/>
          <w:szCs w:val="17"/>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w:t>
      </w:r>
    </w:p>
    <w:p>
      <w:pPr>
        <w:spacing w:after="0" w:line="3" w:lineRule="exact"/>
        <w:rPr>
          <w:sz w:val="20"/>
          <w:szCs w:val="20"/>
          <w:color w:val="auto"/>
        </w:rPr>
      </w:pPr>
    </w:p>
    <w:p>
      <w:pPr>
        <w:ind w:left="4" w:right="40" w:hanging="4"/>
        <w:spacing w:after="0" w:line="252"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1934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Cooley LLP has not rendered legal advice to such Investor. Each Investor shall be entitled to independently protect and enforce its rights, including, without limitation, the</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4"/>
          </w:cols>
          <w:pgMar w:left="436" w:top="270" w:right="499" w:bottom="1440" w:gutter="0" w:footer="0" w:header="0"/>
        </w:sectPr>
      </w:pPr>
    </w:p>
    <w:bookmarkStart w:id="37" w:name="page38"/>
    <w:bookmarkEnd w:id="37"/>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76" w:lineRule="exact"/>
        <w:rPr>
          <w:sz w:val="20"/>
          <w:szCs w:val="20"/>
          <w:color w:val="auto"/>
        </w:rPr>
      </w:pPr>
    </w:p>
    <w:p>
      <w:pPr>
        <w:ind w:right="2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2" w:lineRule="exact"/>
        <w:rPr>
          <w:sz w:val="20"/>
          <w:szCs w:val="20"/>
          <w:color w:val="auto"/>
        </w:rPr>
      </w:pPr>
    </w:p>
    <w:p>
      <w:pPr>
        <w:ind w:firstLine="1983"/>
        <w:spacing w:after="0" w:line="258"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sz w:val="20"/>
          <w:szCs w:val="20"/>
          <w:color w:val="auto"/>
        </w:rPr>
      </w:pPr>
    </w:p>
    <w:p>
      <w:pPr>
        <w:ind w:firstLine="1983"/>
        <w:spacing w:after="0" w:line="252"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xml:space="preserve">. This Agreement and the other Transaction Agreements (including all schedules and exhibits hereto and thereto), together with any side letter agreements with any of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each Investor that, together with its Affiliates (and any other Person that shares the same management company or investment adviser or sub-adviser as such Investor), agrees to purchase at least $20,000,000 of Shares and at least such amount is then held by such Investor and its Affiliates (and any other Person that shares the same management company or investment adviser or sub-adviser as such Investor), provided that prior to the Closing the consent of all Investors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shall be valid without the prior written consent of the Placement Agents, which consent may be granted or withheld in the sole discretion of the Placement Agents. In addition, no consideration shall be offered or paid to any Person to amend or consent to a waiver or modification of any provision of any of this Agreement unless the same consideration (other than the reimbursement of legal fees) also is offered to all Investors.</w:t>
      </w:r>
    </w:p>
    <w:p>
      <w:pPr>
        <w:spacing w:after="0" w:line="193" w:lineRule="exact"/>
        <w:rPr>
          <w:sz w:val="20"/>
          <w:szCs w:val="20"/>
          <w:color w:val="auto"/>
        </w:rPr>
      </w:pPr>
    </w:p>
    <w:p>
      <w:pPr>
        <w:ind w:right="10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8" w:name="page39"/>
    <w:bookmarkEnd w:id="38"/>
    <w:p>
      <w:pPr>
        <w:ind w:firstLine="198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8.17  </w:t>
      </w:r>
      <w:r>
        <w:rPr>
          <w:rFonts w:ascii="Times New Roman" w:cs="Times New Roman" w:eastAsia="Times New Roman" w:hAnsi="Times New Roman"/>
          <w:sz w:val="18"/>
          <w:szCs w:val="18"/>
          <w:u w:val="single" w:color="auto"/>
          <w:color w:val="auto"/>
        </w:rPr>
        <w:t>Contract Interpretation.</w:t>
      </w:r>
      <w:r>
        <w:rPr>
          <w:rFonts w:ascii="Times New Roman" w:cs="Times New Roman" w:eastAsia="Times New Roman" w:hAnsi="Times New Roman"/>
          <w:sz w:val="18"/>
          <w:szCs w:val="18"/>
          <w:color w:val="auto"/>
        </w:rPr>
        <w:t xml:space="preserve"> This Agreement is the joint product of each Investor and the Company and each provision of this Agreement has been subject to the mutual consultation, negotiation and agreement of such parties and shall not be construed for or against any party hereto.</w:t>
      </w:r>
    </w:p>
    <w:p>
      <w:pPr>
        <w:spacing w:after="0" w:line="176" w:lineRule="exact"/>
        <w:rPr>
          <w:sz w:val="20"/>
          <w:szCs w:val="20"/>
          <w:color w:val="auto"/>
        </w:rPr>
      </w:pPr>
    </w:p>
    <w:p>
      <w:pPr>
        <w:ind w:right="42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Arm’s Length Negotiations</w:t>
      </w:r>
      <w:r>
        <w:rPr>
          <w:rFonts w:ascii="Times New Roman" w:cs="Times New Roman" w:eastAsia="Times New Roman" w:hAnsi="Times New Roman"/>
          <w:sz w:val="18"/>
          <w:szCs w:val="18"/>
          <w:color w:val="auto"/>
        </w:rPr>
        <w:t>. For the avoidance of doubt, the parties acknowledge and confirm that the terms and conditions of the Securities were determined as a result of arm’s-length negotiations.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TECTONIC THERAPEUTIC, INC.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579"/>
          </w:cols>
          <w:pgMar w:left="880" w:top="26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9579"/>
          </w:cols>
          <w:pgMar w:left="880" w:top="26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9579"/>
          </w:cols>
          <w:pgMar w:left="880" w:top="266" w:right="1440" w:bottom="1440" w:gutter="0" w:footer="0" w:header="0"/>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96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Investor Name</w:t>
            </w:r>
          </w:p>
        </w:tc>
        <w:tc>
          <w:tcPr>
            <w:tcW w:w="80" w:type="dxa"/>
            <w:vAlign w:val="bottom"/>
            <w:vMerge w:val="restart"/>
          </w:tcPr>
          <w:p>
            <w:pPr>
              <w:spacing w:after="0"/>
              <w:rPr>
                <w:sz w:val="12"/>
                <w:szCs w:val="12"/>
                <w:color w:val="auto"/>
              </w:rPr>
            </w:pPr>
          </w:p>
        </w:tc>
        <w:tc>
          <w:tcPr>
            <w:tcW w:w="264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2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2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9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6"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4.15</w:t>
      </w:r>
    </w:p>
    <w:p>
      <w:pPr>
        <w:sectPr>
          <w:pgSz w:w="11900" w:h="16838" w:orient="portrait"/>
          <w:cols w:equalWidth="0" w:num="1">
            <w:col w:w="9019"/>
          </w:cols>
          <w:pgMar w:left="1440" w:top="266"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6" w:right="1440" w:bottom="1440" w:gutter="0" w:footer="0" w:header="0"/>
          <w:type w:val="continuous"/>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117"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February 3, 2025, is entered into by and among Tectonic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several investors signatory hereto (individually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together with their respective permitted assigns,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A.  Upon the terms and subject to the conditions of the Purchase Agreement, the Company has agreed to issue to the Investors, and the Investors have agreed to purchase, severally and not jointly, an aggregate of up to $185,000,000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pursuant to the Purchase Agreement.</w:t>
      </w:r>
    </w:p>
    <w:p>
      <w:pPr>
        <w:spacing w:after="0" w:line="176"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B. 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the Investors hereby agree as follows:</w:t>
      </w:r>
    </w:p>
    <w:p>
      <w:pPr>
        <w:spacing w:after="0" w:line="60" w:lineRule="exact"/>
        <w:rPr>
          <w:sz w:val="20"/>
          <w:szCs w:val="20"/>
          <w:color w:val="auto"/>
        </w:rPr>
      </w:pPr>
    </w:p>
    <w:p>
      <w:pPr>
        <w:ind w:left="1420" w:hanging="439"/>
        <w:spacing w:after="0"/>
        <w:tabs>
          <w:tab w:leader="none" w:pos="1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21" w:lineRule="exact"/>
        <w:rPr>
          <w:sz w:val="20"/>
          <w:szCs w:val="20"/>
          <w:color w:val="auto"/>
        </w:rPr>
      </w:pPr>
    </w:p>
    <w:p>
      <w:pPr>
        <w:ind w:right="100" w:firstLine="1983"/>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Person, as such terms are used in or construed under Rule 405 under the Securities Act.</w:t>
      </w:r>
    </w:p>
    <w:p>
      <w:pPr>
        <w:spacing w:after="0" w:line="171" w:lineRule="exact"/>
        <w:rPr>
          <w:sz w:val="20"/>
          <w:szCs w:val="20"/>
          <w:color w:val="auto"/>
        </w:rPr>
      </w:pPr>
    </w:p>
    <w:p>
      <w:pPr>
        <w:ind w:right="260" w:firstLine="1983"/>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means any change, event, violation, inaccuracy, circumstance or effect that is caused by (i) acts of God, epidemics, pandemics (including COVID-19) or other calamities, national or international political or social conditions (or the escalation or worsening thereof), (ii) any potential or actual government shutdown, or (iii) any other interruption in the financing, banking, currency or capital markets in general in the United States.</w:t>
      </w:r>
    </w:p>
    <w:p>
      <w:pPr>
        <w:spacing w:after="0" w:line="176" w:lineRule="exact"/>
        <w:rPr>
          <w:sz w:val="20"/>
          <w:szCs w:val="20"/>
          <w:color w:val="auto"/>
        </w:rPr>
      </w:pPr>
    </w:p>
    <w:p>
      <w:pPr>
        <w:ind w:right="120" w:firstLine="1983"/>
        <w:spacing w:after="0" w:line="28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5" w:lineRule="exact"/>
        <w:rPr>
          <w:sz w:val="20"/>
          <w:szCs w:val="20"/>
          <w:color w:val="auto"/>
        </w:rPr>
      </w:pPr>
    </w:p>
    <w:p>
      <w:pPr>
        <w:ind w:right="500" w:firstLine="1983"/>
        <w:spacing w:after="0" w:line="26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6" w:name="page47"/>
    <w:bookmarkEnd w:id="46"/>
    <w:p>
      <w:pPr>
        <w:ind w:right="180" w:firstLine="1983"/>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the Shares and any Common Stock issued or issuable with respect to the Shares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(i) the date on which the Investors shall have resold all the Registrable Securities covered by the Registration Statement pursuant to the Registration Statement and (ii) such Registrable Securities have been previously sold in accordance with Rule 144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40" w:firstLine="1983"/>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spacing w:after="0" w:line="183" w:lineRule="exact"/>
        <w:rPr>
          <w:sz w:val="20"/>
          <w:szCs w:val="20"/>
          <w:color w:val="auto"/>
        </w:rPr>
      </w:pPr>
    </w:p>
    <w:p>
      <w:pPr>
        <w:ind w:right="60" w:firstLine="1983"/>
        <w:spacing w:after="0" w:line="25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182" w:lineRule="exact"/>
        <w:rPr>
          <w:sz w:val="20"/>
          <w:szCs w:val="20"/>
          <w:color w:val="auto"/>
        </w:rPr>
      </w:pPr>
    </w:p>
    <w:p>
      <w:pPr>
        <w:ind w:right="340" w:firstLine="1983"/>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and selling commissions applicable to the sale of Registrable Securities and all similar fees and commissions relating to an Investor’s disposition of its Registrable Securities.</w:t>
      </w:r>
    </w:p>
    <w:p>
      <w:pPr>
        <w:spacing w:after="0" w:line="155" w:lineRule="exact"/>
        <w:rPr>
          <w:sz w:val="20"/>
          <w:szCs w:val="20"/>
          <w:color w:val="auto"/>
        </w:rPr>
      </w:pPr>
    </w:p>
    <w:p>
      <w:pPr>
        <w:jc w:val="both"/>
        <w:ind w:firstLine="1983"/>
        <w:spacing w:after="0" w:line="26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SEC staff (whether or not publicly-available); provided, that any such oral guidance, comments, requirements or requests are reduced to writing by the SEC (and shared with the Investors if not publicly-available) and (ii) the Securities Act.</w:t>
      </w:r>
    </w:p>
    <w:p>
      <w:pPr>
        <w:spacing w:after="0" w:line="76" w:lineRule="exact"/>
        <w:rPr>
          <w:sz w:val="20"/>
          <w:szCs w:val="20"/>
          <w:color w:val="auto"/>
        </w:rPr>
      </w:pPr>
    </w:p>
    <w:p>
      <w:pPr>
        <w:ind w:left="1420" w:hanging="439"/>
        <w:spacing w:after="0"/>
        <w:tabs>
          <w:tab w:leader="none" w:pos="1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w:t>
      </w:r>
    </w:p>
    <w:p>
      <w:pPr>
        <w:spacing w:after="0" w:line="229" w:lineRule="exact"/>
        <w:rPr>
          <w:sz w:val="20"/>
          <w:szCs w:val="20"/>
          <w:color w:val="auto"/>
        </w:rPr>
      </w:pPr>
    </w:p>
    <w:p>
      <w:pPr>
        <w:ind w:firstLine="1983"/>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as promptly as reasonably practicable and in any event no later than 54 days after the Closing Date (the “</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prepare and file with the SEC an initial Registration Statement (the “</w:t>
      </w:r>
      <w:r>
        <w:rPr>
          <w:rFonts w:ascii="Times New Roman" w:cs="Times New Roman" w:eastAsia="Times New Roman" w:hAnsi="Times New Roman"/>
          <w:sz w:val="18"/>
          <w:szCs w:val="18"/>
          <w:b w:val="1"/>
          <w:bCs w:val="1"/>
          <w:color w:val="auto"/>
        </w:rPr>
        <w:t>Initial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covering the resale of all Registrable Securities. Before filing the Registration Statement, the Company shall furnish to the Investors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Registration Statement. The Investors and their counsel shall have at least three (3)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Company shall (a) use reasonable best efforts to address in each such document prior to being so filed with the SEC such comments as the Investor or its counsel reasonably propose, and (b) not file any Registration Statement or related prospectus or any amendment or supplement thereto containing information regarding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47" w:name="page48"/>
    <w:bookmarkEnd w:id="47"/>
    <w:p>
      <w:pPr>
        <w:ind w:left="4"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Investor to which Investor reasonably objects, unless such information is required (in the opinion of the Company) to comply with any applicable law or regulation or SEC Guidance. The Investors shall furnish all information reasonably requested by the Company and as shall be reasonably required in connection with any registration referred to in this Agreement.</w:t>
      </w:r>
    </w:p>
    <w:p>
      <w:pPr>
        <w:spacing w:after="0" w:line="176" w:lineRule="exact"/>
        <w:rPr>
          <w:sz w:val="20"/>
          <w:szCs w:val="20"/>
          <w:color w:val="auto"/>
        </w:rPr>
      </w:pPr>
    </w:p>
    <w:p>
      <w:pPr>
        <w:ind w:left="4" w:firstLine="1983"/>
        <w:spacing w:after="0" w:line="23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The Company shall use its reasonable best efforts to have the Initial Registration Statement and any amendment declared effective by the SEC at the earliest possible date but no later than the earlier of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following the initial filing date of the Initial Registration Statement if the SEC notifies the Company that it will “review” the Initial Registration Statement and (b)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the Company is notified (orally or in writing, whichever is earlier) by the SEC that the Initial Registration Statement will not be “reviewed” or will not be subject to further review (such earlier date,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The Company shall notify the Investor by e-mail as promptly as practicable, and in any event, within 24 hours, after the Registration Statement is declared effective or is supplemented and shall provide the Investor with copies of any related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pursuant to Rule 144 or pursuant to the Initial Registration Statement;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205" w:lineRule="exact"/>
        <w:rPr>
          <w:sz w:val="20"/>
          <w:szCs w:val="20"/>
          <w:color w:val="auto"/>
        </w:rPr>
      </w:pPr>
    </w:p>
    <w:p>
      <w:pPr>
        <w:ind w:left="4" w:firstLine="1983"/>
        <w:spacing w:after="0" w:line="23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8"/>
          <w:szCs w:val="18"/>
          <w:b w:val="1"/>
          <w:bCs w:val="1"/>
          <w:color w:val="auto"/>
        </w:rPr>
        <w:t>New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so as to cover all of such Registrable Securities as soon as reasonably practicable, but in any event not later than ten (10) Business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necessity therefor arises (the “</w:t>
      </w:r>
      <w:r>
        <w:rPr>
          <w:rFonts w:ascii="Times New Roman" w:cs="Times New Roman" w:eastAsia="Times New Roman" w:hAnsi="Times New Roman"/>
          <w:sz w:val="18"/>
          <w:szCs w:val="18"/>
          <w:b w:val="1"/>
          <w:bCs w:val="1"/>
          <w:color w:val="auto"/>
        </w:rPr>
        <w:t>New Registration Filing Deadline</w:t>
      </w:r>
      <w:r>
        <w:rPr>
          <w:rFonts w:ascii="Times New Roman" w:cs="Times New Roman" w:eastAsia="Times New Roman" w:hAnsi="Times New Roman"/>
          <w:sz w:val="18"/>
          <w:szCs w:val="18"/>
          <w:color w:val="auto"/>
        </w:rPr>
        <w:t>”). The Company shall use its reasonable best efforts to have such amendment and/or New Registration Statement become effective as soon as reasonably practicable following the filing thereof but no later than the earlier of (a) the seventy-fifth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following the initial filing date of the New Registration Statement if the SEC notifies the Company that it will “review” the New Registration Statement and (b)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Effectiveness Deadline</w:t>
      </w:r>
      <w:r>
        <w:rPr>
          <w:rFonts w:ascii="Times New Roman" w:cs="Times New Roman" w:eastAsia="Times New Roman" w:hAnsi="Times New Roman"/>
          <w:sz w:val="18"/>
          <w:szCs w:val="18"/>
          <w:color w:val="auto"/>
        </w:rPr>
        <w: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to the New Registration Statement, except as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w:t>
      </w:r>
    </w:p>
    <w:p>
      <w:pPr>
        <w:spacing w:after="0" w:line="203" w:lineRule="exact"/>
        <w:rPr>
          <w:sz w:val="20"/>
          <w:szCs w:val="20"/>
          <w:color w:val="auto"/>
        </w:rPr>
      </w:pPr>
    </w:p>
    <w:p>
      <w:pPr>
        <w:ind w:left="4" w:right="140" w:firstLine="1983"/>
        <w:spacing w:after="0" w:line="272"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Liquidated Damages</w:t>
      </w:r>
      <w:r>
        <w:rPr>
          <w:rFonts w:ascii="Times New Roman" w:cs="Times New Roman" w:eastAsia="Times New Roman" w:hAnsi="Times New Roman"/>
          <w:sz w:val="17"/>
          <w:szCs w:val="17"/>
          <w:color w:val="auto"/>
        </w:rPr>
        <w:t>. If (i) the Initial Registration Statement has not been filed by the Filing Deadline, (ii) the Initial Registration Statement has not been declared effective by the Effectiveness Deadline, (iii) a New Registration Statement has not been filed by the New Registration Filing Deadline, (iv) the New Registration Statement has not been declared effective by the New Registration Effectiveness Deadline or</w:t>
      </w:r>
    </w:p>
    <w:p>
      <w:pPr>
        <w:spacing w:after="0" w:line="2" w:lineRule="exact"/>
        <w:rPr>
          <w:sz w:val="20"/>
          <w:szCs w:val="20"/>
          <w:color w:val="auto"/>
        </w:rPr>
      </w:pPr>
    </w:p>
    <w:p>
      <w:pPr>
        <w:jc w:val="both"/>
        <w:ind w:left="4" w:right="480" w:hanging="4"/>
        <w:spacing w:after="0" w:line="290" w:lineRule="auto"/>
        <w:tabs>
          <w:tab w:leader="none" w:pos="25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48" w:name="page49"/>
    <w:bookmarkEnd w:id="4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Allowed Delay (as defined below) or, if the Registration Statement is on Form S-1, for a period of twenty (20) days following the date on which the Company files a post-effective amendment to incorporate the Company’s Annual Report on Form 10-K, or (vi) after the Filing Deadline, and only in the event a Registration Statement is not effective or available to sell all Registrable Securities, the Company fails to file with the SEC any required reports under Section 13 or 15(d) of the Exchange Act such that it is not in compliance with Rule 144(c)(1), as a result of which the Investors who are not affiliates are unable to sell Registrable Securities without restriction under Rule 144 (each of (i) through (vi), a “</w:t>
      </w:r>
      <w:r>
        <w:rPr>
          <w:rFonts w:ascii="Times New Roman" w:cs="Times New Roman" w:eastAsia="Times New Roman" w:hAnsi="Times New Roman"/>
          <w:sz w:val="18"/>
          <w:szCs w:val="18"/>
          <w:b w:val="1"/>
          <w:bCs w:val="1"/>
          <w:color w:val="auto"/>
        </w:rPr>
        <w:t>Registration Failure</w:t>
      </w:r>
      <w:r>
        <w:rPr>
          <w:rFonts w:ascii="Times New Roman" w:cs="Times New Roman" w:eastAsia="Times New Roman" w:hAnsi="Times New Roman"/>
          <w:sz w:val="18"/>
          <w:szCs w:val="18"/>
          <w:color w:val="auto"/>
        </w:rPr>
        <w:t>”), then the Company will make pro rata payments to each Investor then holding Registrable Securities, as liquidated damages and not as a penalty, in an amount equal to 1.0% of the aggregate amount paid pursuant to the Purchase Agreement by such Investor for such Registrable Securities then held by such Investor upon the occurrence of such Registration Failure and for each 30-day period or pro rata for any portion thereof during which the Registration Failure continues (the “</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provided that, no liquidated damages shall be payable if the Company’s failure was caused by any Force Majeure. Such payments shall not affect the right of the Investors to seek injunctive relief. The amounts payable as liquidated damages pursuant to this paragraph shall be paid in cash no later than five Business Days after each such 30-day period (or pro rated period, if applicable) following the commencement of the Blackout Period until the termination of the Blackout Period (the “</w:t>
      </w:r>
      <w:r>
        <w:rPr>
          <w:rFonts w:ascii="Times New Roman" w:cs="Times New Roman" w:eastAsia="Times New Roman" w:hAnsi="Times New Roman"/>
          <w:sz w:val="18"/>
          <w:szCs w:val="18"/>
          <w:b w:val="1"/>
          <w:bCs w:val="1"/>
          <w:color w:val="auto"/>
        </w:rPr>
        <w:t>Blackout Period Payment Date</w:t>
      </w:r>
      <w:r>
        <w:rPr>
          <w:rFonts w:ascii="Times New Roman" w:cs="Times New Roman" w:eastAsia="Times New Roman" w:hAnsi="Times New Roman"/>
          <w:sz w:val="18"/>
          <w:szCs w:val="18"/>
          <w:color w:val="auto"/>
        </w:rPr>
        <w:t xml:space="preserve">”). Interest shall accrue at the rate of 1.0% per month on any such liquidated damages payments that shall not be paid by the Blackout Period Payment Date until such amount is paid in full. Notwithstanding the above, in no event shall the aggregate amount of liquidated damages (or interest thereon) paid under this Agreement to any Investor exceed, in the aggregate, 5.0% of the aggregate purchase price of the Shares purchased by such Investor under the Purchase Agreement. Notwithstanding anything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to the contrary, during any periods that the Company is unable to meet its obligations hereunder with respect to the registration of the Registrable Securities because any Investor fails to furnish information required to be provided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within three Business Days of the Company’s request, any liquidated damages that would otherwise accrue as to such Investor only shall be tolled until such information is delivered to the Company.</w:t>
      </w:r>
    </w:p>
    <w:p>
      <w:pPr>
        <w:spacing w:after="0" w:line="191" w:lineRule="exact"/>
        <w:rPr>
          <w:sz w:val="20"/>
          <w:szCs w:val="20"/>
          <w:color w:val="auto"/>
        </w:rPr>
      </w:pPr>
    </w:p>
    <w:p>
      <w:pPr>
        <w:ind w:firstLine="1983"/>
        <w:spacing w:after="0" w:line="25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Allowable Delays.</w:t>
      </w:r>
      <w:r>
        <w:rPr>
          <w:rFonts w:ascii="Times New Roman" w:cs="Times New Roman" w:eastAsia="Times New Roman" w:hAnsi="Times New Roman"/>
          <w:sz w:val="18"/>
          <w:szCs w:val="18"/>
          <w:color w:val="auto"/>
        </w:rPr>
        <w:t xml:space="preserve"> On no more than two (2) occasions and for not more than thirty (30) consecutive days or for a total of not more than sixty (60) days in any 12 month period, the Company may delay the effectiveness of the Initial Registration Statement or any other Registration Statement, or suspend the use of any prospectus included in any Registration Statement, in the event that the Company determines in good faith and upon advice of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upon advice of legal counsel, to cause the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b w:val="1"/>
          <w:bCs w:val="1"/>
          <w:color w:val="auto"/>
        </w:rPr>
        <w:t>Allowed Delay</w:t>
      </w:r>
      <w:r>
        <w:rPr>
          <w:rFonts w:ascii="Times New Roman" w:cs="Times New Roman" w:eastAsia="Times New Roman" w:hAnsi="Times New Roman"/>
          <w:sz w:val="18"/>
          <w:szCs w:val="18"/>
          <w:color w:val="auto"/>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Registration Statement until the end of the Allowed Delay and (c) use reasonable best efforts to terminate an Allowed Delay as promptly as practicable. Each Investor may deliver written notice (an “</w:t>
      </w:r>
      <w:r>
        <w:rPr>
          <w:rFonts w:ascii="Times New Roman" w:cs="Times New Roman" w:eastAsia="Times New Roman" w:hAnsi="Times New Roman"/>
          <w:sz w:val="18"/>
          <w:szCs w:val="18"/>
          <w:b w:val="1"/>
          <w:bCs w:val="1"/>
          <w:color w:val="auto"/>
        </w:rPr>
        <w:t>Opt-Out Notice</w:t>
      </w:r>
      <w:r>
        <w:rPr>
          <w:rFonts w:ascii="Times New Roman" w:cs="Times New Roman" w:eastAsia="Times New Roman" w:hAnsi="Times New Roman"/>
          <w:sz w:val="18"/>
          <w:szCs w:val="18"/>
          <w:color w:val="auto"/>
        </w:rPr>
        <w:t>”) to the Company requesting that such Investor not receive notices from the Company otherwise required by this Section 2; provided, however, that such Investor may later revoke any such Opt-Out Notice in writing, which shall be effective five (5) Business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49" w:name="page50"/>
    <w:bookmarkEnd w:id="49"/>
    <w:p>
      <w:pPr>
        <w:ind w:right="2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Days after the receipt thereof. Following receipt of an Opt-Out Notice from an Investor (unless subsequently revoked), the Company shall not deliver any notices pursuant to Section 2(e) to such Investor and such Investor shall no longer be entitled to the rights associated with any such notice.</w:t>
      </w:r>
    </w:p>
    <w:p>
      <w:pPr>
        <w:spacing w:after="0" w:line="140" w:lineRule="exact"/>
        <w:rPr>
          <w:sz w:val="20"/>
          <w:szCs w:val="20"/>
          <w:color w:val="auto"/>
        </w:rPr>
      </w:pPr>
    </w:p>
    <w:p>
      <w:pPr>
        <w:ind w:firstLine="1983"/>
        <w:spacing w:after="0" w:line="25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reasonable best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have its legal counsel, at such Investor’s expense, to review and oversee any registration or matters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In the event that, despite the Company’s reasonable best efforts and compliance with the terms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the SEC refuses to alter its position, the Company shall (i) remove from such Registration Statement such portion of the Registrable Securities (the “</w:t>
      </w:r>
      <w:r>
        <w:rPr>
          <w:rFonts w:ascii="Times New Roman" w:cs="Times New Roman" w:eastAsia="Times New Roman" w:hAnsi="Times New Roman"/>
          <w:sz w:val="18"/>
          <w:szCs w:val="18"/>
          <w:b w:val="1"/>
          <w:bCs w:val="1"/>
          <w:color w:val="auto"/>
        </w:rPr>
        <w:t>Cut Back Shares</w:t>
      </w:r>
      <w:r>
        <w:rPr>
          <w:rFonts w:ascii="Times New Roman" w:cs="Times New Roman" w:eastAsia="Times New Roman" w:hAnsi="Times New Roman"/>
          <w:sz w:val="18"/>
          <w:szCs w:val="18"/>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b w:val="1"/>
          <w:bCs w:val="1"/>
          <w:color w:val="auto"/>
        </w:rPr>
        <w:t>SEC Restrictions</w:t>
      </w:r>
      <w:r>
        <w:rPr>
          <w:rFonts w:ascii="Times New Roman" w:cs="Times New Roman" w:eastAsia="Times New Roman" w:hAnsi="Times New Roman"/>
          <w:sz w:val="18"/>
          <w:szCs w:val="18"/>
          <w:color w:val="auto"/>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w:t>
      </w:r>
    </w:p>
    <w:p>
      <w:pPr>
        <w:spacing w:after="0" w:line="95" w:lineRule="exact"/>
        <w:rPr>
          <w:sz w:val="20"/>
          <w:szCs w:val="20"/>
          <w:color w:val="auto"/>
        </w:rPr>
      </w:pPr>
    </w:p>
    <w:p>
      <w:pPr>
        <w:ind w:left="1420" w:hanging="439"/>
        <w:spacing w:after="0"/>
        <w:tabs>
          <w:tab w:leader="none" w:pos="1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COMPANY OBLIGATIONS.</w:t>
      </w:r>
    </w:p>
    <w:p>
      <w:pPr>
        <w:spacing w:after="0" w:line="22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80" w:lineRule="exact"/>
        <w:rPr>
          <w:sz w:val="20"/>
          <w:szCs w:val="20"/>
          <w:color w:val="auto"/>
        </w:rPr>
      </w:pPr>
    </w:p>
    <w:p>
      <w:pPr>
        <w:ind w:right="14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Company will promptly notify the Investors promptly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183" w:lineRule="exact"/>
        <w:rPr>
          <w:sz w:val="20"/>
          <w:szCs w:val="20"/>
          <w:color w:val="auto"/>
        </w:rPr>
      </w:pPr>
    </w:p>
    <w:p>
      <w:pPr>
        <w:ind w:right="60" w:firstLine="1983"/>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 Company will prepare and file with the SEC any amendments, post-effective amendments or supplements to the Initial Registration Statement, any New Registration Statement or any related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 respect to the distribution of all of the Registrable Securities covered thereby, or (b) in the reasonable opinion of the Investors and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may be necessary or advisable in connection with any acquisition or sale of Registrable Securities by the Investors.</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50" w:name="page51"/>
    <w:bookmarkEnd w:id="50"/>
    <w:p>
      <w:pPr>
        <w:ind w:right="300" w:firstLine="198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Investor Review</w:t>
      </w:r>
      <w:r>
        <w:rPr>
          <w:rFonts w:ascii="Times New Roman" w:cs="Times New Roman" w:eastAsia="Times New Roman" w:hAnsi="Times New Roman"/>
          <w:sz w:val="18"/>
          <w:szCs w:val="18"/>
          <w:color w:val="auto"/>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w:t>
      </w:r>
    </w:p>
    <w:p>
      <w:pPr>
        <w:spacing w:after="0" w:line="183" w:lineRule="exact"/>
        <w:rPr>
          <w:sz w:val="20"/>
          <w:szCs w:val="20"/>
          <w:color w:val="auto"/>
        </w:rPr>
      </w:pPr>
    </w:p>
    <w:p>
      <w:pPr>
        <w:ind w:firstLine="1983"/>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Copies Available</w:t>
      </w:r>
      <w:r>
        <w:rPr>
          <w:rFonts w:ascii="Times New Roman" w:cs="Times New Roman" w:eastAsia="Times New Roman" w:hAnsi="Times New Roman"/>
          <w:sz w:val="18"/>
          <w:szCs w:val="18"/>
          <w:color w:val="auto"/>
        </w:rPr>
        <w:t>.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 to the extent such document is available 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EDGAR.</w:t>
      </w:r>
    </w:p>
    <w:p>
      <w:pPr>
        <w:spacing w:after="0" w:line="207" w:lineRule="exact"/>
        <w:rPr>
          <w:sz w:val="20"/>
          <w:szCs w:val="20"/>
          <w:color w:val="auto"/>
        </w:rPr>
      </w:pPr>
    </w:p>
    <w:p>
      <w:pPr>
        <w:ind w:right="60" w:firstLine="1983"/>
        <w:spacing w:after="0" w:line="25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Notification of Stop Orders; Material Changes</w:t>
      </w:r>
      <w:r>
        <w:rPr>
          <w:rFonts w:ascii="Times New Roman" w:cs="Times New Roman" w:eastAsia="Times New Roman" w:hAnsi="Times New Roman"/>
          <w:sz w:val="18"/>
          <w:szCs w:val="18"/>
          <w:color w:val="auto"/>
        </w:rPr>
        <w:t>. The Company shall use reasonable best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(1) of the Company’s receipt of notice of any request by the SEC or any other federal or state governmental authority for amendment of or a supplement to the Registration Statement or any prospectus or for any additional information; (2)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(3)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(1) through (3) of the immediately preceding sentence (each, a “</w:t>
      </w:r>
      <w:r>
        <w:rPr>
          <w:rFonts w:ascii="Times New Roman" w:cs="Times New Roman" w:eastAsia="Times New Roman" w:hAnsi="Times New Roman"/>
          <w:sz w:val="18"/>
          <w:szCs w:val="18"/>
          <w:b w:val="1"/>
          <w:bCs w:val="1"/>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but rather, shall only be required to disclose that the event has occurred. If at any time the SEC, or any other federal or state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shall issue any stop order suspending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1" w:name="page52"/>
    <w:bookmarkEnd w:id="5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upon request and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(3) of the second sentence of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Company will use its reasonable best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sixty (60) consecutive calendar days; provided, further, that the Company may not suspend the use of all Registration Statements more than twice, or for more than ninety (90) total calendar days, in each case during any twelve-month period.</w:t>
      </w:r>
    </w:p>
    <w:p>
      <w:pPr>
        <w:spacing w:after="0" w:line="194" w:lineRule="exact"/>
        <w:rPr>
          <w:sz w:val="20"/>
          <w:szCs w:val="20"/>
          <w:color w:val="auto"/>
        </w:rPr>
      </w:pPr>
    </w:p>
    <w:p>
      <w:pPr>
        <w:ind w:right="32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Confirmation of Effectiveness</w:t>
      </w:r>
      <w:r>
        <w:rPr>
          <w:rFonts w:ascii="Times New Roman" w:cs="Times New Roman" w:eastAsia="Times New Roman" w:hAnsi="Times New Roman"/>
          <w:sz w:val="18"/>
          <w:szCs w:val="18"/>
          <w:color w:val="auto"/>
        </w:rPr>
        <w:t>.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80" w:lineRule="exact"/>
        <w:rPr>
          <w:sz w:val="20"/>
          <w:szCs w:val="20"/>
          <w:color w:val="auto"/>
        </w:rPr>
      </w:pPr>
    </w:p>
    <w:p>
      <w:pPr>
        <w:ind w:right="32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reasonable best efforts to cause all Registrable Securities covered by a Registration Statement to be listed on the Nasdaq Global Market and any other National Exchange upon which the Registrable Securities are then listed.</w:t>
      </w:r>
    </w:p>
    <w:p>
      <w:pPr>
        <w:spacing w:after="0" w:line="162" w:lineRule="exact"/>
        <w:rPr>
          <w:sz w:val="20"/>
          <w:szCs w:val="20"/>
          <w:color w:val="auto"/>
        </w:rPr>
      </w:pPr>
    </w:p>
    <w:p>
      <w:pPr>
        <w:ind w:right="20" w:firstLine="1983"/>
        <w:spacing w:after="0" w:line="24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8"/>
          <w:szCs w:val="18"/>
          <w:u w:val="single" w:color="auto"/>
          <w:color w:val="auto"/>
        </w:rPr>
        <w:t>subsection 3(h)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forty-fifth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end of such fourth fiscal quarter).</w:t>
      </w:r>
    </w:p>
    <w:p>
      <w:pPr>
        <w:spacing w:after="0" w:line="70" w:lineRule="exact"/>
        <w:rPr>
          <w:sz w:val="20"/>
          <w:szCs w:val="20"/>
          <w:color w:val="auto"/>
        </w:rPr>
      </w:pPr>
    </w:p>
    <w:p>
      <w:pPr>
        <w:ind w:firstLine="1983"/>
        <w:spacing w:after="0" w:line="25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xml:space="preserve">. The Company shall use reasonable best efforts to register or qualify or cooperate with the Investor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(ii) subject itself to general taxation in any jurisdiction where it would not otherwise be so subject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or (iii) file a general consent to service of process in any such jurisdiction.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2" w:name="page53"/>
    <w:bookmarkEnd w:id="52"/>
    <w:p>
      <w:pPr>
        <w:ind w:left="4" w:right="20" w:firstLine="198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 a view to making available to the Investors the benefits of Rule 144 (or its successor rule) and any other rule or regulation of the SEC that may at any time permit the Investors to sell shares of Common Stock to the public without registration, for so long as the Registrable Securities are outstanding,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194" w:lineRule="exact"/>
        <w:rPr>
          <w:sz w:val="20"/>
          <w:szCs w:val="20"/>
          <w:color w:val="auto"/>
        </w:rPr>
      </w:pPr>
    </w:p>
    <w:p>
      <w:pPr>
        <w:ind w:left="4" w:firstLine="1983"/>
        <w:spacing w:after="0" w:line="270" w:lineRule="auto"/>
        <w:rPr>
          <w:sz w:val="20"/>
          <w:szCs w:val="20"/>
          <w:color w:val="auto"/>
        </w:rPr>
      </w:pPr>
      <w:r>
        <w:rPr>
          <w:rFonts w:ascii="Times New Roman" w:cs="Times New Roman" w:eastAsia="Times New Roman" w:hAnsi="Times New Roman"/>
          <w:sz w:val="17"/>
          <w:szCs w:val="17"/>
          <w:color w:val="auto"/>
        </w:rPr>
        <w:t xml:space="preserve">(k)  </w:t>
      </w: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w:t>
      </w:r>
    </w:p>
    <w:p>
      <w:pPr>
        <w:spacing w:after="0" w:line="3" w:lineRule="exact"/>
        <w:rPr>
          <w:sz w:val="20"/>
          <w:szCs w:val="20"/>
          <w:color w:val="auto"/>
        </w:rPr>
      </w:pPr>
    </w:p>
    <w:p>
      <w:pPr>
        <w:ind w:left="4" w:right="560" w:hanging="4"/>
        <w:spacing w:after="0" w:line="260" w:lineRule="auto"/>
        <w:tabs>
          <w:tab w:leader="none" w:pos="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Company may satisfy its obligations hereunder without issuing physical stock certificates through the use of The Depository Trust Company’s Direct Registration System.</w:t>
      </w:r>
    </w:p>
    <w:p>
      <w:pPr>
        <w:spacing w:after="0" w:line="82"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INVESTORS.</w:t>
      </w:r>
    </w:p>
    <w:p>
      <w:pPr>
        <w:spacing w:after="0" w:line="229" w:lineRule="exact"/>
        <w:rPr>
          <w:sz w:val="20"/>
          <w:szCs w:val="20"/>
          <w:color w:val="auto"/>
        </w:rPr>
      </w:pPr>
    </w:p>
    <w:p>
      <w:pPr>
        <w:ind w:left="4" w:right="32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Each Investor shall provide a completed Investor Questionnaire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information as reasonably requested by the Company and required in connection with the registration of the Registrable Securities (such questionnaire or other information provided, the “</w:t>
      </w:r>
      <w:r>
        <w:rPr>
          <w:rFonts w:ascii="Times New Roman" w:cs="Times New Roman" w:eastAsia="Times New Roman" w:hAnsi="Times New Roman"/>
          <w:sz w:val="18"/>
          <w:szCs w:val="18"/>
          <w:b w:val="1"/>
          <w:bCs w:val="1"/>
          <w:color w:val="auto"/>
        </w:rPr>
        <w:t>Questionnaire</w:t>
      </w:r>
      <w:r>
        <w:rPr>
          <w:rFonts w:ascii="Times New Roman" w:cs="Times New Roman" w:eastAsia="Times New Roman" w:hAnsi="Times New Roman"/>
          <w:sz w:val="18"/>
          <w:szCs w:val="18"/>
          <w:color w:val="auto"/>
        </w:rPr>
        <w:t>”). If the Company has not received such completed Questionnaire from an Investor within three (3) Business Days of the Company’s request, the Company may file the Registration Statement without including such Investor’s Registrable Securities.</w:t>
      </w:r>
    </w:p>
    <w:p>
      <w:pPr>
        <w:spacing w:after="0" w:line="183" w:lineRule="exact"/>
        <w:rPr>
          <w:sz w:val="20"/>
          <w:szCs w:val="20"/>
          <w:color w:val="auto"/>
        </w:rPr>
      </w:pPr>
    </w:p>
    <w:p>
      <w:pPr>
        <w:ind w:left="4" w:right="24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Each Investor, severally and not jointly with any other Investor, agrees that, upon receipt of any notice from the Company of the existence of Suspension Event as set forth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Investor will promptly discontinue disposition of Registrable Securities pursuant to any Registration Statement covering such Registrable Securities until the Investor’s receipt of a notice from the Company confirming the resolution of such Suspension Event and that such dispositions may again be made.</w:t>
      </w:r>
    </w:p>
    <w:p>
      <w:pPr>
        <w:spacing w:after="0" w:line="180" w:lineRule="exact"/>
        <w:rPr>
          <w:sz w:val="20"/>
          <w:szCs w:val="20"/>
          <w:color w:val="auto"/>
        </w:rPr>
      </w:pPr>
    </w:p>
    <w:p>
      <w:pPr>
        <w:ind w:left="4" w:right="12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Investor Cooperation</w:t>
      </w:r>
      <w:r>
        <w:rPr>
          <w:rFonts w:ascii="Times New Roman" w:cs="Times New Roman" w:eastAsia="Times New Roman" w:hAnsi="Times New Roman"/>
          <w:sz w:val="18"/>
          <w:szCs w:val="18"/>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81" w:lineRule="exact"/>
        <w:rPr>
          <w:sz w:val="20"/>
          <w:szCs w:val="20"/>
          <w:color w:val="auto"/>
        </w:rPr>
      </w:pPr>
    </w:p>
    <w:p>
      <w:pPr>
        <w:ind w:left="1424" w:hanging="439"/>
        <w:spacing w:after="0"/>
        <w:tabs>
          <w:tab w:leader="none" w:pos="1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229" w:lineRule="exact"/>
        <w:rPr>
          <w:sz w:val="20"/>
          <w:szCs w:val="20"/>
          <w:color w:val="auto"/>
        </w:rPr>
      </w:pPr>
    </w:p>
    <w:p>
      <w:pPr>
        <w:ind w:left="4" w:right="400" w:firstLine="1983"/>
        <w:spacing w:after="0" w:line="266" w:lineRule="auto"/>
        <w:rPr>
          <w:sz w:val="20"/>
          <w:szCs w:val="20"/>
          <w:color w:val="auto"/>
        </w:rPr>
      </w:pPr>
      <w:r>
        <w:rPr>
          <w:rFonts w:ascii="Times New Roman" w:cs="Times New Roman" w:eastAsia="Times New Roman" w:hAnsi="Times New Roman"/>
          <w:sz w:val="18"/>
          <w:szCs w:val="18"/>
          <w:color w:val="auto"/>
        </w:rPr>
        <w:t>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53" w:name="page54"/>
    <w:bookmarkEnd w:id="53"/>
    <w:p>
      <w:pPr>
        <w:ind w:left="1420" w:hanging="439"/>
        <w:spacing w:after="0"/>
        <w:tabs>
          <w:tab w:leader="none" w:pos="1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p>
    <w:p>
      <w:pPr>
        <w:spacing w:after="0" w:line="229" w:lineRule="exact"/>
        <w:rPr>
          <w:sz w:val="20"/>
          <w:szCs w:val="20"/>
          <w:color w:val="auto"/>
        </w:rPr>
      </w:pPr>
    </w:p>
    <w:p>
      <w:pPr>
        <w:ind w:firstLine="1983"/>
        <w:spacing w:after="0" w:line="251" w:lineRule="auto"/>
        <w:rPr>
          <w:sz w:val="20"/>
          <w:szCs w:val="20"/>
          <w:color w:val="auto"/>
        </w:rPr>
      </w:pPr>
      <w:r>
        <w:rPr>
          <w:rFonts w:ascii="Times New Roman" w:cs="Times New Roman" w:eastAsia="Times New Roman" w:hAnsi="Times New Roman"/>
          <w:sz w:val="18"/>
          <w:szCs w:val="18"/>
          <w:color w:val="auto"/>
        </w:rPr>
        <w:t>(a)  To the fullest extent permitted by law, the Company will, and hereby does, indemnify, hold harmless and defend the Investors, each Person, if any, who controls the Investors, the members, the directors, officers, partners, employees, members, managers, agents, representatives and advisors of the Investors and each Person, if any, who controls the Investors within the meaning of the Securities Act or the Exchange Act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losses, obligation, claims, damages, liabilities, contingencies, judgments, fines, penalties, charges, costs (including, without limitation, court costs and costs of preparation, reasonable and documented attorneys’ fees, amounts paid in settlement reasonable and documented expenses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xml:space="preserve">”). The Company shall reimburse each Indemnified Person promptly as such Losses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54" w:name="page55"/>
    <w:bookmarkEnd w:id="54"/>
    <w:p>
      <w:pPr>
        <w:ind w:firstLine="198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In connection with the Initial Registration Statement, any New Registration Statement or any prospectus, each Investor, severally and not jointly, agrees to indemnify, hold harmless and defend, the Company, each of its directors, each of its officers who signed the Initial Registration Statement or signs any New Registration Statement, and each Person, if any, who controls the Company within the meaning of the Securities Act or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against any losses, claims, damages, liabilities and expense (including reasonable attorney fees) resulting from any untrue statement or alleged untrue statement or omission or alleged omission of any material fact contained in any Registration Statement, any preliminary prospectus or final prospectus, or any amendment or supplement thereof, but, in each case to the extent, and only to the extent, that such untrue statement or alleged untrue statement or omission or alleged omission of any material fact contained in any Registration Statement, any preliminary prospectus or final prospectus, or any amendment or supplement thereof, was made occurs in reliance upon and in conformity with information about the relevant Investor furnished in writing by such Investor to the Company for use in such Registration Statement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any Investor be greater in amount than the dollar amount of the proceeds (net of all expenses paid by such Investor in connection with any claim relating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firstLine="1983"/>
        <w:spacing w:after="0" w:line="252" w:lineRule="auto"/>
        <w:rPr>
          <w:sz w:val="20"/>
          <w:szCs w:val="20"/>
          <w:color w:val="auto"/>
        </w:rPr>
      </w:pPr>
      <w:r>
        <w:rPr>
          <w:rFonts w:ascii="Times New Roman" w:cs="Times New Roman" w:eastAsia="Times New Roman" w:hAnsi="Times New Roman"/>
          <w:sz w:val="18"/>
          <w:szCs w:val="18"/>
          <w:color w:val="auto"/>
        </w:rPr>
        <w:t xml:space="preserve">(c)  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55" w:name="page56"/>
    <w:bookmarkEnd w:id="55"/>
    <w:p>
      <w:pPr>
        <w:ind w:left="4" w:right="1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except to the extent that the indemnifying party is prejudiced in its ability to defend such action.</w:t>
      </w:r>
    </w:p>
    <w:p>
      <w:pPr>
        <w:spacing w:after="0" w:line="171" w:lineRule="exact"/>
        <w:rPr>
          <w:sz w:val="20"/>
          <w:szCs w:val="20"/>
          <w:color w:val="auto"/>
        </w:rPr>
      </w:pPr>
    </w:p>
    <w:p>
      <w:pPr>
        <w:ind w:left="4" w:right="4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(d)  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person is later determined to not be entitled to such payment shall return such payment (including reimbursement of expenses) to the person making it.</w:t>
      </w:r>
    </w:p>
    <w:p>
      <w:pPr>
        <w:spacing w:after="0" w:line="180" w:lineRule="exact"/>
        <w:rPr>
          <w:sz w:val="20"/>
          <w:szCs w:val="20"/>
          <w:color w:val="auto"/>
        </w:rPr>
      </w:pPr>
    </w:p>
    <w:p>
      <w:pPr>
        <w:ind w:left="4" w:right="480" w:firstLine="1983"/>
        <w:spacing w:after="0" w:line="266" w:lineRule="auto"/>
        <w:rPr>
          <w:sz w:val="20"/>
          <w:szCs w:val="20"/>
          <w:color w:val="auto"/>
        </w:rPr>
      </w:pPr>
      <w:r>
        <w:rPr>
          <w:rFonts w:ascii="Times New Roman" w:cs="Times New Roman" w:eastAsia="Times New Roman" w:hAnsi="Times New Roman"/>
          <w:sz w:val="18"/>
          <w:szCs w:val="18"/>
          <w:color w:val="auto"/>
        </w:rPr>
        <w:t>(e)  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77" w:lineRule="exact"/>
        <w:rPr>
          <w:sz w:val="20"/>
          <w:szCs w:val="20"/>
          <w:color w:val="auto"/>
        </w:rPr>
      </w:pPr>
    </w:p>
    <w:p>
      <w:pPr>
        <w:ind w:left="1424" w:hanging="439"/>
        <w:spacing w:after="0"/>
        <w:tabs>
          <w:tab w:leader="none" w:pos="1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w:t>
      </w:r>
    </w:p>
    <w:p>
      <w:pPr>
        <w:spacing w:after="0" w:line="229" w:lineRule="exact"/>
        <w:rPr>
          <w:sz w:val="20"/>
          <w:szCs w:val="20"/>
          <w:color w:val="auto"/>
        </w:rPr>
      </w:pPr>
    </w:p>
    <w:p>
      <w:pPr>
        <w:ind w:left="4" w:right="80" w:firstLine="1983"/>
        <w:spacing w:after="0" w:line="255"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w:t>
      </w:r>
    </w:p>
    <w:p>
      <w:pPr>
        <w:spacing w:after="0" w:line="3" w:lineRule="exact"/>
        <w:rPr>
          <w:sz w:val="20"/>
          <w:szCs w:val="20"/>
          <w:color w:val="auto"/>
        </w:rPr>
      </w:pPr>
    </w:p>
    <w:p>
      <w:pPr>
        <w:jc w:val="both"/>
        <w:ind w:left="4" w:right="40" w:hanging="4"/>
        <w:spacing w:after="0" w:line="253"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9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REGISTRATION RIGHTS.</w:t>
      </w:r>
    </w:p>
    <w:p>
      <w:pPr>
        <w:spacing w:after="0" w:line="229" w:lineRule="exact"/>
        <w:rPr>
          <w:sz w:val="20"/>
          <w:szCs w:val="20"/>
          <w:color w:val="auto"/>
        </w:rPr>
      </w:pPr>
    </w:p>
    <w:p>
      <w:pPr>
        <w:ind w:left="4" w:firstLine="1983"/>
        <w:spacing w:after="0" w:line="253"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(whether by operation of law or otherwise) without the prior written consent of the Investors holding a majority of the Registrable Securities then outstanding;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Investors holding a majority of the Registrable Securities then outstanding shall not be required for such transaction. An Investor may transfer or assign its rights hereunder, in whole or from time to time in part, to one or more Persons in connection with the transfer of Registrable Securities by such Investor to such Person,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56" w:name="page57"/>
    <w:bookmarkEnd w:id="56"/>
    <w:p>
      <w:pPr>
        <w:ind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 The provisions of this Agreement shall be binding upon and inure to the benefit of the Investors and their successors and permitted assigns.</w:t>
      </w:r>
    </w:p>
    <w:p>
      <w:pPr>
        <w:spacing w:after="0" w:line="59" w:lineRule="exact"/>
        <w:rPr>
          <w:sz w:val="20"/>
          <w:szCs w:val="20"/>
          <w:color w:val="auto"/>
        </w:rPr>
      </w:pPr>
    </w:p>
    <w:p>
      <w:pPr>
        <w:ind w:left="1420" w:hanging="439"/>
        <w:spacing w:after="0"/>
        <w:tabs>
          <w:tab w:leader="none" w:pos="14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ind w:firstLine="1983"/>
        <w:spacing w:after="0" w:line="253" w:lineRule="auto"/>
        <w:rPr>
          <w:sz w:val="20"/>
          <w:szCs w:val="20"/>
          <w:color w:val="auto"/>
        </w:rPr>
      </w:pPr>
      <w:r>
        <w:rPr>
          <w:rFonts w:ascii="Times New Roman" w:cs="Times New Roman" w:eastAsia="Times New Roman" w:hAnsi="Times New Roman"/>
          <w:sz w:val="18"/>
          <w:szCs w:val="18"/>
          <w:color w:val="auto"/>
        </w:rPr>
        <w:t>The provisions of this Agreement, including the provisions of this sentence, may be amended, modified or supplemented, or waived only by a written instrument executed by (i) the Company and (ii) each Investor that, together with its Affiliates (and any other Person that shares the same management company or investment adviser or sub-adviser as such Investor), agreed to purchase at least $20,000,000 of Registrable Securities pursuant to the Purchase Agreement and at least such amount is then held by such Investor and its Affiliates (and any other Person that shares the same management company or investment adviser or sub-adviser as such Investor), provided that any party may give a waiver as to itself and provided further that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spacing w:after="0" w:line="96" w:lineRule="exact"/>
        <w:rPr>
          <w:sz w:val="20"/>
          <w:szCs w:val="20"/>
          <w:color w:val="auto"/>
        </w:rPr>
      </w:pPr>
    </w:p>
    <w:p>
      <w:pPr>
        <w:ind w:left="1420" w:hanging="439"/>
        <w:spacing w:after="0"/>
        <w:tabs>
          <w:tab w:leader="none" w:pos="1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8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89" w:lineRule="exact"/>
        <w:rPr>
          <w:sz w:val="20"/>
          <w:szCs w:val="20"/>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addressed as follows: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Daniel Lochner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112" w:lineRule="exact"/>
        <w:rPr>
          <w:sz w:val="20"/>
          <w:szCs w:val="20"/>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Divakar Gupta and Brandon Fenn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57" w:name="page58"/>
    <w:bookmarkEnd w:id="57"/>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ii.  If to any Investor, at its e-mail address or address set forth on its signature page to the Purchase Agreement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right="4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of the Purchase Agreement are incorporated by reference herein </w:t>
      </w:r>
      <w:r>
        <w:rPr>
          <w:rFonts w:ascii="Times New Roman" w:cs="Times New Roman" w:eastAsia="Times New Roman" w:hAnsi="Times New Roman"/>
          <w:sz w:val="18"/>
          <w:szCs w:val="18"/>
          <w:i w:val="1"/>
          <w:iCs w:val="1"/>
          <w:color w:val="auto"/>
        </w:rPr>
        <w:t>mutatis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8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2" w:lineRule="exact"/>
        <w:rPr>
          <w:sz w:val="20"/>
          <w:szCs w:val="20"/>
          <w:color w:val="auto"/>
        </w:rPr>
      </w:pPr>
    </w:p>
    <w:p>
      <w:pPr>
        <w:ind w:right="4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sz w:val="20"/>
          <w:szCs w:val="20"/>
          <w:color w:val="auto"/>
        </w:rPr>
      </w:pPr>
    </w:p>
    <w:p>
      <w:pPr>
        <w:ind w:right="32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ind w:right="80" w:firstLine="1983"/>
        <w:spacing w:after="0" w:line="312" w:lineRule="auto"/>
        <w:rPr>
          <w:sz w:val="20"/>
          <w:szCs w:val="20"/>
          <w:color w:val="auto"/>
        </w:rPr>
      </w:pPr>
      <w:r>
        <w:rPr>
          <w:rFonts w:ascii="Times New Roman" w:cs="Times New Roman" w:eastAsia="Times New Roman" w:hAnsi="Times New Roman"/>
          <w:sz w:val="17"/>
          <w:szCs w:val="17"/>
          <w:color w:val="auto"/>
        </w:rPr>
        <w:t xml:space="preserve">(h)  </w:t>
      </w:r>
      <w:r>
        <w:rPr>
          <w:rFonts w:ascii="Times New Roman" w:cs="Times New Roman" w:eastAsia="Times New Roman" w:hAnsi="Times New Roman"/>
          <w:sz w:val="17"/>
          <w:szCs w:val="17"/>
          <w:u w:val="single" w:color="auto"/>
          <w:color w:val="auto"/>
        </w:rPr>
        <w:t>Contract Interpretation</w:t>
      </w:r>
      <w:r>
        <w:rPr>
          <w:rFonts w:ascii="Times New Roman" w:cs="Times New Roman" w:eastAsia="Times New Roman" w:hAnsi="Times New Roman"/>
          <w:sz w:val="17"/>
          <w:szCs w:val="17"/>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40" w:lineRule="exact"/>
        <w:rPr>
          <w:sz w:val="20"/>
          <w:szCs w:val="20"/>
          <w:color w:val="auto"/>
        </w:rPr>
      </w:pPr>
    </w:p>
    <w:p>
      <w:pPr>
        <w:ind w:firstLine="1983"/>
        <w:spacing w:after="0" w:line="25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Except as set forth in Section 6, 7 and 8,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spacing w:after="0" w:line="183" w:lineRule="exact"/>
        <w:rPr>
          <w:sz w:val="20"/>
          <w:szCs w:val="20"/>
          <w:color w:val="auto"/>
        </w:rPr>
      </w:pPr>
    </w:p>
    <w:p>
      <w:pPr>
        <w:ind w:right="12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58" w:name="page59"/>
    <w:bookmarkEnd w:id="58"/>
    <w:p>
      <w:pPr>
        <w:ind w:firstLine="198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(k)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92" w:lineRule="exact"/>
        <w:rPr>
          <w:sz w:val="20"/>
          <w:szCs w:val="20"/>
          <w:color w:val="auto"/>
        </w:rPr>
      </w:pPr>
    </w:p>
    <w:p>
      <w:pPr>
        <w:ind w:firstLine="1983"/>
        <w:spacing w:after="0" w:line="26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spacing w:after="0" w:line="17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above.</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880"/>
          </w:cols>
          <w:pgMar w:left="440" w:top="266" w:right="57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above.</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880"/>
          </w:cols>
          <w:pgMar w:left="440" w:top="266" w:right="57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therein received after the date of this prospectus from a selling stockholder as a gift, pledge, partnership distribution or other transfer, may, from time to time, sell, transfer or otherwise dispose of any or all of their shares of common stock or interests therein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420" w:right="40" w:hanging="331"/>
        <w:spacing w:after="0" w:line="282" w:lineRule="auto"/>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 entered into after the effective date of the registration statement of which this prospectus is a part;</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shares of common stock owned by them and, if they default in the performance of their secured obligations, the pledgees or secured parties may offer and sell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shares of common stock in other circumstances, in which case the transferees, pledgees or other successors in interest will be the selling stockholders for purposes of this prospectus.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62" w:name="page63"/>
    <w:bookmarkEnd w:id="6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a selling stockholder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To the extent required, the shares of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3" w:name="page64"/>
    <w:bookmarkEnd w:id="63"/>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 common stock offered by this prospectus.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pursuant to Rule 144 or pursuant to this prospectus, and (ii) the date on which the securities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4" w:name="page65"/>
    <w:bookmarkEnd w:id="64"/>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Investor Questionnaire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52" w:lineRule="exact"/>
        <w:rPr>
          <w:sz w:val="20"/>
          <w:szCs w:val="20"/>
          <w:color w:val="auto"/>
        </w:rPr>
      </w:pPr>
    </w:p>
    <w:p>
      <w:pPr>
        <w:ind w:left="244" w:hanging="244"/>
        <w:spacing w:after="0"/>
        <w:tabs>
          <w:tab w:leader="none" w:pos="2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884" w:hanging="641"/>
        <w:spacing w:after="0"/>
        <w:tabs>
          <w:tab w:leader="none" w:pos="8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Investor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884" w:hanging="641"/>
        <w:spacing w:after="0"/>
        <w:tabs>
          <w:tab w:leader="none" w:pos="8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884" w:right="80" w:hanging="641"/>
        <w:spacing w:after="0" w:line="282" w:lineRule="auto"/>
        <w:tabs>
          <w:tab w:leader="none" w:pos="8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-1539875</wp:posOffset>
            </wp:positionV>
            <wp:extent cx="64293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-974090</wp:posOffset>
            </wp:positionV>
            <wp:extent cx="64293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-271145</wp:posOffset>
            </wp:positionV>
            <wp:extent cx="64293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294005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516890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739775</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xml:space="preserve">Telephone: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tcBorders>
              <w:left w:val="single" w:sz="8" w:color="auto"/>
            </w:tcBorders>
          </w:tcPr>
          <w:p>
            <w:pPr>
              <w:spacing w:after="0" w:line="20" w:lineRule="exact"/>
              <w:rPr>
                <w:sz w:val="1"/>
                <w:szCs w:val="1"/>
                <w:color w:val="auto"/>
              </w:rPr>
            </w:pPr>
          </w:p>
        </w:tc>
      </w:tr>
      <w:tr>
        <w:trPr>
          <w:trHeight w:val="304"/>
        </w:trPr>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xml:space="preserve">E-Mail: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53"/>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Contact Person: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372"/>
        </w:trPr>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7"/>
                <w:szCs w:val="17"/>
                <w:color w:val="auto"/>
                <w:w w:val="70"/>
              </w:rPr>
              <w:t>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024"/>
          </w:cols>
          <w:pgMar w:left="436" w:top="266" w:right="439" w:bottom="1440" w:gutter="0" w:footer="0" w:header="0"/>
        </w:sectPr>
      </w:pPr>
    </w:p>
    <w:bookmarkStart w:id="65" w:name="page66"/>
    <w:bookmarkEnd w:id="6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Broker-Dealer Status:</w:t>
      </w:r>
    </w:p>
    <w:p>
      <w:pPr>
        <w:spacing w:after="0" w:line="256" w:lineRule="exact"/>
        <w:rPr>
          <w:sz w:val="20"/>
          <w:szCs w:val="20"/>
          <w:color w:val="auto"/>
        </w:rPr>
      </w:pPr>
    </w:p>
    <w:p>
      <w:pPr>
        <w:ind w:left="1184" w:hanging="644"/>
        <w:spacing w:after="0"/>
        <w:tabs>
          <w:tab w:leader="none" w:pos="1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jc w:val="center"/>
        <w:ind w:right="-4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left="4564" w:right="80" w:hanging="4024"/>
        <w:spacing w:after="0" w:line="347" w:lineRule="exact"/>
        <w:tabs>
          <w:tab w:leader="none" w:pos="11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left="1184" w:right="660" w:hanging="639"/>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Note:</w:t>
        <w:tab/>
        <w:t>If “no” to Section 3(b), the Commission’s staff has indicated that you should be identified as an underwriter in the Registration Statement.</w:t>
      </w:r>
    </w:p>
    <w:p>
      <w:pPr>
        <w:spacing w:after="0" w:line="189" w:lineRule="exact"/>
        <w:rPr>
          <w:sz w:val="20"/>
          <w:szCs w:val="20"/>
          <w:color w:val="auto"/>
        </w:rPr>
      </w:pPr>
    </w:p>
    <w:p>
      <w:pPr>
        <w:ind w:left="1184" w:hanging="644"/>
        <w:spacing w:after="0"/>
        <w:tabs>
          <w:tab w:leader="none" w:pos="1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184" w:lineRule="exact"/>
        <w:rPr>
          <w:sz w:val="20"/>
          <w:szCs w:val="20"/>
          <w:color w:val="auto"/>
        </w:rPr>
      </w:pPr>
    </w:p>
    <w:p>
      <w:pPr>
        <w:jc w:val="center"/>
        <w:ind w:right="-4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left="1184" w:right="60" w:hanging="644"/>
        <w:spacing w:after="0" w:line="266" w:lineRule="auto"/>
        <w:tabs>
          <w:tab w:leader="none" w:pos="11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jc w:val="center"/>
        <w:ind w:right="-4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left="1184" w:right="660" w:hanging="639"/>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Note:</w:t>
        <w:tab/>
        <w:t>If “no” to Section 3(d), the Commission’s staff has indicated that you should be identified as an underwriter in the Registration Statement.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Investor.</w:t>
      </w:r>
    </w:p>
    <w:p>
      <w:pPr>
        <w:spacing w:after="0" w:line="227" w:lineRule="exact"/>
        <w:rPr>
          <w:sz w:val="20"/>
          <w:szCs w:val="20"/>
          <w:color w:val="auto"/>
        </w:rPr>
      </w:pPr>
    </w:p>
    <w:p>
      <w:pPr>
        <w:ind w:left="544"/>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87" w:lineRule="exact"/>
        <w:rPr>
          <w:sz w:val="20"/>
          <w:szCs w:val="20"/>
          <w:color w:val="auto"/>
        </w:rPr>
      </w:pPr>
    </w:p>
    <w:p>
      <w:pPr>
        <w:ind w:left="1184" w:hanging="644"/>
        <w:spacing w:after="0"/>
        <w:tabs>
          <w:tab w:leader="none" w:pos="11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Investor:</w:t>
      </w:r>
    </w:p>
    <w:p>
      <w:pPr>
        <w:spacing w:after="0" w:line="130"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17145</wp:posOffset>
            </wp:positionV>
            <wp:extent cx="62236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308610</wp:posOffset>
            </wp:positionV>
            <wp:extent cx="6223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6"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Relationships with the Company:</w:t>
      </w:r>
    </w:p>
    <w:p>
      <w:pPr>
        <w:spacing w:after="0" w:line="119" w:lineRule="exact"/>
        <w:rPr>
          <w:sz w:val="20"/>
          <w:szCs w:val="20"/>
          <w:color w:val="auto"/>
        </w:rPr>
      </w:pPr>
    </w:p>
    <w:p>
      <w:pPr>
        <w:jc w:val="both"/>
        <w:ind w:left="540" w:right="18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17145</wp:posOffset>
            </wp:positionV>
            <wp:extent cx="66433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308610</wp:posOffset>
            </wp:positionV>
            <wp:extent cx="66433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43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Securities Act and the rules and regulation promulgates thereunder may require the undersigned to promptly notify the Company of any material inaccuracies or changes in the information provided herein that may occur subsequent to the date hereof at any time as long as the undersigned holds Registrable Securities (as defined in the Registration Rights Agreement). In the absence of any such notification, the Company shall be entitled to continue to rely on the accuracy of the information in this Notice and Questionnaire.</w:t>
      </w:r>
    </w:p>
    <w:p>
      <w:pPr>
        <w:spacing w:after="0" w:line="18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7"/>
              </w:rPr>
              <w:t> </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Beneficial Owner:</w:t>
            </w:r>
          </w:p>
        </w:tc>
        <w:tc>
          <w:tcPr>
            <w:tcW w:w="3740" w:type="dxa"/>
            <w:vAlign w:val="bottom"/>
            <w:tcBorders>
              <w:bottom w:val="single" w:sz="8" w:color="auto"/>
            </w:tcBorders>
          </w:tcPr>
          <w:p>
            <w:pPr>
              <w:spacing w:after="0"/>
              <w:rPr>
                <w:sz w:val="18"/>
                <w:szCs w:val="18"/>
                <w:color w:val="auto"/>
              </w:rPr>
            </w:pPr>
          </w:p>
        </w:tc>
      </w:tr>
      <w:tr>
        <w:trPr>
          <w:trHeight w:val="466"/>
        </w:trPr>
        <w:tc>
          <w:tcPr>
            <w:tcW w:w="540" w:type="dxa"/>
            <w:vAlign w:val="bottom"/>
          </w:tcPr>
          <w:p>
            <w:pPr>
              <w:spacing w:after="0"/>
              <w:rPr>
                <w:sz w:val="24"/>
                <w:szCs w:val="24"/>
                <w:color w:val="auto"/>
              </w:rPr>
            </w:pPr>
          </w:p>
        </w:tc>
        <w:tc>
          <w:tcPr>
            <w:tcW w:w="4000" w:type="dxa"/>
            <w:vAlign w:val="bottom"/>
          </w:tcPr>
          <w:p>
            <w:pPr>
              <w:ind w:left="3900"/>
              <w:spacing w:after="0"/>
              <w:rPr>
                <w:sz w:val="20"/>
                <w:szCs w:val="20"/>
                <w:color w:val="auto"/>
              </w:rPr>
            </w:pPr>
            <w:r>
              <w:rPr>
                <w:rFonts w:ascii="Times New Roman" w:cs="Times New Roman" w:eastAsia="Times New Roman" w:hAnsi="Times New Roman"/>
                <w:sz w:val="11"/>
                <w:szCs w:val="11"/>
                <w:color w:val="auto"/>
                <w:w w:val="72"/>
              </w:rPr>
              <w:t> </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   </w:t>
            </w:r>
          </w:p>
        </w:tc>
        <w:tc>
          <w:tcPr>
            <w:tcW w:w="5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5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0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spacing w:after="0"/>
              <w:rPr>
                <w:sz w:val="17"/>
                <w:szCs w:val="17"/>
                <w:color w:val="auto"/>
              </w:rPr>
            </w:pPr>
          </w:p>
        </w:tc>
      </w:tr>
      <w:tr>
        <w:trPr>
          <w:trHeight w:val="234"/>
        </w:trPr>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Tectonic Announces $185 Million Private Placement</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WATERTOWN, Mass., February 3, 2025 – Tectonic Therapeutic, Inc. (NASDAQ: TECX)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Tectonic</w:t>
      </w:r>
      <w:r>
        <w:rPr>
          <w:rFonts w:ascii="Times New Roman" w:cs="Times New Roman" w:eastAsia="Times New Roman" w:hAnsi="Times New Roman"/>
          <w:sz w:val="18"/>
          <w:szCs w:val="18"/>
          <w:color w:val="auto"/>
        </w:rPr>
        <w:t>”), today announced that it has entered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purchase agreement for a private investment in public equity financing (the “</w:t>
      </w:r>
      <w:r>
        <w:rPr>
          <w:rFonts w:ascii="Times New Roman" w:cs="Times New Roman" w:eastAsia="Times New Roman" w:hAnsi="Times New Roman"/>
          <w:sz w:val="18"/>
          <w:szCs w:val="18"/>
          <w:b w:val="1"/>
          <w:bCs w:val="1"/>
          <w:color w:val="auto"/>
        </w:rPr>
        <w:t>PIPE</w:t>
      </w:r>
      <w:r>
        <w:rPr>
          <w:rFonts w:ascii="Times New Roman" w:cs="Times New Roman" w:eastAsia="Times New Roman" w:hAnsi="Times New Roman"/>
          <w:sz w:val="18"/>
          <w:szCs w:val="18"/>
          <w:color w:val="auto"/>
        </w:rPr>
        <w:t>”) that is expected to result in gross proceeds of approximately $185.0 million.</w:t>
      </w:r>
    </w:p>
    <w:p>
      <w:pPr>
        <w:spacing w:after="0" w:line="175"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Pursuant to the terms of the securities purchase agreement, at the closing of the PIPE, Tectonic will issue an aggregate of 3,689,465 shares of common stock at a price of $50.00 per share to fund investors and $54.14 per share to individual investors that are either an officer or director of Tectonic.</w:t>
      </w:r>
    </w:p>
    <w:p>
      <w:pPr>
        <w:spacing w:after="0" w:line="140"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PIPE financing included participation from new and existing investors, including Adage Capital Partners LP, Ally Bridge Group, Deep Track Capital, EcoR1 Capital, funds managed by Farallon Capital Management, L.L.C., Soleus Capital, StemPoint Capital LP, TAS Partners, Woodline Partners LP, a major mutual fund, a life-sciences focused institutional investor and other investors.</w:t>
      </w:r>
    </w:p>
    <w:p>
      <w:pPr>
        <w:spacing w:after="0" w:line="176"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are excited to announce this significant financing,” said Alise Reicin, M.D, Chief Executive Officer of Tectonic. “The additional capital will help us further advance our discovery and development of therapeutic proteins and antibodies that modulate the activity of G-protein coupled receptors.”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Cowen, Leerink Partners, Piper Sandler and Wells Fargo Securities acted as placement agents for the PIPE.</w:t>
      </w:r>
    </w:p>
    <w:p>
      <w:pPr>
        <w:spacing w:after="0" w:line="22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Tectonic expects to use net proceeds from the PIPE to fund the clinical development of TX45, clinical development of TX2100, discovery platform development as well as for working capital and other general corporate purposes. The PIPE is expected to close on February 5, 2025, subject to the satisfaction of customary closing conditions.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offer and sale of the shares of common stock to be sold in the PIPE are being made in a transaction not involving a public offering, and the shares have not been registered under the Securities Act of 1933, as amended (the Securities Act), or any applicable state securities laws and, unless so registered, may not be offered or sold in the United States except pursuant to an exemption from the registration requirements of the Securities Act and such applicable state securities laws. Tectonic has agreed to register the resale of the shares of common stock to be issued in the PIPE with the Securities and Exchange Commission.</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Tectonic</w:t>
      </w:r>
    </w:p>
    <w:p>
      <w:pPr>
        <w:spacing w:after="0" w:line="12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Tectonic is a biotechnology company focused on the discovery and development of therapeutic proteins and antibodies that modulate the activity of G-protein coupled receptors (“</w:t>
      </w:r>
      <w:r>
        <w:rPr>
          <w:rFonts w:ascii="Times New Roman" w:cs="Times New Roman" w:eastAsia="Times New Roman" w:hAnsi="Times New Roman"/>
          <w:sz w:val="18"/>
          <w:szCs w:val="18"/>
          <w:b w:val="1"/>
          <w:bCs w:val="1"/>
          <w:color w:val="auto"/>
        </w:rPr>
        <w:t>GPCRs</w:t>
      </w:r>
      <w:r>
        <w:rPr>
          <w:rFonts w:ascii="Times New Roman" w:cs="Times New Roman" w:eastAsia="Times New Roman" w:hAnsi="Times New Roman"/>
          <w:sz w:val="18"/>
          <w:szCs w:val="18"/>
          <w:color w:val="auto"/>
        </w:rPr>
        <w:t>”). Leveraging its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www.tectonictx.com and follow on LinkedIn.</w:t>
      </w:r>
    </w:p>
    <w:p>
      <w:pPr>
        <w:sectPr>
          <w:pgSz w:w="11900" w:h="16838" w:orient="portrait"/>
          <w:cols w:equalWidth="0" w:num="1">
            <w:col w:w="11020"/>
          </w:cols>
          <w:pgMar w:left="440" w:top="117"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statements regarding: the timing, size and completion of the PIPE and the anticipated use of proceeds from the PIPE.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with</w:t>
      </w:r>
    </w:p>
    <w:p>
      <w:pPr>
        <w:spacing w:after="0" w:line="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SEC on November 12, 2024,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Ferry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 430-7576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Kathryn Morris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kathryn@theyatesnetwork.com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 204-6412</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3"/>
    </w:lvl>
  </w:abstractNum>
  <w:abstractNum w:abstractNumId="2">
    <w:nsid w:val="6B68079A"/>
    <w:multiLevelType w:val="hybridMultilevel"/>
    <w:lvl w:ilvl="0">
      <w:lvlJc w:val="left"/>
      <w:lvlText w:val="(%1)"/>
      <w:numFmt w:val="lowerRoman"/>
      <w:start w:val="4"/>
    </w:lvl>
  </w:abstractNum>
  <w:abstractNum w:abstractNumId="3">
    <w:nsid w:val="4E6AFB66"/>
    <w:multiLevelType w:val="hybridMultilevel"/>
    <w:lvl w:ilvl="0">
      <w:lvlJc w:val="left"/>
      <w:lvlText w:val="(%1)"/>
      <w:numFmt w:val="lowerRoman"/>
      <w:start w:val="1"/>
    </w:lvl>
  </w:abstractNum>
  <w:abstractNum w:abstractNumId="4">
    <w:nsid w:val="25E45D32"/>
    <w:multiLevelType w:val="hybridMultilevel"/>
    <w:lvl w:ilvl="0">
      <w:lvlJc w:val="left"/>
      <w:lvlText w:val="(%1)"/>
      <w:numFmt w:val="lowerRoman"/>
      <w:start w:val="1"/>
    </w:lvl>
  </w:abstractNum>
  <w:abstractNum w:abstractNumId="5">
    <w:nsid w:val="519B500D"/>
    <w:multiLevelType w:val="hybridMultilevel"/>
    <w:lvl w:ilvl="0">
      <w:lvlJc w:val="left"/>
      <w:lvlText w:val="(%1)"/>
      <w:numFmt w:val="lowerRoman"/>
      <w:start w:val="1"/>
    </w:lvl>
  </w:abstractNum>
  <w:abstractNum w:abstractNumId="6">
    <w:nsid w:val="431BD7B7"/>
    <w:multiLevelType w:val="hybridMultilevel"/>
    <w:lvl w:ilvl="0">
      <w:lvlJc w:val="left"/>
      <w:lvlText w:val="(%1)"/>
      <w:numFmt w:val="lowerRoman"/>
      <w:start w:val="4"/>
    </w:lvl>
  </w:abstractNum>
  <w:abstractNum w:abstractNumId="7">
    <w:nsid w:val="3F2DBA31"/>
    <w:multiLevelType w:val="hybridMultilevel"/>
    <w:lvl w:ilvl="0">
      <w:lvlJc w:val="left"/>
      <w:lvlText w:val="(%1)"/>
      <w:numFmt w:val="lowerRoman"/>
      <w:start w:val="1"/>
    </w:lvl>
  </w:abstractNum>
  <w:abstractNum w:abstractNumId="8">
    <w:nsid w:val="7C83E458"/>
    <w:multiLevelType w:val="hybridMultilevel"/>
    <w:lvl w:ilvl="0">
      <w:lvlJc w:val="left"/>
      <w:lvlText w:val="(%1)"/>
      <w:numFmt w:val="decimal"/>
      <w:start w:val="3"/>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1)"/>
      <w:numFmt w:val="lowerRoman"/>
      <w:start w:val="5"/>
    </w:lvl>
  </w:abstractNum>
  <w:abstractNum w:abstractNumId="12">
    <w:nsid w:val="628C895D"/>
    <w:multiLevelType w:val="hybridMultilevel"/>
    <w:lvl w:ilvl="0">
      <w:lvlJc w:val="left"/>
      <w:lvlText w:val="%1."/>
      <w:numFmt w:val="decimal"/>
      <w:start w:val="3"/>
    </w:lvl>
  </w:abstractNum>
  <w:abstractNum w:abstractNumId="13">
    <w:nsid w:val="333AB105"/>
    <w:multiLevelType w:val="hybridMultilevel"/>
    <w:lvl w:ilvl="0">
      <w:lvlJc w:val="left"/>
      <w:lvlText w:val=";"/>
      <w:numFmt w:val="bullet"/>
      <w:start w:val="1"/>
    </w:lvl>
    <w:lvl w:ilvl="1">
      <w:lvlJc w:val="left"/>
      <w:lvlText w:val="%2."/>
      <w:numFmt w:val="decimal"/>
      <w:start w:val="4"/>
    </w:lvl>
  </w:abstractNum>
  <w:abstractNum w:abstractNumId="14">
    <w:nsid w:val="721DA317"/>
    <w:multiLevelType w:val="hybridMultilevel"/>
    <w:lvl w:ilvl="0">
      <w:lvlJc w:val="left"/>
      <w:lvlText w:val="%1."/>
      <w:numFmt w:val="decimal"/>
      <w:start w:val="5"/>
    </w:lvl>
  </w:abstractNum>
  <w:abstractNum w:abstractNumId="15">
    <w:nsid w:val="2443A858"/>
    <w:multiLevelType w:val="hybridMultilevel"/>
    <w:lvl w:ilvl="0">
      <w:lvlJc w:val="left"/>
      <w:lvlText w:val="%1."/>
      <w:numFmt w:val="decimal"/>
      <w:start w:val="6"/>
    </w:lvl>
  </w:abstractNum>
  <w:abstractNum w:abstractNumId="16">
    <w:nsid w:val="2D1D5AE9"/>
    <w:multiLevelType w:val="hybridMultilevel"/>
    <w:lvl w:ilvl="0">
      <w:lvlJc w:val="left"/>
      <w:lvlText w:val="%1."/>
      <w:numFmt w:val="decimal"/>
      <w:start w:val="7"/>
    </w:lvl>
  </w:abstractNum>
  <w:abstractNum w:abstractNumId="17">
    <w:nsid w:val="6763845E"/>
    <w:multiLevelType w:val="hybridMultilevel"/>
    <w:lvl w:ilvl="0">
      <w:lvlJc w:val="left"/>
      <w:lvlText w:val="(%1)"/>
      <w:numFmt w:val="lowerRoman"/>
      <w:start w:val="2"/>
    </w:lvl>
    <w:lvl w:ilvl="1">
      <w:lvlJc w:val="left"/>
      <w:lvlText w:val="%2."/>
      <w:numFmt w:val="decimal"/>
      <w:start w:val="8"/>
    </w:lvl>
  </w:abstractNum>
  <w:abstractNum w:abstractNumId="18">
    <w:nsid w:val="75A2A8D4"/>
    <w:multiLevelType w:val="hybridMultilevel"/>
    <w:lvl w:ilvl="0">
      <w:lvlJc w:val="left"/>
      <w:lvlText w:val="%1."/>
      <w:numFmt w:val="decimal"/>
      <w:start w:val="9"/>
    </w:lvl>
  </w:abstractNum>
  <w:abstractNum w:abstractNumId="19">
    <w:nsid w:val="8EDBDAB"/>
    <w:multiLevelType w:val="hybridMultilevel"/>
    <w:lvl w:ilvl="0">
      <w:lvlJc w:val="left"/>
      <w:lvlText w:val="%1."/>
      <w:numFmt w:val="decimal"/>
      <w:start w:val="10"/>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 "/>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lowerLetter"/>
      <w:start w:val="3"/>
    </w:lvl>
  </w:abstractNum>
  <w:abstractNum w:abstractNumId="27">
    <w:nsid w:val="836C40E"/>
    <w:multiLevelType w:val="hybridMultilevel"/>
    <w:lvl w:ilvl="0">
      <w:lvlJc w:val="left"/>
      <w:lvlText w:val="(%1)"/>
      <w:numFmt w:val="lowerLetter"/>
      <w:start w:val="4"/>
    </w:lvl>
  </w:abstractNum>
  <w:abstractNum w:abstractNumId="28">
    <w:nsid w:val="2901D82"/>
    <w:multiLevelType w:val="hybridMultilevel"/>
    <w:lvl w:ilvl="0">
      <w:lvlJc w:val="left"/>
      <w:lvlText w:val=" "/>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2025-02-03T05:40:23Z</dcterms:created>
  <dcterms:modified xsi:type="dcterms:W3CDTF">2025-02-03T05:40:23Z</dcterms:modified>
</cp:coreProperties>
</file>