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1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278370" cy="9392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29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20"/>
            <w:col w:w="874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60" w:type="dxa"/>
            <w:vAlign w:val="bottom"/>
            <w:gridSpan w:val="9"/>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8"/>
          </w:tcPr>
          <w:p>
            <w:pPr>
              <w:ind w:left="60"/>
              <w:spacing w:after="0"/>
              <w:rPr>
                <w:sz w:val="20"/>
                <w:szCs w:val="20"/>
                <w:color w:val="auto"/>
              </w:rPr>
            </w:pPr>
            <w:r>
              <w:rPr>
                <w:rFonts w:ascii="Arial" w:cs="Arial" w:eastAsia="Arial" w:hAnsi="Arial"/>
                <w:sz w:val="13"/>
                <w:szCs w:val="13"/>
                <w:color w:val="auto"/>
                <w:w w:val="99"/>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gridSpan w:val="8"/>
            <w:vMerge w:val="restart"/>
          </w:tcPr>
          <w:p>
            <w:pPr>
              <w:ind w:left="20"/>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Clarus Lifesciences III, L.P.</w:t>
              </w:r>
            </w:hyperlink>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gridSpan w:val="8"/>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gridSpan w:val="6"/>
            <w:vMerge w:val="continue"/>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gridSpan w:val="8"/>
            <w:vMerge w:val="continue"/>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860" w:type="dxa"/>
            <w:vAlign w:val="bottom"/>
            <w:vMerge w:val="restart"/>
          </w:tcPr>
          <w:p>
            <w:pPr>
              <w:ind w:left="72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gridSpan w:val="8"/>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162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6"/>
                <w:szCs w:val="16"/>
                <w:color w:val="auto"/>
              </w:rPr>
            </w:pPr>
          </w:p>
        </w:tc>
        <w:tc>
          <w:tcPr>
            <w:tcW w:w="1220" w:type="dxa"/>
            <w:vAlign w:val="bottom"/>
            <w:gridSpan w:val="5"/>
          </w:tcPr>
          <w:p>
            <w:pPr>
              <w:ind w:left="40"/>
              <w:spacing w:after="0"/>
              <w:rPr>
                <w:sz w:val="20"/>
                <w:szCs w:val="20"/>
                <w:color w:val="auto"/>
              </w:rPr>
            </w:pPr>
            <w:r>
              <w:rPr>
                <w:rFonts w:ascii="Arial" w:cs="Arial" w:eastAsia="Arial" w:hAnsi="Arial"/>
                <w:sz w:val="13"/>
                <w:szCs w:val="13"/>
                <w:color w:val="auto"/>
              </w:rPr>
              <w:t>(First)</w:t>
            </w:r>
          </w:p>
        </w:tc>
        <w:tc>
          <w:tcPr>
            <w:tcW w:w="1000" w:type="dxa"/>
            <w:vAlign w:val="bottom"/>
          </w:tcPr>
          <w:p>
            <w:pPr>
              <w:ind w:left="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auto"/>
              </w:rPr>
              <w:t>below)</w:t>
            </w:r>
          </w:p>
        </w:tc>
        <w:tc>
          <w:tcPr>
            <w:tcW w:w="860" w:type="dxa"/>
            <w:vAlign w:val="bottom"/>
          </w:tcPr>
          <w:p>
            <w:pPr>
              <w:spacing w:after="0"/>
              <w:rPr>
                <w:sz w:val="16"/>
                <w:szCs w:val="16"/>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auto"/>
                <w:w w:val="99"/>
              </w:rPr>
              <w:t>below)</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8"/>
            <w:vMerge w:val="restart"/>
          </w:tcPr>
          <w:p>
            <w:pPr>
              <w:ind w:left="20"/>
              <w:spacing w:after="0"/>
              <w:rPr>
                <w:sz w:val="20"/>
                <w:szCs w:val="20"/>
                <w:color w:val="auto"/>
              </w:rPr>
            </w:pPr>
            <w:r>
              <w:rPr>
                <w:rFonts w:ascii="Arial" w:cs="Arial" w:eastAsia="Arial" w:hAnsi="Arial"/>
                <w:sz w:val="17"/>
                <w:szCs w:val="17"/>
                <w:color w:val="0000FF"/>
                <w:w w:val="97"/>
              </w:rPr>
              <w:t>101 MAIN STREET, SUITE 1210</w:t>
            </w:r>
          </w:p>
        </w:tc>
        <w:tc>
          <w:tcPr>
            <w:tcW w:w="1000" w:type="dxa"/>
            <w:vAlign w:val="bottom"/>
          </w:tcPr>
          <w:p>
            <w:pPr>
              <w:spacing w:after="0"/>
              <w:rPr>
                <w:sz w:val="18"/>
                <w:szCs w:val="18"/>
                <w:color w:val="auto"/>
              </w:rPr>
            </w:pPr>
          </w:p>
        </w:tc>
        <w:tc>
          <w:tcPr>
            <w:tcW w:w="1820" w:type="dxa"/>
            <w:vAlign w:val="bottom"/>
            <w:gridSpan w:val="7"/>
          </w:tcPr>
          <w:p>
            <w:pPr>
              <w:ind w:left="480"/>
              <w:spacing w:after="0"/>
              <w:rPr>
                <w:sz w:val="20"/>
                <w:szCs w:val="20"/>
                <w:color w:val="auto"/>
              </w:rPr>
            </w:pPr>
            <w:r>
              <w:rPr>
                <w:rFonts w:ascii="Arial" w:cs="Arial" w:eastAsia="Arial" w:hAnsi="Arial"/>
                <w:sz w:val="17"/>
                <w:szCs w:val="17"/>
                <w:color w:val="0000FF"/>
              </w:rPr>
              <w:t>06/25/2018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gridSpan w:val="8"/>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gridSpan w:val="2"/>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gridSpan w:val="2"/>
          </w:tcPr>
          <w:p>
            <w:pPr>
              <w:spacing w:after="0"/>
              <w:rPr>
                <w:sz w:val="22"/>
                <w:szCs w:val="22"/>
                <w:color w:val="auto"/>
              </w:rPr>
            </w:pPr>
          </w:p>
        </w:tc>
        <w:tc>
          <w:tcPr>
            <w:tcW w:w="1860" w:type="dxa"/>
            <w:vAlign w:val="bottom"/>
            <w:tcBorders>
              <w:bottom w:val="single" w:sz="8" w:color="808080"/>
            </w:tcBorders>
            <w:gridSpan w:val="3"/>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gridSpan w:val="4"/>
          </w:tcPr>
          <w:p>
            <w:pPr>
              <w:spacing w:after="0"/>
              <w:rPr>
                <w:sz w:val="22"/>
                <w:szCs w:val="22"/>
                <w:color w:val="auto"/>
              </w:rPr>
            </w:pPr>
          </w:p>
        </w:tc>
        <w:tc>
          <w:tcPr>
            <w:tcW w:w="3000" w:type="dxa"/>
            <w:vAlign w:val="bottom"/>
            <w:tcBorders>
              <w:bottom w:val="single" w:sz="8" w:color="808080"/>
            </w:tcBorders>
            <w:gridSpan w:val="5"/>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38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342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20"/>
              <w:spacing w:after="0" w:line="185" w:lineRule="exact"/>
              <w:rPr>
                <w:sz w:val="20"/>
                <w:szCs w:val="20"/>
                <w:color w:val="auto"/>
              </w:rPr>
            </w:pPr>
            <w:r>
              <w:rPr>
                <w:rFonts w:ascii="Arial" w:cs="Arial" w:eastAsia="Arial" w:hAnsi="Arial"/>
                <w:sz w:val="17"/>
                <w:szCs w:val="17"/>
                <w:color w:val="0000FF"/>
              </w:rPr>
              <w:t>CAMBRIDGE</w:t>
            </w:r>
          </w:p>
        </w:tc>
        <w:tc>
          <w:tcPr>
            <w:tcW w:w="1220" w:type="dxa"/>
            <w:vAlign w:val="bottom"/>
            <w:gridSpan w:val="5"/>
          </w:tcPr>
          <w:p>
            <w:pPr>
              <w:ind w:left="40"/>
              <w:spacing w:after="0" w:line="185" w:lineRule="exact"/>
              <w:rPr>
                <w:sz w:val="20"/>
                <w:szCs w:val="20"/>
                <w:color w:val="auto"/>
              </w:rPr>
            </w:pPr>
            <w:r>
              <w:rPr>
                <w:rFonts w:ascii="Arial" w:cs="Arial" w:eastAsia="Arial" w:hAnsi="Arial"/>
                <w:sz w:val="17"/>
                <w:szCs w:val="17"/>
                <w:color w:val="0000FF"/>
              </w:rPr>
              <w:t>MA</w:t>
            </w:r>
          </w:p>
        </w:tc>
        <w:tc>
          <w:tcPr>
            <w:tcW w:w="1000" w:type="dxa"/>
            <w:vAlign w:val="bottom"/>
          </w:tcPr>
          <w:p>
            <w:pPr>
              <w:ind w:left="80"/>
              <w:spacing w:after="0" w:line="185" w:lineRule="exact"/>
              <w:rPr>
                <w:sz w:val="20"/>
                <w:szCs w:val="20"/>
                <w:color w:val="auto"/>
              </w:rPr>
            </w:pPr>
            <w:r>
              <w:rPr>
                <w:rFonts w:ascii="Arial" w:cs="Arial" w:eastAsia="Arial" w:hAnsi="Arial"/>
                <w:sz w:val="17"/>
                <w:szCs w:val="17"/>
                <w:color w:val="0000FF"/>
              </w:rPr>
              <w:t>02142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9"/>
          </w:tcPr>
          <w:p>
            <w:pPr>
              <w:ind w:left="2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5"/>
          </w:tcPr>
          <w:p>
            <w:pPr>
              <w:ind w:left="40"/>
              <w:spacing w:after="0"/>
              <w:rPr>
                <w:sz w:val="20"/>
                <w:szCs w:val="20"/>
                <w:color w:val="auto"/>
              </w:rPr>
            </w:pPr>
            <w:r>
              <w:rPr>
                <w:rFonts w:ascii="Arial" w:cs="Arial" w:eastAsia="Arial" w:hAnsi="Arial"/>
                <w:sz w:val="13"/>
                <w:szCs w:val="13"/>
                <w:color w:val="auto"/>
              </w:rPr>
              <w:t>(State)</w:t>
            </w:r>
          </w:p>
        </w:tc>
        <w:tc>
          <w:tcPr>
            <w:tcW w:w="1000" w:type="dxa"/>
            <w:vAlign w:val="bottom"/>
          </w:tcPr>
          <w:p>
            <w:pPr>
              <w:ind w:left="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760" w:type="dxa"/>
            <w:vAlign w:val="bottom"/>
            <w:tcBorders>
              <w:top w:val="single" w:sz="8" w:color="2C2C2C"/>
            </w:tcBorders>
            <w:gridSpan w:val="21"/>
          </w:tcPr>
          <w:p>
            <w:pPr>
              <w:jc w:val="right"/>
              <w:ind w:righ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6"/>
          </w:tcPr>
          <w:p>
            <w:pPr>
              <w:ind w:left="90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44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6"/>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20" w:type="dxa"/>
            <w:vAlign w:val="bottom"/>
            <w:gridSpan w:val="8"/>
          </w:tcPr>
          <w:p>
            <w:pPr>
              <w:ind w:left="60"/>
              <w:spacing w:after="0" w:line="126"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2"/>
          </w:tcPr>
          <w:p>
            <w:pPr>
              <w:ind w:left="480"/>
              <w:spacing w:after="0" w:line="126"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6"/>
          </w:tcPr>
          <w:p>
            <w:pPr>
              <w:ind w:left="9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Beneficially Owned  (D) or Indirect</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144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w w:val="93"/>
              </w:rPr>
              <w:t>(A) or</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5"/>
            <w:vMerge w:val="restart"/>
          </w:tcPr>
          <w:p>
            <w:pPr>
              <w:jc w:val="right"/>
              <w:ind w:right="58"/>
              <w:spacing w:after="0"/>
              <w:rPr>
                <w:sz w:val="20"/>
                <w:szCs w:val="20"/>
                <w:color w:val="auto"/>
              </w:rPr>
            </w:pPr>
            <w:r>
              <w:rPr>
                <w:rFonts w:ascii="Arial" w:cs="Arial" w:eastAsia="Arial" w:hAnsi="Arial"/>
                <w:sz w:val="17"/>
                <w:szCs w:val="17"/>
                <w:color w:val="0000FF"/>
                <w:w w:val="86"/>
              </w:rPr>
              <w:t>06/25/2018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right"/>
              <w:ind w:right="280"/>
              <w:spacing w:after="0"/>
              <w:rPr>
                <w:sz w:val="20"/>
                <w:szCs w:val="20"/>
                <w:color w:val="auto"/>
              </w:rPr>
            </w:pPr>
            <w:r>
              <w:rPr>
                <w:rFonts w:ascii="Arial" w:cs="Arial" w:eastAsia="Arial" w:hAnsi="Arial"/>
                <w:sz w:val="13"/>
                <w:szCs w:val="13"/>
                <w:color w:val="0000FF"/>
              </w:rPr>
              <w:t>C</w:t>
            </w:r>
          </w:p>
        </w:tc>
        <w:tc>
          <w:tcPr>
            <w:tcW w:w="1240" w:type="dxa"/>
            <w:vAlign w:val="bottom"/>
            <w:gridSpan w:val="2"/>
            <w:vMerge w:val="restart"/>
          </w:tcPr>
          <w:p>
            <w:pPr>
              <w:jc w:val="right"/>
              <w:ind w:right="242"/>
              <w:spacing w:after="0"/>
              <w:rPr>
                <w:sz w:val="20"/>
                <w:szCs w:val="20"/>
                <w:color w:val="auto"/>
              </w:rPr>
            </w:pPr>
            <w:r>
              <w:rPr>
                <w:rFonts w:ascii="Arial" w:cs="Arial" w:eastAsia="Arial" w:hAnsi="Arial"/>
                <w:sz w:val="17"/>
                <w:szCs w:val="17"/>
                <w:color w:val="0000FF"/>
              </w:rPr>
              <w:t>2,283,434</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vMerge w:val="restart"/>
          </w:tcPr>
          <w:p>
            <w:pPr>
              <w:jc w:val="right"/>
              <w:ind w:right="640"/>
              <w:spacing w:after="0"/>
              <w:rPr>
                <w:sz w:val="20"/>
                <w:szCs w:val="20"/>
                <w:color w:val="auto"/>
              </w:rPr>
            </w:pPr>
            <w:r>
              <w:rPr>
                <w:rFonts w:ascii="Arial" w:cs="Arial" w:eastAsia="Arial" w:hAnsi="Arial"/>
                <w:sz w:val="17"/>
                <w:szCs w:val="17"/>
                <w:color w:val="0000FF"/>
              </w:rPr>
              <w:t>2,283,434</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5"/>
            <w:vMerge w:val="restart"/>
          </w:tcPr>
          <w:p>
            <w:pPr>
              <w:jc w:val="right"/>
              <w:ind w:right="58"/>
              <w:spacing w:after="0"/>
              <w:rPr>
                <w:sz w:val="20"/>
                <w:szCs w:val="20"/>
                <w:color w:val="auto"/>
              </w:rPr>
            </w:pPr>
            <w:r>
              <w:rPr>
                <w:rFonts w:ascii="Arial" w:cs="Arial" w:eastAsia="Arial" w:hAnsi="Arial"/>
                <w:sz w:val="17"/>
                <w:szCs w:val="17"/>
                <w:color w:val="0000FF"/>
                <w:w w:val="86"/>
              </w:rPr>
              <w:t>06/25/2018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right"/>
              <w:ind w:right="280"/>
              <w:spacing w:after="0"/>
              <w:rPr>
                <w:sz w:val="20"/>
                <w:szCs w:val="20"/>
                <w:color w:val="auto"/>
              </w:rPr>
            </w:pPr>
            <w:r>
              <w:rPr>
                <w:rFonts w:ascii="Arial" w:cs="Arial" w:eastAsia="Arial" w:hAnsi="Arial"/>
                <w:sz w:val="13"/>
                <w:szCs w:val="13"/>
                <w:color w:val="0000FF"/>
              </w:rPr>
              <w:t>C</w:t>
            </w:r>
          </w:p>
        </w:tc>
        <w:tc>
          <w:tcPr>
            <w:tcW w:w="1240" w:type="dxa"/>
            <w:vAlign w:val="bottom"/>
            <w:gridSpan w:val="2"/>
            <w:vMerge w:val="restart"/>
          </w:tcPr>
          <w:p>
            <w:pPr>
              <w:jc w:val="right"/>
              <w:ind w:right="302"/>
              <w:spacing w:after="0"/>
              <w:rPr>
                <w:sz w:val="20"/>
                <w:szCs w:val="20"/>
                <w:color w:val="auto"/>
              </w:rPr>
            </w:pPr>
            <w:r>
              <w:rPr>
                <w:rFonts w:ascii="Arial" w:cs="Arial" w:eastAsia="Arial" w:hAnsi="Arial"/>
                <w:sz w:val="17"/>
                <w:szCs w:val="17"/>
                <w:color w:val="0000FF"/>
              </w:rPr>
              <w:t>678,891</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vMerge w:val="restart"/>
          </w:tcPr>
          <w:p>
            <w:pPr>
              <w:jc w:val="right"/>
              <w:ind w:right="640"/>
              <w:spacing w:after="0"/>
              <w:rPr>
                <w:sz w:val="20"/>
                <w:szCs w:val="20"/>
                <w:color w:val="auto"/>
              </w:rPr>
            </w:pPr>
            <w:r>
              <w:rPr>
                <w:rFonts w:ascii="Arial" w:cs="Arial" w:eastAsia="Arial" w:hAnsi="Arial"/>
                <w:sz w:val="17"/>
                <w:szCs w:val="17"/>
                <w:color w:val="0000FF"/>
              </w:rPr>
              <w:t>2,962,325</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0" w:type="dxa"/>
            <w:vAlign w:val="bottom"/>
            <w:gridSpan w:val="20"/>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0" w:type="dxa"/>
            <w:vAlign w:val="bottom"/>
            <w:gridSpan w:val="16"/>
          </w:tcPr>
          <w:p>
            <w:pPr>
              <w:ind w:left="8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7. Title and Amount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Securities Underlying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9"/>
              </w:rPr>
              <w:t>Derivative Security (Instr.</w:t>
            </w:r>
          </w:p>
        </w:tc>
        <w:tc>
          <w:tcPr>
            <w:tcW w:w="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or Disposed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 (Instr.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8"/>
              </w:rPr>
              <w:t>Amount 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17"/>
              <w:spacing w:after="0" w:line="129"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7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w w:val="87"/>
              </w:rPr>
              <w:t>Common</w:t>
            </w:r>
          </w:p>
        </w:tc>
        <w:tc>
          <w:tcPr>
            <w:tcW w:w="800" w:type="dxa"/>
            <w:vAlign w:val="bottom"/>
            <w:gridSpan w:val="4"/>
            <w:vMerge w:val="restart"/>
          </w:tcPr>
          <w:p>
            <w:pPr>
              <w:ind w:left="120"/>
              <w:spacing w:after="0"/>
              <w:rPr>
                <w:sz w:val="20"/>
                <w:szCs w:val="20"/>
                <w:color w:val="auto"/>
              </w:rPr>
            </w:pPr>
            <w:r>
              <w:rPr>
                <w:rFonts w:ascii="Arial" w:cs="Arial" w:eastAsia="Arial" w:hAnsi="Arial"/>
                <w:sz w:val="17"/>
                <w:szCs w:val="17"/>
                <w:color w:val="0000FF"/>
                <w:w w:val="87"/>
              </w:rPr>
              <w:t>2,283,434</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008000"/>
                <w:w w:val="74"/>
              </w:rPr>
              <w:t>(4)</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06/25/2018</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4"/>
            <w:vMerge w:val="restart"/>
          </w:tcPr>
          <w:p>
            <w:pPr>
              <w:ind w:left="180"/>
              <w:spacing w:after="0"/>
              <w:rPr>
                <w:sz w:val="20"/>
                <w:szCs w:val="20"/>
                <w:color w:val="auto"/>
              </w:rPr>
            </w:pPr>
            <w:r>
              <w:rPr>
                <w:rFonts w:ascii="Arial" w:cs="Arial" w:eastAsia="Arial" w:hAnsi="Arial"/>
                <w:sz w:val="13"/>
                <w:szCs w:val="13"/>
                <w:color w:val="0000FF"/>
              </w:rPr>
              <w:t>C</w:t>
            </w:r>
          </w:p>
        </w:tc>
        <w:tc>
          <w:tcPr>
            <w:tcW w:w="940" w:type="dxa"/>
            <w:vAlign w:val="bottom"/>
            <w:gridSpan w:val="2"/>
            <w:vMerge w:val="restart"/>
          </w:tcPr>
          <w:p>
            <w:pPr>
              <w:ind w:left="360"/>
              <w:spacing w:after="0"/>
              <w:rPr>
                <w:sz w:val="20"/>
                <w:szCs w:val="20"/>
                <w:color w:val="auto"/>
              </w:rPr>
            </w:pPr>
            <w:r>
              <w:rPr>
                <w:rFonts w:ascii="Arial" w:cs="Arial" w:eastAsia="Arial" w:hAnsi="Arial"/>
                <w:sz w:val="13"/>
                <w:szCs w:val="13"/>
                <w:color w:val="0000FF"/>
                <w:w w:val="96"/>
              </w:rPr>
              <w:t>9,435,150</w:t>
            </w: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ind w:left="120"/>
              <w:spacing w:after="0" w:line="103" w:lineRule="exact"/>
              <w:rPr>
                <w:sz w:val="20"/>
                <w:szCs w:val="20"/>
                <w:color w:val="auto"/>
              </w:rPr>
            </w:pPr>
            <w:r>
              <w:rPr>
                <w:rFonts w:ascii="Arial" w:cs="Arial" w:eastAsia="Arial" w:hAnsi="Arial"/>
                <w:sz w:val="11"/>
                <w:szCs w:val="11"/>
                <w:color w:val="0000FF"/>
              </w:rPr>
              <w:t>Stock</w:t>
            </w:r>
          </w:p>
        </w:tc>
        <w:tc>
          <w:tcPr>
            <w:tcW w:w="80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tcPr>
          <w:p>
            <w:pPr>
              <w:ind w:left="4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w w:val="87"/>
              </w:rPr>
              <w:t>Common</w:t>
            </w:r>
          </w:p>
        </w:tc>
        <w:tc>
          <w:tcPr>
            <w:tcW w:w="200" w:type="dxa"/>
            <w:vAlign w:val="bottom"/>
          </w:tcPr>
          <w:p>
            <w:pPr>
              <w:spacing w:after="0"/>
              <w:rPr>
                <w:sz w:val="16"/>
                <w:szCs w:val="16"/>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4"/>
              </w:rPr>
              <w:t>678,891</w:t>
            </w:r>
          </w:p>
        </w:tc>
        <w:tc>
          <w:tcPr>
            <w:tcW w:w="220" w:type="dxa"/>
            <w:vAlign w:val="bottom"/>
            <w:gridSpan w:val="2"/>
            <w:vMerge w:val="restart"/>
          </w:tcPr>
          <w:p>
            <w:pPr>
              <w:jc w:val="right"/>
              <w:ind w:right="31"/>
              <w:spacing w:after="0"/>
              <w:rPr>
                <w:sz w:val="20"/>
                <w:szCs w:val="20"/>
                <w:color w:val="auto"/>
              </w:rPr>
            </w:pPr>
            <w:r>
              <w:rPr>
                <w:rFonts w:ascii="Arial" w:cs="Arial" w:eastAsia="Arial" w:hAnsi="Arial"/>
                <w:sz w:val="11"/>
                <w:szCs w:val="11"/>
                <w:color w:val="008000"/>
                <w:w w:val="74"/>
              </w:rPr>
              <w:t>(4)</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06/25/2018</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4"/>
            <w:vMerge w:val="restart"/>
          </w:tcPr>
          <w:p>
            <w:pPr>
              <w:ind w:left="180"/>
              <w:spacing w:after="0"/>
              <w:rPr>
                <w:sz w:val="20"/>
                <w:szCs w:val="20"/>
                <w:color w:val="auto"/>
              </w:rPr>
            </w:pPr>
            <w:r>
              <w:rPr>
                <w:rFonts w:ascii="Arial" w:cs="Arial" w:eastAsia="Arial" w:hAnsi="Arial"/>
                <w:sz w:val="13"/>
                <w:szCs w:val="13"/>
                <w:color w:val="0000FF"/>
              </w:rPr>
              <w:t>C</w:t>
            </w:r>
          </w:p>
        </w:tc>
        <w:tc>
          <w:tcPr>
            <w:tcW w:w="940" w:type="dxa"/>
            <w:vAlign w:val="bottom"/>
            <w:gridSpan w:val="2"/>
            <w:vMerge w:val="restart"/>
          </w:tcPr>
          <w:p>
            <w:pPr>
              <w:ind w:left="360"/>
              <w:spacing w:after="0"/>
              <w:rPr>
                <w:sz w:val="20"/>
                <w:szCs w:val="20"/>
                <w:color w:val="auto"/>
              </w:rPr>
            </w:pPr>
            <w:r>
              <w:rPr>
                <w:rFonts w:ascii="Arial" w:cs="Arial" w:eastAsia="Arial" w:hAnsi="Arial"/>
                <w:sz w:val="13"/>
                <w:szCs w:val="13"/>
                <w:color w:val="0000FF"/>
                <w:w w:val="96"/>
              </w:rPr>
              <w:t>2,805,179</w:t>
            </w: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ind w:left="120"/>
              <w:spacing w:after="0" w:line="103" w:lineRule="exact"/>
              <w:rPr>
                <w:sz w:val="20"/>
                <w:szCs w:val="20"/>
                <w:color w:val="auto"/>
              </w:rPr>
            </w:pPr>
            <w:r>
              <w:rPr>
                <w:rFonts w:ascii="Arial" w:cs="Arial" w:eastAsia="Arial" w:hAnsi="Arial"/>
                <w:sz w:val="11"/>
                <w:szCs w:val="11"/>
                <w:color w:val="0000FF"/>
              </w:rPr>
              <w:t>Stock</w:t>
            </w: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3"/>
          </w:tcPr>
          <w:p>
            <w:pPr>
              <w:ind w:left="4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87"/>
        </w:trPr>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9"/>
          </w:tcPr>
          <w:p>
            <w:pPr>
              <w:ind w:left="60"/>
              <w:spacing w:after="0" w:line="235"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8"/>
          </w:tcPr>
          <w:p>
            <w:pPr>
              <w:ind w:left="20"/>
              <w:spacing w:after="0" w:line="214"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Clarus Lifesciences III, L.P.</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3"/>
                <w:szCs w:val="13"/>
                <w:color w:val="auto"/>
              </w:rPr>
              <w:t>(First)</w:t>
            </w:r>
          </w:p>
        </w:tc>
        <w:tc>
          <w:tcPr>
            <w:tcW w:w="1000" w:type="dxa"/>
            <w:vAlign w:val="bottom"/>
          </w:tcPr>
          <w:p>
            <w:pPr>
              <w:ind w:left="46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gridSpan w:val="8"/>
          </w:tcPr>
          <w:p>
            <w:pPr>
              <w:ind w:left="20"/>
              <w:spacing w:after="0"/>
              <w:rPr>
                <w:sz w:val="20"/>
                <w:szCs w:val="20"/>
                <w:color w:val="auto"/>
              </w:rPr>
            </w:pPr>
            <w:r>
              <w:rPr>
                <w:rFonts w:ascii="Arial" w:cs="Arial" w:eastAsia="Arial" w:hAnsi="Arial"/>
                <w:sz w:val="17"/>
                <w:szCs w:val="17"/>
                <w:color w:val="0000FF"/>
                <w:w w:val="97"/>
              </w:rPr>
              <w:t>101 MAIN STREET, SUITE 1210</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CAMBRIDGE</w:t>
            </w:r>
          </w:p>
        </w:tc>
        <w:tc>
          <w:tcPr>
            <w:tcW w:w="120" w:type="dxa"/>
            <w:vAlign w:val="bottom"/>
          </w:tcPr>
          <w:p>
            <w:pPr>
              <w:spacing w:after="0"/>
              <w:rPr>
                <w:sz w:val="20"/>
                <w:szCs w:val="20"/>
                <w:color w:val="auto"/>
              </w:rPr>
            </w:pPr>
          </w:p>
        </w:tc>
        <w:tc>
          <w:tcPr>
            <w:tcW w:w="1100" w:type="dxa"/>
            <w:vAlign w:val="bottom"/>
            <w:gridSpan w:val="4"/>
          </w:tcPr>
          <w:p>
            <w:pPr>
              <w:ind w:left="100"/>
              <w:spacing w:after="0"/>
              <w:rPr>
                <w:sz w:val="20"/>
                <w:szCs w:val="20"/>
                <w:color w:val="auto"/>
              </w:rPr>
            </w:pPr>
            <w:r>
              <w:rPr>
                <w:rFonts w:ascii="Arial" w:cs="Arial" w:eastAsia="Arial" w:hAnsi="Arial"/>
                <w:sz w:val="17"/>
                <w:szCs w:val="17"/>
                <w:color w:val="0000FF"/>
              </w:rPr>
              <w:t>MA</w:t>
            </w:r>
          </w:p>
        </w:tc>
        <w:tc>
          <w:tcPr>
            <w:tcW w:w="1000" w:type="dxa"/>
            <w:vAlign w:val="bottom"/>
          </w:tcPr>
          <w:p>
            <w:pPr>
              <w:ind w:left="460"/>
              <w:spacing w:after="0"/>
              <w:rPr>
                <w:sz w:val="20"/>
                <w:szCs w:val="20"/>
                <w:color w:val="auto"/>
              </w:rPr>
            </w:pPr>
            <w:r>
              <w:rPr>
                <w:rFonts w:ascii="Arial" w:cs="Arial" w:eastAsia="Arial" w:hAnsi="Arial"/>
                <w:sz w:val="17"/>
                <w:szCs w:val="17"/>
                <w:color w:val="0000FF"/>
              </w:rPr>
              <w:t>02142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3"/>
                <w:szCs w:val="13"/>
                <w:color w:val="auto"/>
              </w:rPr>
              <w:t>(State)</w:t>
            </w:r>
          </w:p>
        </w:tc>
        <w:tc>
          <w:tcPr>
            <w:tcW w:w="1000" w:type="dxa"/>
            <w:vAlign w:val="bottom"/>
          </w:tcPr>
          <w:p>
            <w:pPr>
              <w:ind w:left="46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60" w:type="dxa"/>
            <w:vAlign w:val="bottom"/>
            <w:gridSpan w:val="9"/>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8"/>
          </w:tcPr>
          <w:p>
            <w:pPr>
              <w:ind w:left="20"/>
              <w:spacing w:after="0" w:line="214"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Clarus Ventures III GP, L.P.</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3"/>
                <w:szCs w:val="13"/>
                <w:color w:val="auto"/>
              </w:rPr>
              <w:t>(First)</w:t>
            </w:r>
          </w:p>
        </w:tc>
        <w:tc>
          <w:tcPr>
            <w:tcW w:w="1000" w:type="dxa"/>
            <w:vAlign w:val="bottom"/>
          </w:tcPr>
          <w:p>
            <w:pPr>
              <w:ind w:left="46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gridSpan w:val="8"/>
          </w:tcPr>
          <w:p>
            <w:pPr>
              <w:ind w:left="20"/>
              <w:spacing w:after="0"/>
              <w:rPr>
                <w:sz w:val="20"/>
                <w:szCs w:val="20"/>
                <w:color w:val="auto"/>
              </w:rPr>
            </w:pPr>
            <w:r>
              <w:rPr>
                <w:rFonts w:ascii="Arial" w:cs="Arial" w:eastAsia="Arial" w:hAnsi="Arial"/>
                <w:sz w:val="17"/>
                <w:szCs w:val="17"/>
                <w:color w:val="0000FF"/>
                <w:w w:val="97"/>
              </w:rPr>
              <w:t>101 MAIN STREET, SUITE 1210</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CAMBRIDGE</w:t>
            </w:r>
          </w:p>
        </w:tc>
        <w:tc>
          <w:tcPr>
            <w:tcW w:w="120" w:type="dxa"/>
            <w:vAlign w:val="bottom"/>
          </w:tcPr>
          <w:p>
            <w:pPr>
              <w:spacing w:after="0"/>
              <w:rPr>
                <w:sz w:val="20"/>
                <w:szCs w:val="20"/>
                <w:color w:val="auto"/>
              </w:rPr>
            </w:pPr>
          </w:p>
        </w:tc>
        <w:tc>
          <w:tcPr>
            <w:tcW w:w="1100" w:type="dxa"/>
            <w:vAlign w:val="bottom"/>
            <w:gridSpan w:val="4"/>
          </w:tcPr>
          <w:p>
            <w:pPr>
              <w:ind w:left="100"/>
              <w:spacing w:after="0"/>
              <w:rPr>
                <w:sz w:val="20"/>
                <w:szCs w:val="20"/>
                <w:color w:val="auto"/>
              </w:rPr>
            </w:pPr>
            <w:r>
              <w:rPr>
                <w:rFonts w:ascii="Arial" w:cs="Arial" w:eastAsia="Arial" w:hAnsi="Arial"/>
                <w:sz w:val="17"/>
                <w:szCs w:val="17"/>
                <w:color w:val="0000FF"/>
              </w:rPr>
              <w:t>MA</w:t>
            </w:r>
          </w:p>
        </w:tc>
        <w:tc>
          <w:tcPr>
            <w:tcW w:w="1000" w:type="dxa"/>
            <w:vAlign w:val="bottom"/>
          </w:tcPr>
          <w:p>
            <w:pPr>
              <w:ind w:left="460"/>
              <w:spacing w:after="0"/>
              <w:rPr>
                <w:sz w:val="20"/>
                <w:szCs w:val="20"/>
                <w:color w:val="auto"/>
              </w:rPr>
            </w:pPr>
            <w:r>
              <w:rPr>
                <w:rFonts w:ascii="Arial" w:cs="Arial" w:eastAsia="Arial" w:hAnsi="Arial"/>
                <w:sz w:val="17"/>
                <w:szCs w:val="17"/>
                <w:color w:val="0000FF"/>
              </w:rPr>
              <w:t>02142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3"/>
                <w:szCs w:val="13"/>
                <w:color w:val="auto"/>
              </w:rPr>
              <w:t>(State)</w:t>
            </w:r>
          </w:p>
        </w:tc>
        <w:tc>
          <w:tcPr>
            <w:tcW w:w="1000" w:type="dxa"/>
            <w:vAlign w:val="bottom"/>
          </w:tcPr>
          <w:p>
            <w:pPr>
              <w:ind w:left="46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60" w:type="dxa"/>
            <w:vAlign w:val="bottom"/>
            <w:gridSpan w:val="9"/>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8"/>
          </w:tcPr>
          <w:p>
            <w:pPr>
              <w:ind w:left="20"/>
              <w:spacing w:after="0" w:line="214" w:lineRule="exact"/>
              <w:rPr>
                <w:rFonts w:ascii="Arial" w:cs="Arial" w:eastAsia="Arial" w:hAnsi="Arial"/>
                <w:sz w:val="21"/>
                <w:szCs w:val="21"/>
                <w:color w:val="0000EE"/>
              </w:rPr>
            </w:pPr>
            <w:hyperlink r:id="rId15">
              <w:r>
                <w:rPr>
                  <w:rFonts w:ascii="Arial" w:cs="Arial" w:eastAsia="Arial" w:hAnsi="Arial"/>
                  <w:sz w:val="21"/>
                  <w:szCs w:val="21"/>
                  <w:color w:val="0000EE"/>
                </w:rPr>
                <w:t>Clarus Ventures III, LLC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Arial" w:cs="Arial" w:eastAsia="Arial" w:hAnsi="Arial"/>
                <w:sz w:val="13"/>
                <w:szCs w:val="13"/>
                <w:color w:val="auto"/>
              </w:rPr>
              <w:t>(First)</w:t>
            </w:r>
          </w:p>
        </w:tc>
        <w:tc>
          <w:tcPr>
            <w:tcW w:w="1000" w:type="dxa"/>
            <w:vAlign w:val="bottom"/>
          </w:tcPr>
          <w:p>
            <w:pPr>
              <w:ind w:left="46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-5851525</wp:posOffset>
            </wp:positionV>
            <wp:extent cx="24130" cy="2051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2051050"/>
                    </a:xfrm>
                    <a:prstGeom prst="rect">
                      <a:avLst/>
                    </a:prstGeom>
                    <a:noFill/>
                  </pic:spPr>
                </pic:pic>
              </a:graphicData>
            </a:graphic>
          </wp:anchor>
        </w:drawing>
      </w:r>
    </w:p>
    <w:p>
      <w:pPr>
        <w:sectPr>
          <w:pgSz w:w="11900" w:h="16838" w:orient="portrait"/>
          <w:cols w:equalWidth="0" w:num="1">
            <w:col w:w="11520"/>
          </w:cols>
          <w:pgMar w:left="240" w:top="221" w:right="139" w:bottom="0" w:gutter="0" w:footer="0" w:header="0"/>
          <w:type w:val="continuous"/>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101 MAIN STREET, SUITE 1210</w:t>
      </w:r>
    </w:p>
    <w:p>
      <w:pPr>
        <w:sectPr>
          <w:pgSz w:w="11900" w:h="16838" w:orient="portrait"/>
          <w:cols w:equalWidth="0" w:num="1">
            <w:col w:w="11520"/>
          </w:cols>
          <w:pgMar w:left="240" w:top="221"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4"/>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1160" w:type="dxa"/>
            <w:vAlign w:val="bottom"/>
          </w:tcPr>
          <w:p>
            <w:pPr>
              <w:ind w:left="240"/>
              <w:spacing w:after="0"/>
              <w:rPr>
                <w:sz w:val="20"/>
                <w:szCs w:val="20"/>
                <w:color w:val="auto"/>
              </w:rPr>
            </w:pPr>
            <w:r>
              <w:rPr>
                <w:rFonts w:ascii="Arial" w:cs="Arial" w:eastAsia="Arial" w:hAnsi="Arial"/>
                <w:sz w:val="17"/>
                <w:szCs w:val="17"/>
                <w:color w:val="0000FF"/>
              </w:rPr>
              <w:t>MA</w:t>
            </w:r>
          </w:p>
        </w:tc>
        <w:tc>
          <w:tcPr>
            <w:tcW w:w="1960" w:type="dxa"/>
            <w:vAlign w:val="bottom"/>
          </w:tcPr>
          <w:p>
            <w:pPr>
              <w:ind w:left="540"/>
              <w:spacing w:after="0"/>
              <w:rPr>
                <w:sz w:val="20"/>
                <w:szCs w:val="20"/>
                <w:color w:val="auto"/>
              </w:rPr>
            </w:pPr>
            <w:r>
              <w:rPr>
                <w:rFonts w:ascii="Arial" w:cs="Arial" w:eastAsia="Arial" w:hAnsi="Arial"/>
                <w:sz w:val="17"/>
                <w:szCs w:val="17"/>
                <w:color w:val="0000FF"/>
              </w:rPr>
              <w:t>02142</w:t>
            </w:r>
          </w:p>
        </w:tc>
      </w:tr>
      <w:tr>
        <w:trPr>
          <w:trHeight w:val="149"/>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2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481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810" cy="6172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right="200" w:firstLine="1"/>
        <w:spacing w:after="0" w:line="248"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Clarus Lifesciences III, L.P. ("Clarus") upon the conversion of the Issuer's Series A Preferred Stock in connection with the closing of the Issuer's initial public offering.</w:t>
      </w:r>
    </w:p>
    <w:p>
      <w:pPr>
        <w:spacing w:after="0" w:line="25" w:lineRule="exact"/>
        <w:rPr>
          <w:rFonts w:ascii="Arial" w:cs="Arial" w:eastAsia="Arial" w:hAnsi="Arial"/>
          <w:sz w:val="13"/>
          <w:szCs w:val="13"/>
          <w:color w:val="008000"/>
        </w:rPr>
      </w:pPr>
    </w:p>
    <w:p>
      <w:pPr>
        <w:ind w:firstLine="1"/>
        <w:spacing w:after="0" w:line="260" w:lineRule="auto"/>
        <w:tabs>
          <w:tab w:leader="none" w:pos="12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directly by Clarus. The general partner of Clarus is Clarus Ventures III GP, L.P. ("GPLP"). Clarus Ventures III, LLC, ("LLC") is the general partner of GPLP. Each of Nicholas Galakatos, Dennis Henner, Robert Liptak, Scott Requadt, Nicholas Simon, and Kurt Wheeler, as individual managing directors of the 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LLC and a member of the Issuer's board of directors. Mr. Requadt disclaims beneficial ownership of such shares, except to the extent of his proportionate pecuniary interest therein, if any.</w:t>
      </w:r>
    </w:p>
    <w:p>
      <w:pPr>
        <w:spacing w:after="0" w:line="19" w:lineRule="exact"/>
        <w:rPr>
          <w:rFonts w:ascii="Arial" w:cs="Arial" w:eastAsia="Arial" w:hAnsi="Arial"/>
          <w:sz w:val="12"/>
          <w:szCs w:val="12"/>
          <w:color w:val="008000"/>
        </w:rPr>
      </w:pPr>
    </w:p>
    <w:p>
      <w:pPr>
        <w:ind w:left="140" w:hanging="139"/>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total number of shares of Common Stock received by Clarus upon the conversion of the Issuer's Series B Preferred Stock in connection with the closing of the Issuer's initial public offering.</w:t>
      </w:r>
    </w:p>
    <w:p>
      <w:pPr>
        <w:sectPr>
          <w:pgSz w:w="11900" w:h="16838" w:orient="portrait"/>
          <w:cols w:equalWidth="0" w:num="1">
            <w:col w:w="11340"/>
          </w:cols>
          <w:pgMar w:left="280" w:top="140" w:right="27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008000"/>
        </w:rPr>
        <w:t>4. All series of Convertible Preferred Stock automatically converted into the Issuer's Common Stock on a 4.132-for-1 basis on June 25, 2018 and had no expiration date.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Clarus Lifesciences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1905</wp:posOffset>
            </wp:positionV>
            <wp:extent cx="1391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its General Partner, Clarus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122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Ventures III GP, L.P.,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206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4"/>
          <w:szCs w:val="14"/>
          <w:color w:val="0000FF"/>
        </w:rPr>
        <w:t>General Partner, Clarus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5080</wp:posOffset>
            </wp:positionV>
            <wp:extent cx="1393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2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III, LLC, By: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21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Director, /s/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-8890</wp:posOffset>
            </wp:positionV>
            <wp:extent cx="12757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276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spacing w:after="0" w:line="35"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Clarus Ventures III GP,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1905</wp:posOffset>
            </wp:positionV>
            <wp:extent cx="1383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its General Partner, Clarus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122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Ventures III, LLC, By: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279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Liptak, Managing Director,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-8890</wp:posOffset>
            </wp:positionV>
            <wp:extent cx="1290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592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3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Clarus Ventures III,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-12065</wp:posOffset>
            </wp:positionV>
            <wp:extent cx="1268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Robert Liptak,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076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/s/ 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-16510</wp:posOffset>
            </wp:positionV>
            <wp:extent cx="1122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3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3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3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9020" w:space="80"/>
            <w:col w:w="2240"/>
          </w:cols>
          <w:pgMar w:left="280" w:top="140" w:right="279" w:bottom="1440" w:gutter="0" w:footer="0" w:header="0"/>
          <w:type w:val="continuous"/>
        </w:sect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920" w:firstLine="1"/>
        <w:spacing w:after="0" w:line="333"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2" Type="http://schemas.openxmlformats.org/officeDocument/2006/relationships/hyperlink" Target="http://www.sec.gov/cgi-bin/browse-edgar?action=getcompany&amp;CIK=0001597143" TargetMode="External"/><Relationship Id="rId13" Type="http://schemas.openxmlformats.org/officeDocument/2006/relationships/hyperlink" Target="http://www.sec.gov/cgi-bin/browse-edgar?action=getcompany&amp;CIK=0001681087" TargetMode="External"/><Relationship Id="rId14" Type="http://schemas.openxmlformats.org/officeDocument/2006/relationships/hyperlink" Target="http://www.sec.gov/cgi-bin/browse-edgar?action=getcompany&amp;CIK=0001620148" TargetMode="External"/><Relationship Id="rId15" Type="http://schemas.openxmlformats.org/officeDocument/2006/relationships/hyperlink" Target="http://www.sec.gov/cgi-bin/browse-edgar?action=getcompany&amp;CIK=0001664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2019-12-23T15:56:41Z</dcterms:created>
  <dcterms:modified xsi:type="dcterms:W3CDTF">2019-12-23T15:56:41Z</dcterms:modified>
</cp:coreProperties>
</file>