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jc w:val="center"/>
        <w:rPr/>
      </w:pPr>
      <w:bookmarkStart w:id="0" w:name="avro-20230331.htm"/>
      <w:bookmarkStart w:id="1" w:name="ksavro20230331"/>
      <w:bookmarkEnd w:id="0"/>
      <w:bookmarkEnd w:id="1"/>
      <w:r>
        <w:rPr/>
        <w:t> </w:t>
      </w:r>
    </w:p>
    <w:p>
      <w:pPr>
        <w:pStyle w:val="TextBody"/>
        <w:bidi w:val="0"/>
        <w:spacing w:before="4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2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2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Commission File Number: 001-38537</w:t>
      </w:r>
      <w:r>
        <w:rPr>
          <w:rFonts w:ascii="Times New Roman" w:hAnsi="Times New Roman"/>
          <w:sz w:val="20"/>
        </w:rPr>
        <w:t xml:space="preserve"> </w:t>
      </w:r>
    </w:p>
    <w:p>
      <w:pPr>
        <w:pStyle w:val="TextBody"/>
        <w:bidi w:val="0"/>
        <w:spacing w:before="80" w:after="0"/>
        <w:jc w:val="center"/>
        <w:rPr/>
      </w:pPr>
      <w:r>
        <w:rPr/>
        <w:t>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48"/>
        </w:rPr>
        <w:t>AVROBIO,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81-0710585</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100 Technology Square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Sixth Floor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Cambridge, Massachusetts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02139</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 w:hAnsi="Times New Roman"/>
          <w:sz w:val="20"/>
        </w:rPr>
      </w:pPr>
      <w:r>
        <w:rPr>
          <w:rFonts w:ascii="Times New Roman;serif" w:hAnsi="Times New Roman;serif"/>
          <w:b/>
          <w:sz w:val="20"/>
        </w:rPr>
        <w:t>Registrant’s telephone number, including area code: (617) 914-8420</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w:t>
      </w:r>
    </w:p>
    <w:tbl>
      <w:tblPr>
        <w:tblW w:w="7615" w:type="dxa"/>
        <w:jc w:val="left"/>
        <w:tblInd w:w="0" w:type="dxa"/>
        <w:tblLayout w:type="fixed"/>
        <w:tblCellMar>
          <w:top w:w="28" w:type="dxa"/>
          <w:left w:w="28" w:type="dxa"/>
          <w:bottom w:w="28" w:type="dxa"/>
          <w:right w:w="28" w:type="dxa"/>
        </w:tblCellMar>
      </w:tblPr>
      <w:tblGrid>
        <w:gridCol w:w="3871"/>
        <w:gridCol w:w="146"/>
        <w:gridCol w:w="826"/>
        <w:gridCol w:w="146"/>
        <w:gridCol w:w="26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3871"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vAlign w:val="center"/>
          </w:tcPr>
          <w:p>
            <w:pPr>
              <w:pStyle w:val="TableContents"/>
              <w:bidi w:val="0"/>
              <w:spacing w:before="40" w:after="0"/>
              <w:ind w:left="0" w:right="0" w:hanging="0"/>
              <w:jc w:val="center"/>
              <w:rPr/>
            </w:pPr>
            <w:r>
              <w:rPr/>
              <w:t> </w:t>
            </w:r>
          </w:p>
        </w:tc>
        <w:tc>
          <w:tcPr>
            <w:tcW w:w="8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AVRO</w:t>
            </w:r>
          </w:p>
        </w:tc>
        <w:tc>
          <w:tcPr>
            <w:tcW w:w="146" w:type="dxa"/>
            <w:tcBorders/>
            <w:vAlign w:val="center"/>
          </w:tcPr>
          <w:p>
            <w:pPr>
              <w:pStyle w:val="TableContents"/>
              <w:bidi w:val="0"/>
              <w:spacing w:before="40" w:after="0"/>
              <w:ind w:left="0" w:right="0" w:hanging="0"/>
              <w:jc w:val="center"/>
              <w:rPr/>
            </w:pPr>
            <w:r>
              <w:rPr/>
              <w:t> </w:t>
            </w:r>
          </w:p>
        </w:tc>
        <w:tc>
          <w:tcPr>
            <w:tcW w:w="26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Nasdaq Global Select Market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As of May 4, 2023, the registrant had 44,105,078</w:t>
      </w:r>
      <w:r>
        <w:rPr>
          <w:rFonts w:ascii="Times New Roman" w:hAnsi="Times New Roman"/>
          <w:sz w:val="20"/>
        </w:rPr>
        <w:t xml:space="preserve"> </w:t>
      </w:r>
      <w:r>
        <w:rPr>
          <w:rFonts w:ascii="Times New Roman;serif" w:hAnsi="Times New Roman;serif"/>
          <w:b w:val="false"/>
          <w:sz w:val="20"/>
        </w:rPr>
        <w:t>shares of common stock, $0.0001 par value per share, outstanding.</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Balance Sheets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redeem">
              <w:r>
                <w:rPr>
                  <w:rStyle w:val="InternetLink"/>
                  <w:rFonts w:ascii="Times New Roman;serif" w:hAnsi="Times New Roman;serif"/>
                  <w:b w:val="false"/>
                  <w:sz w:val="20"/>
                  <w:u w:val="single"/>
                </w:rPr>
                <w:t>Statements o</w:t>
              </w:r>
            </w:hyperlink>
            <w:hyperlink w:anchor="condensed_consolidated_statements_redeem">
              <w:r>
                <w:rPr>
                  <w:rStyle w:val="InternetLink"/>
                  <w:rFonts w:ascii="Times New Roman;serif" w:hAnsi="Times New Roman;serif"/>
                  <w:b w:val="false"/>
                  <w:sz w:val="24"/>
                  <w:u w:val="single"/>
                </w:rPr>
                <w:t>f</w:t>
              </w:r>
            </w:hyperlink>
            <w:hyperlink w:anchor="condensed_consolidated_statements_redeem">
              <w:r>
                <w:rPr>
                  <w:rStyle w:val="InternetLink"/>
                  <w:rFonts w:ascii="Times New Roman" w:hAnsi="Times New Roman"/>
                  <w:sz w:val="24"/>
                  <w:u w:val="single"/>
                </w:rPr>
                <w:t xml:space="preserve"> </w:t>
              </w:r>
            </w:hyperlink>
            <w:hyperlink w:anchor="condensed_consolidated_statements_redeem">
              <w:r>
                <w:rPr>
                  <w:rStyle w:val="InternetLink"/>
                  <w:rFonts w:ascii="Times New Roman;serif" w:hAnsi="Times New Roman;serif"/>
                  <w:b w:val="false"/>
                  <w:sz w:val="20"/>
                  <w:u w:val="single"/>
                </w:rPr>
                <w:t>Stockholders’ Equity</w:t>
              </w:r>
            </w:hyperlink>
            <w:hyperlink w:anchor="condensed_consolidated_statements_redeem">
              <w:r>
                <w:rPr>
                  <w:rStyle w:val="InternetLink"/>
                  <w:rFonts w:ascii="Times New Roman" w:hAnsi="Times New Roman"/>
                  <w:sz w:val="24"/>
                </w:rPr>
                <w:t xml:space="preserve"> </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Statements of Cash Flows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item_1a_risk_factors1">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73</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360" w:after="0"/>
        <w:jc w:val="both"/>
        <w:rPr>
          <w:rFonts w:ascii="Times New Roman;serif" w:hAnsi="Times New Roman;serif"/>
          <w:b/>
          <w:sz w:val="20"/>
        </w:rPr>
      </w:pPr>
      <w:r>
        <w:rPr>
          <w:rFonts w:ascii="Times New Roman;serif" w:hAnsi="Times New Roman;serif"/>
          <w:b/>
          <w:sz w:val="20"/>
        </w:rPr>
        <w:t>Summary of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is subject to numerous risks and uncertainties that you should be aware of in evaluating our business. These risks include, but are not limited to, the following:</w:t>
      </w:r>
    </w:p>
    <w:p>
      <w:pPr>
        <w:pStyle w:val="TextBody"/>
        <w:bidi w:val="0"/>
        <w:spacing w:before="0" w:after="0"/>
        <w:jc w:val="both"/>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have incurred net losses since inception. We expect to incur net losses for the foreseeable future and may never achieve or maintain profitability, and substantial doubt about our ability to continue as a going concern may create negative reactions to the price of our common stock.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will need additional funding, which may not be available on acceptable terms, or at all. Failure to obtain this necessary capital when needed may force us to delay, limit or terminate our product development efforts or other operations.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in January of 2022, we can no longer draw $20.0 million of term loans that were contingent upon the achievement of certain milestones related to our development of AVR-RD-01 for Fabry disease.</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Business interruptions resulting from the coronavirus disease (COVID-19) pandemic or similar public health crises have caused and may cause a disruption of the development of our product candidates and adversely impact our business.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Our hematopoietic stem cell (“HSC”) lentiviral-based gene therapy product candidates are based on a novel technology, which makes it difficult to predict the time and cost of product candidate development and of subsequently obtaining regulatory approval.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Success in preclinical studies or early clinical trials may not be indicative of results obtained in later trials.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may find it difficult to enroll patients in our clinical trials, which could delay or prevent us from proceeding with clinical trials of our product candidates.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may encounter substantial delays in our clinical trials or we may fail to demonstrate safety and efficacy to the satisfaction of applicable regulatory authorities.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Even if we complete the necessary preclinical and clinical studies, we cannot predict when or if we will obtain regulatory approval to commercialize a product candidate and the approval may be for a narrower indication than anticipated.</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pPr>
      <w:r>
        <w:rPr>
          <w:rFonts w:ascii="Times New Roman;serif" w:hAnsi="Times New Roman;serif"/>
          <w:b w:val="false"/>
          <w:sz w:val="20"/>
        </w:rPr>
        <w:t>Only one of our clinical trials utilizes our plato</w:t>
      </w:r>
      <w:r>
        <w:rPr>
          <w:rFonts w:ascii="Times New Roman;serif" w:hAnsi="Times New Roman;serif"/>
          <w:b w:val="false"/>
          <w:sz w:val="13"/>
        </w:rPr>
        <w:t>®</w:t>
      </w:r>
      <w:r>
        <w:rPr/>
        <w:t xml:space="preserve"> </w:t>
      </w:r>
      <w:r>
        <w:rPr>
          <w:rFonts w:ascii="Times New Roman;serif" w:hAnsi="Times New Roman;serif"/>
          <w:b w:val="false"/>
          <w:sz w:val="20"/>
        </w:rPr>
        <w:t xml:space="preserve">platform.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Gene therapies are novel, complex and difficult to manufacture. We could experience production problems that result in delays in our development or commercialization programs or otherwise adversely affect our business.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We expect to rely on third parties to conduct some or all aspects of our vector production, product manufacturing, protocol development, research and preclinical and clinical testing, and these third parties may not perform satisfactorily.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Third-party claims of intellectual property infringement may prevent or delay our development and commercialization efforts. </w:t>
      </w:r>
    </w:p>
    <w:p>
      <w:pPr>
        <w:pStyle w:val="TextBody"/>
        <w:bidi w:val="0"/>
        <w:spacing w:before="0" w:after="0"/>
        <w:jc w:val="left"/>
        <w:rPr/>
      </w:pPr>
      <w:r>
        <w:rPr/>
        <w:t>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rights to develop and commercialize our product candidates are subject, in part, to the terms and conditions of licenses granted to us by others.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failure to meet Nasdaq Global Select Market’s (“Nasdaq”) continued listing requirements could result in a delisting of our common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i/>
          <w:sz w:val="20"/>
        </w:rPr>
        <w:t>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the COVID-19 pandemic or any other public health crisis on our clinical trial programs, clinical supply and business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existence or absence of side effects or other properties relating to our product candidates which could delay or prevent their regulatory approval, limit their commercial potential, or result in significant negative consequences following any potential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durability of effects from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scope or likelihood of regulatory filings and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anticipated regulatory pathway for our product candidates and planned interactions with regulatory agencies;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and advance product candidates into, and successfully complete, 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size of the patient populations for our product candidates, if approved for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business model and our strategic plans for our business, product candidates, technology and plato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commercialization, marketing and manufacturing capabilities and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pricing and reimbursement of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scalability and commercial viability of our manufacturing methods and processes, including our move to a closed, automated system;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rate and degree of market acceptance and clinical utility of our product candidates, in particular, and gene therapy, in general;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or maintain collaborations or strategic relationships or obtain additional funding;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and expectations regarding our efforts to evaluate strategic opportunities with respect to one or more of our programs, our technology or our plato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competitive position;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the continued service of our key professionals and to identify, hire and retain additional qualified professionals;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and projections relating to our competitors and our industry, including other lentiviral or HSC gene therapy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related to the use of our cash reserves;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estimates regarding expenses, future revenue, capital requirements and needs for additional financing;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the terms of our term loan agreement;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avoid any findings of material weaknesses or significant deficiencies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satisfy the continued listing requirements of the Nasdaq, including a minimum bid price, and to maintain our common stock listing on Nasdaq or any stock exchange;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laws and regulations, including without limitation recently enacted tax reform legislation;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time during which we are an emerging growth company under the Jumpstart Our Business Startups Act of 2012, or JOBS Act;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risks and uncertainties, including those listed under the caption “Risk Factors.”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Note Regarding Trademarks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brand names or trademarks appearing in this Quarterly Report are the property of their respective holders. Unless the context requires otherwise, references in this Quarterly Report to the “Company,” “we,” “us,” and “our” refer to AVROBIO, Inc.</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7012"/>
        <w:gridCol w:w="146"/>
        <w:gridCol w:w="211"/>
        <w:gridCol w:w="841"/>
        <w:gridCol w:w="166"/>
        <w:gridCol w:w="146"/>
        <w:gridCol w:w="214"/>
        <w:gridCol w:w="856"/>
        <w:gridCol w:w="613"/>
      </w:tblGrid>
      <w:tr>
        <w:trPr/>
        <w:tc>
          <w:tcPr>
            <w:tcW w:w="7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92,563</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99,958</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2,894</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103,949</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11,732</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13,115</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Note payable, net of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15,276</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28,579</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150,000</w:t>
            </w:r>
            <w:r>
              <w:rPr>
                <w:rFonts w:ascii="Times New Roman" w:hAnsi="Times New Roman"/>
                <w:sz w:val="20"/>
              </w:rPr>
              <w:t> </w:t>
            </w:r>
            <w:r>
              <w:rPr>
                <w:rFonts w:ascii="Times New Roman;serif" w:hAnsi="Times New Roman;serif"/>
                <w:b w:val="false"/>
                <w:sz w:val="20"/>
              </w:rPr>
              <w:t>shares authorized; 44,088</w:t>
            </w:r>
            <w:r>
              <w:rPr>
                <w:rFonts w:ascii="Times New Roman" w:hAnsi="Times New Roman"/>
                <w:sz w:val="20"/>
              </w:rPr>
              <w:t> </w:t>
            </w:r>
            <w:r>
              <w:rPr>
                <w:rFonts w:ascii="Times New Roman;serif" w:hAnsi="Times New Roman;serif"/>
                <w:b w:val="false"/>
                <w:sz w:val="20"/>
              </w:rPr>
              <w:t>and 43,916</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567,383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564,798</w:t>
            </w:r>
          </w:p>
        </w:tc>
        <w:tc>
          <w:tcPr>
            <w:tcW w:w="613" w:type="dxa"/>
            <w:tcBorders/>
            <w:vAlign w:val="center"/>
          </w:tcPr>
          <w:p>
            <w:pPr>
              <w:pStyle w:val="TableContents"/>
              <w:bidi w:val="0"/>
              <w:spacing w:before="0" w:after="0"/>
              <w:ind w:left="0" w:right="0" w:firstLine="200"/>
              <w:jc w:val="left"/>
              <w:rPr/>
            </w:pPr>
            <w:r>
              <w:rPr/>
              <w:t> </w:t>
            </w:r>
          </w:p>
        </w:tc>
      </w:tr>
      <w:tr>
        <w:trPr/>
        <w:tc>
          <w:tcPr>
            <w:tcW w:w="70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(489,432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75,370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103,949</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p>
      <w:pPr>
        <w:pStyle w:val="TextBody"/>
        <w:bidi w:val="0"/>
        <w:spacing w:before="0" w:after="0"/>
        <w:jc w:val="left"/>
        <w:rPr/>
      </w:pPr>
      <w:r>
        <w:rPr/>
        <w:t> </w:t>
      </w:r>
    </w:p>
    <w:tbl>
      <w:tblPr>
        <w:tblW w:w="9621" w:type="dxa"/>
        <w:jc w:val="left"/>
        <w:tblInd w:w="0" w:type="dxa"/>
        <w:tblLayout w:type="fixed"/>
        <w:tblCellMar>
          <w:top w:w="28" w:type="dxa"/>
          <w:left w:w="28" w:type="dxa"/>
          <w:bottom w:w="28" w:type="dxa"/>
          <w:right w:w="28" w:type="dxa"/>
        </w:tblCellMar>
      </w:tblPr>
      <w:tblGrid>
        <w:gridCol w:w="6466"/>
        <w:gridCol w:w="146"/>
        <w:gridCol w:w="229"/>
        <w:gridCol w:w="801"/>
        <w:gridCol w:w="180"/>
        <w:gridCol w:w="158"/>
        <w:gridCol w:w="229"/>
        <w:gridCol w:w="801"/>
        <w:gridCol w:w="61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 </w:t>
            </w:r>
          </w:p>
        </w:tc>
        <w:tc>
          <w:tcPr>
            <w:tcW w:w="10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30" w:type="dxa"/>
            <w:gridSpan w:val="2"/>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1030"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17,333</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19,253</w:t>
            </w:r>
          </w:p>
        </w:tc>
        <w:tc>
          <w:tcPr>
            <w:tcW w:w="611" w:type="dxa"/>
            <w:tcBorders/>
            <w:vAlign w:val="center"/>
          </w:tcPr>
          <w:p>
            <w:pPr>
              <w:pStyle w:val="TableContents"/>
              <w:bidi w:val="0"/>
              <w:spacing w:before="0" w:after="0"/>
              <w:ind w:left="0" w:right="0" w:firstLine="200"/>
              <w:jc w:val="left"/>
              <w:rPr/>
            </w:pPr>
            <w:r>
              <w:rPr/>
              <w:t> </w:t>
            </w:r>
          </w:p>
        </w:tc>
      </w:tr>
      <w:tr>
        <w:trPr/>
        <w:tc>
          <w:tcPr>
            <w:tcW w:w="6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7,887</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25,220</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29,418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(25,220</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(29,418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030"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3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(expense), net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(24,957</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(0.57</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common shares outstanding — basic and diluted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44,037</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43,695</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6" w:name="condensed_consolidated_statements_redeem"/>
      <w:bookmarkEnd w:id="6"/>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13"/>
        <w:gridCol w:w="146"/>
        <w:gridCol w:w="146"/>
        <w:gridCol w:w="676"/>
        <w:gridCol w:w="146"/>
        <w:gridCol w:w="146"/>
        <w:gridCol w:w="295"/>
        <w:gridCol w:w="486"/>
        <w:gridCol w:w="146"/>
        <w:gridCol w:w="146"/>
        <w:gridCol w:w="244"/>
        <w:gridCol w:w="912"/>
        <w:gridCol w:w="146"/>
        <w:gridCol w:w="146"/>
        <w:gridCol w:w="243"/>
        <w:gridCol w:w="973"/>
        <w:gridCol w:w="166"/>
        <w:gridCol w:w="146"/>
        <w:gridCol w:w="259"/>
        <w:gridCol w:w="964"/>
        <w:gridCol w:w="166"/>
        <w:gridCol w:w="394"/>
      </w:tblGrid>
      <w:tr>
        <w:trPr/>
        <w:tc>
          <w:tcPr>
            <w:tcW w:w="3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1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38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166" w:type="dxa"/>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166" w:type="dxa"/>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(383,542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169,476</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556,534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(413,375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113"/>
        <w:gridCol w:w="146"/>
        <w:gridCol w:w="146"/>
        <w:gridCol w:w="676"/>
        <w:gridCol w:w="146"/>
        <w:gridCol w:w="146"/>
        <w:gridCol w:w="295"/>
        <w:gridCol w:w="486"/>
        <w:gridCol w:w="146"/>
        <w:gridCol w:w="146"/>
        <w:gridCol w:w="244"/>
        <w:gridCol w:w="912"/>
        <w:gridCol w:w="146"/>
        <w:gridCol w:w="146"/>
        <w:gridCol w:w="243"/>
        <w:gridCol w:w="973"/>
        <w:gridCol w:w="166"/>
        <w:gridCol w:w="146"/>
        <w:gridCol w:w="272"/>
        <w:gridCol w:w="951"/>
        <w:gridCol w:w="166"/>
        <w:gridCol w:w="394"/>
      </w:tblGrid>
      <w:tr>
        <w:trPr/>
        <w:tc>
          <w:tcPr>
            <w:tcW w:w="3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8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166" w:type="dxa"/>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166" w:type="dxa"/>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(489,432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75,370</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6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31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left"/>
              <w:rPr/>
            </w:pPr>
            <w:r>
              <w:rPr/>
              <w:t> </w:t>
            </w:r>
          </w:p>
        </w:tc>
      </w:tr>
      <w:tr>
        <w:trPr/>
        <w:tc>
          <w:tcPr>
            <w:tcW w:w="31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567,383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(514,389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18"/>
        <w:gridCol w:w="146"/>
        <w:gridCol w:w="220"/>
        <w:gridCol w:w="768"/>
        <w:gridCol w:w="173"/>
        <w:gridCol w:w="151"/>
        <w:gridCol w:w="220"/>
        <w:gridCol w:w="815"/>
        <w:gridCol w:w="594"/>
      </w:tblGrid>
      <w:tr>
        <w:trPr/>
        <w:tc>
          <w:tcPr>
            <w:tcW w:w="7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1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(24,957</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(29,833</w:t>
            </w:r>
          </w:p>
        </w:tc>
        <w:tc>
          <w:tcPr>
            <w:tcW w:w="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w:t>
            </w:r>
          </w:p>
        </w:tc>
        <w:tc>
          <w:tcPr>
            <w:tcW w:w="594" w:type="dxa"/>
            <w:tcBorders/>
            <w:vAlign w:val="center"/>
          </w:tcPr>
          <w:p>
            <w:pPr>
              <w:pStyle w:val="TableContents"/>
              <w:bidi w:val="0"/>
              <w:spacing w:before="0" w:after="0"/>
              <w:ind w:left="0" w:right="0" w:firstLine="200"/>
              <w:jc w:val="lef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 expense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594" w:type="dxa"/>
            <w:tcBorders/>
            <w:vAlign w:val="center"/>
          </w:tcPr>
          <w:p>
            <w:pPr>
              <w:pStyle w:val="TableContents"/>
              <w:bidi w:val="0"/>
              <w:spacing w:before="0" w:after="0"/>
              <w:ind w:left="0" w:right="0" w:firstLine="200"/>
              <w:jc w:val="lef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interest expense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594" w:type="dxa"/>
            <w:tcBorders/>
            <w:vAlign w:val="center"/>
          </w:tcPr>
          <w:p>
            <w:pPr>
              <w:pStyle w:val="TableContents"/>
              <w:bidi w:val="0"/>
              <w:spacing w:before="0" w:after="0"/>
              <w:ind w:left="0" w:right="0" w:firstLine="200"/>
              <w:jc w:val="lef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594" w:type="dxa"/>
            <w:tcBorders/>
            <w:vAlign w:val="center"/>
          </w:tcPr>
          <w:p>
            <w:pPr>
              <w:pStyle w:val="TableContents"/>
              <w:bidi w:val="0"/>
              <w:spacing w:before="0" w:after="0"/>
              <w:ind w:left="0" w:right="0" w:firstLine="200"/>
              <w:jc w:val="lef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rent expense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5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400"/>
              <w:jc w:val="right"/>
              <w:rPr/>
            </w:pPr>
            <w:r>
              <w:rPr/>
              <w:t> </w:t>
            </w:r>
          </w:p>
        </w:tc>
      </w:tr>
      <w:tr>
        <w:trPr/>
        <w:tc>
          <w:tcPr>
            <w:tcW w:w="71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594" w:type="dxa"/>
            <w:tcBorders/>
            <w:vAlign w:val="center"/>
          </w:tcPr>
          <w:p>
            <w:pPr>
              <w:pStyle w:val="TableContents"/>
              <w:bidi w:val="0"/>
              <w:spacing w:before="0" w:after="0"/>
              <w:ind w:left="0" w:right="0" w:firstLine="400"/>
              <w:jc w:val="left"/>
              <w:rPr/>
            </w:pPr>
            <w:r>
              <w:rPr/>
              <w:t> </w:t>
            </w:r>
          </w:p>
        </w:tc>
      </w:tr>
      <w:tr>
        <w:trPr/>
        <w:tc>
          <w:tcPr>
            <w:tcW w:w="71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94" w:type="dxa"/>
            <w:tcBorders/>
            <w:vAlign w:val="center"/>
          </w:tcPr>
          <w:p>
            <w:pPr>
              <w:pStyle w:val="TableContents"/>
              <w:bidi w:val="0"/>
              <w:spacing w:before="0" w:after="0"/>
              <w:ind w:left="0" w:right="0" w:firstLine="400"/>
              <w:jc w:val="left"/>
              <w:rPr/>
            </w:pPr>
            <w:r>
              <w:rPr/>
              <w:t> </w:t>
            </w:r>
          </w:p>
        </w:tc>
      </w:tr>
      <w:tr>
        <w:trPr/>
        <w:tc>
          <w:tcPr>
            <w:tcW w:w="71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594" w:type="dxa"/>
            <w:tcBorders/>
            <w:vAlign w:val="center"/>
          </w:tcPr>
          <w:p>
            <w:pPr>
              <w:pStyle w:val="TableContents"/>
              <w:bidi w:val="0"/>
              <w:spacing w:before="0" w:after="0"/>
              <w:ind w:left="0" w:right="0" w:firstLine="400"/>
              <w:jc w:val="left"/>
              <w:rPr/>
            </w:pPr>
            <w:r>
              <w:rPr/>
              <w:t> </w:t>
            </w:r>
          </w:p>
        </w:tc>
      </w:tr>
      <w:tr>
        <w:trPr/>
        <w:tc>
          <w:tcPr>
            <w:tcW w:w="71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400"/>
              <w:jc w:val="left"/>
              <w:rPr/>
            </w:pPr>
            <w:r>
              <w:rPr/>
              <w:t> </w:t>
            </w:r>
          </w:p>
        </w:tc>
      </w:tr>
      <w:tr>
        <w:trPr/>
        <w:tc>
          <w:tcPr>
            <w:tcW w:w="71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(20,284</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(28,014</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ESPP shares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11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(20,237</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(27,904</w:t>
            </w:r>
          </w:p>
        </w:tc>
        <w:tc>
          <w:tcPr>
            <w:tcW w:w="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92,846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190,059</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72,609</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162,155</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w:t>
              <w:br/>
              <w:t>accrued expenses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liability arising from obtaining right-of-use assets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2,392</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Reconciliation of cash, cash equivalents and restricted cash reported within the condensed consolidated balance sheets:</w:t>
            </w:r>
          </w:p>
        </w:tc>
        <w:tc>
          <w:tcPr>
            <w:tcW w:w="146" w:type="dxa"/>
            <w:tcBorders/>
            <w:vAlign w:val="center"/>
          </w:tcPr>
          <w:p>
            <w:pPr>
              <w:pStyle w:val="TableContents"/>
              <w:bidi w:val="0"/>
              <w:spacing w:before="0" w:after="0"/>
              <w:ind w:left="0" w:right="0" w:hanging="0"/>
              <w:jc w:val="left"/>
              <w:rPr/>
            </w:pPr>
            <w:r>
              <w:rPr/>
              <w:t> </w:t>
            </w:r>
          </w:p>
        </w:tc>
        <w:tc>
          <w:tcPr>
            <w:tcW w:w="988"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72,326</w:t>
            </w:r>
          </w:p>
        </w:tc>
        <w:tc>
          <w:tcPr>
            <w:tcW w:w="173"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161,663</w:t>
            </w:r>
          </w:p>
        </w:tc>
        <w:tc>
          <w:tcPr>
            <w:tcW w:w="594" w:type="dxa"/>
            <w:tcBorders/>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72,609</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162,155</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8" w:name="notes_to_unaudited_condensed_consolidate"/>
      <w:bookmarkEnd w:id="8"/>
      <w:r>
        <w:rPr>
          <w:rFonts w:ascii="Times New Roman;serif" w:hAnsi="Times New Roman;serif"/>
          <w:b/>
          <w:sz w:val="20"/>
        </w:rPr>
        <w:t>NOTES TO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Nature of the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AVROBIO, Inc. (the “Company” or “AVROBIO”) is a clinical-stage gene therapy company focused on developing potentially curative ex vivo lentiviral gene therapies to treat rare diseases following a single dose treatment regimen.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pStyle w:val="TextBody"/>
        <w:bidi w:val="0"/>
        <w:spacing w:before="240" w:after="0"/>
        <w:jc w:val="left"/>
        <w:rPr>
          <w:rFonts w:ascii="Times New Roman" w:hAnsi="Times New Roman"/>
          <w:sz w:val="20"/>
        </w:rPr>
      </w:pPr>
      <w:r>
        <w:rPr>
          <w:rFonts w:ascii="Times New Roman;serif" w:hAnsi="Times New Roman;serif"/>
          <w:b w:val="false"/>
          <w:sz w:val="20"/>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and a term loan facility. As of March 31, 2023, the Company had an accumulated deficit of $514,389.</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expects that its cash and cash equivalents of $72,326</w:t>
      </w:r>
      <w:r>
        <w:rPr>
          <w:rFonts w:ascii="Times New Roman" w:hAnsi="Times New Roman"/>
          <w:sz w:val="20"/>
        </w:rPr>
        <w:t xml:space="preserve"> </w:t>
      </w:r>
      <w:r>
        <w:rPr>
          <w:rFonts w:ascii="Times New Roman;serif" w:hAnsi="Times New Roman;serif"/>
          <w:b w:val="false"/>
          <w:sz w:val="20"/>
        </w:rPr>
        <w:t>as of March 31, 2023 may not be sufficient to fund operations for at least the next twelve months from the date of issuance of these condensed consolidated financial statements which raises substantial doubt about the Company's ability to continue as a going concern, and the Company will need to obtain additional funding. The Company expects to finance its operations through potential public or private equity financings, debt financings, collaboration agreements or other capital sources.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36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financial statements have been prepared on the same basis as the audited annual consolidated financial statements as of and for the year ended December 31, 2022, and, in the opinion of management, reflect all adjustments, consisting of normal recurring adjustments, necessary for the fair presentation of the Company’s financial position as of March 31, 2023, and the results of its operations for the three months ended March 31, 2023 and 2022, its statements of stockholders’ equity for the three months ended March 31, 2023 and 2022 and its statement of cash flows for the three months ended March 31, 2023 and 2022.</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results for the three months ended March 31, 2023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for the year ended December 31, 2022, filed with the SEC on March 23,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financial statements reflect the application of certain significant accounting policies as described below and elsewhere in these notes to the unaudited condensed consolidated financial statements. As of March 31, 2023, there have been no changes to the Company’s significant accounting policies as described in the Company’s Annual Report on Form 10-K for the fiscal year ended December 31,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Segment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w:t>
      </w:r>
      <w:r>
        <w:rPr>
          <w:rFonts w:ascii="Times New Roman" w:hAnsi="Times New Roman"/>
          <w:sz w:val="20"/>
        </w:rPr>
        <w:t xml:space="preserve"> </w:t>
      </w:r>
      <w:r>
        <w:rPr>
          <w:rFonts w:ascii="Times New Roman;serif" w:hAnsi="Times New Roman;serif"/>
          <w:b w:val="false"/>
          <w:sz w:val="20"/>
        </w:rPr>
        <w:t>operating segment. All material long-lived assets of the Company reside in the United States.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pStyle w:val="TextBody"/>
        <w:bidi w:val="0"/>
        <w:spacing w:before="240" w:after="0"/>
        <w:jc w:val="left"/>
        <w:rPr>
          <w:rFonts w:ascii="Times New Roman" w:hAnsi="Times New Roman"/>
          <w:sz w:val="20"/>
        </w:rPr>
      </w:pPr>
      <w:r>
        <w:rPr>
          <w:rFonts w:ascii="Times New Roman;serif" w:hAnsi="Times New Roman;serif"/>
          <w:b w:val="false"/>
          <w:sz w:val="20"/>
        </w:rPr>
        <w:t>Significant estimates relied upon in preparing the unaudited condensed consolidated financial statements include the determination of the fair value of share-based awards issued and the estimation of accrued research and development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Prior to the adoption of Accounting Standards Update (“ASU”) No. 2018-07, </w:t>
      </w:r>
      <w:r>
        <w:rPr>
          <w:rFonts w:ascii="Times New Roman;serif" w:hAnsi="Times New Roman;serif"/>
          <w:b w:val="false"/>
          <w:i/>
          <w:sz w:val="20"/>
        </w:rPr>
        <w:t>Compensation-Stock Compensation (Topic 718): Improvements to Nonemployee Share-Based Payment Accounting</w:t>
      </w:r>
      <w:r>
        <w:rPr>
          <w:rFonts w:ascii="Times New Roman;serif" w:hAnsi="Times New Roman;serif"/>
          <w:b w:val="false"/>
          <w:sz w:val="20"/>
        </w:rPr>
        <w:t>, the measurement date for non-employee awards was generally the date the services are completed, 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classifies stock-based compensation expense in its consolidated statements of operations and comprehensive loss in the same manner in which the award recipient’s cash compensation costs are classified.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Subsequent Event Considerations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(Topic 326): Measurement of Credit Losses on Financial Instruments</w:t>
      </w:r>
      <w:r>
        <w:rPr>
          <w:rFonts w:ascii="Times New Roman;serif" w:hAnsi="Times New Roman;serif"/>
          <w:b w:val="false"/>
          <w:sz w:val="20"/>
        </w:rPr>
        <w:t>, or ASU 2016-13. ASU 2016-13 requires that credit losses be reported as an allowance using an expected losses model, representing the 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In</w:t>
      </w:r>
      <w:r>
        <w:rPr>
          <w:rFonts w:ascii="Times New Roman" w:hAnsi="Times New Roman"/>
          <w:sz w:val="20"/>
        </w:rPr>
        <w:t xml:space="preserve"> </w:t>
      </w:r>
      <w:r>
        <w:rPr>
          <w:rFonts w:ascii="Times New Roman;serif" w:hAnsi="Times New Roman;serif"/>
          <w:b w:val="false"/>
          <w:sz w:val="20"/>
        </w:rPr>
        <w:t>November 2019, the FASB issued ASU 2019-11, “</w:t>
      </w:r>
      <w:r>
        <w:rPr>
          <w:rFonts w:ascii="Times New Roman;serif" w:hAnsi="Times New Roman;serif"/>
          <w:b w:val="false"/>
          <w:i/>
          <w:sz w:val="20"/>
        </w:rPr>
        <w:t>Codification Improvements to Topic 326, Financial Instruments – Credit Losses</w:t>
      </w:r>
      <w:r>
        <w:rPr>
          <w:rFonts w:ascii="Times New Roman;serif" w:hAnsi="Times New Roman;serif"/>
          <w:b w:val="false"/>
          <w:sz w:val="20"/>
        </w:rPr>
        <w:t>,” or ASU 2019-11. ASU 2019-11 is an accounting pronouncement that amends ASU 2016-13, “</w:t>
      </w:r>
      <w:r>
        <w:rPr>
          <w:rFonts w:ascii="Times New Roman;serif" w:hAnsi="Times New Roman;serif"/>
          <w:b w:val="false"/>
          <w:i/>
          <w:sz w:val="20"/>
        </w:rPr>
        <w:t>Financial Instruments – Credit Losses (Topic 326): Measurement of Credit Losses on Financial Instruments</w:t>
      </w:r>
      <w:r>
        <w:rPr>
          <w:rFonts w:ascii="Times New Roman;serif" w:hAnsi="Times New Roman;serif"/>
          <w:b w:val="false"/>
          <w:sz w:val="20"/>
        </w:rPr>
        <w:t>.”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3. License Agreements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Agreement with The University of Manchester</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agreement, the Company is obligated to make milestone payments of up to an aggregate of $80,000</w:t>
      </w:r>
      <w:r>
        <w:rPr>
          <w:rFonts w:ascii="Times New Roman" w:hAnsi="Times New Roman"/>
          <w:sz w:val="20"/>
        </w:rPr>
        <w:t xml:space="preserve"> </w:t>
      </w:r>
      <w:r>
        <w:rPr>
          <w:rFonts w:ascii="Times New Roman;serif" w:hAnsi="Times New Roman;serif"/>
          <w:b w:val="false"/>
          <w:sz w:val="20"/>
        </w:rPr>
        <w:t>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w:t>
      </w:r>
      <w:r>
        <w:rPr>
          <w:rFonts w:ascii="Times New Roman" w:hAnsi="Times New Roman"/>
          <w:sz w:val="20"/>
        </w:rPr>
        <w:t xml:space="preserve"> </w:t>
      </w:r>
      <w:r>
        <w:rPr>
          <w:rFonts w:ascii="Times New Roman;serif" w:hAnsi="Times New Roman;serif"/>
          <w:b w:val="false"/>
          <w:sz w:val="20"/>
        </w:rPr>
        <w:t>milestone payment under the MPSII License Agreement became due following the date of regulatory approval of the CTA for the investigator-sponsored Phase 1/2 clinical trial sponsored by UoM. The next anticipated payment milestones under the MPSII License Agreement is $4,000</w:t>
      </w:r>
      <w:r>
        <w:rPr>
          <w:rFonts w:ascii="Times New Roman" w:hAnsi="Times New Roman"/>
          <w:sz w:val="20"/>
        </w:rPr>
        <w:t xml:space="preserve"> </w:t>
      </w:r>
      <w:r>
        <w:rPr>
          <w:rFonts w:ascii="Times New Roman;serif" w:hAnsi="Times New Roman;serif"/>
          <w:b w:val="false"/>
          <w:sz w:val="20"/>
        </w:rPr>
        <w:t>upon the dosing of the first patient in the investigator-sponsored Phase 1/2 clinical trial sponsored by UoM.</w:t>
      </w:r>
    </w:p>
    <w:p>
      <w:pPr>
        <w:pStyle w:val="TextBody"/>
        <w:bidi w:val="0"/>
        <w:spacing w:before="240" w:after="0"/>
        <w:jc w:val="left"/>
        <w:rPr>
          <w:rFonts w:ascii="Times New Roman" w:hAnsi="Times New Roman"/>
          <w:sz w:val="20"/>
        </w:rPr>
      </w:pPr>
      <w:r>
        <w:rPr>
          <w:rFonts w:ascii="Times New Roman;serif" w:hAnsi="Times New Roman;serif"/>
          <w:b w:val="false"/>
          <w:sz w:val="20"/>
        </w:rPr>
        <w:t>Unless terminated earlier, the agreement expires upon the later of 15</w:t>
      </w:r>
      <w:r>
        <w:rPr>
          <w:rFonts w:ascii="Times New Roman;serif" w:hAnsi="Times New Roman;serif"/>
          <w:sz w:val="20"/>
        </w:rPr>
        <w:t xml:space="preserve"> </w:t>
      </w:r>
      <w:r>
        <w:rPr>
          <w:rFonts w:ascii="Times New Roman;serif" w:hAnsi="Times New Roman;serif"/>
          <w:b w:val="false"/>
          <w:sz w:val="20"/>
        </w:rPr>
        <w:t>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pStyle w:val="TextBody"/>
        <w:bidi w:val="0"/>
        <w:spacing w:before="240" w:after="0"/>
        <w:jc w:val="left"/>
        <w:rPr>
          <w:rFonts w:ascii="Times New Roman" w:hAnsi="Times New Roman"/>
          <w:sz w:val="20"/>
        </w:rPr>
      </w:pPr>
      <w:r>
        <w:rPr>
          <w:rFonts w:ascii="Times New Roman;serif" w:hAnsi="Times New Roman;serif"/>
          <w:b w:val="false"/>
          <w:sz w:val="20"/>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£9,900</w:t>
      </w:r>
      <w:r>
        <w:rPr>
          <w:rFonts w:ascii="Times New Roman" w:hAnsi="Times New Roman"/>
          <w:sz w:val="20"/>
        </w:rPr>
        <w:t xml:space="preserve"> </w:t>
      </w:r>
      <w:r>
        <w:rPr>
          <w:rFonts w:ascii="Times New Roman;serif" w:hAnsi="Times New Roman;serif"/>
          <w:b w:val="false"/>
          <w:sz w:val="20"/>
        </w:rPr>
        <w:t>in the aggregate.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incurred $1,610</w:t>
      </w:r>
      <w:r>
        <w:rPr>
          <w:rFonts w:ascii="Times New Roman" w:hAnsi="Times New Roman"/>
          <w:sz w:val="20"/>
        </w:rPr>
        <w:t xml:space="preserve"> </w:t>
      </w:r>
      <w:r>
        <w:rPr>
          <w:rFonts w:ascii="Times New Roman;serif" w:hAnsi="Times New Roman;serif"/>
          <w:b w:val="false"/>
          <w:sz w:val="20"/>
        </w:rPr>
        <w:t>and $963</w:t>
      </w:r>
      <w:r>
        <w:rPr>
          <w:rFonts w:ascii="Times New Roman" w:hAnsi="Times New Roman"/>
          <w:sz w:val="20"/>
        </w:rPr>
        <w:t xml:space="preserve"> </w:t>
      </w:r>
      <w:r>
        <w:rPr>
          <w:rFonts w:ascii="Times New Roman;serif" w:hAnsi="Times New Roman;serif"/>
          <w:b w:val="false"/>
          <w:sz w:val="20"/>
        </w:rPr>
        <w:t>related to the CRFA,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Agreements with University Health Network (“UHN”)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Fabry License Agreement—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w:t>
      </w:r>
      <w:r>
        <w:rPr>
          <w:rFonts w:ascii="Times New Roman" w:hAnsi="Times New Roman"/>
          <w:sz w:val="20"/>
        </w:rPr>
        <w:t xml:space="preserve"> </w:t>
      </w:r>
      <w:r>
        <w:rPr>
          <w:rFonts w:ascii="Times New Roman;serif" w:hAnsi="Times New Roman;serif"/>
          <w:b w:val="false"/>
          <w:sz w:val="20"/>
        </w:rPr>
        <w:t>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recorded research and development expense related to this agreement with UHN of $34</w:t>
      </w:r>
      <w:r>
        <w:rPr>
          <w:rFonts w:ascii="Times New Roman" w:hAnsi="Times New Roman"/>
          <w:sz w:val="20"/>
        </w:rPr>
        <w:t xml:space="preserve"> </w:t>
      </w:r>
      <w:r>
        <w:rPr>
          <w:rFonts w:ascii="Times New Roman;serif" w:hAnsi="Times New Roman;serif"/>
          <w:b w:val="false"/>
          <w:sz w:val="20"/>
        </w:rPr>
        <w:t>and $24, respectively, which consists of reimbursable funded study trial costs. No</w:t>
      </w:r>
      <w:r>
        <w:rPr>
          <w:rFonts w:ascii="Times New Roman" w:hAnsi="Times New Roman"/>
          <w:sz w:val="20"/>
        </w:rPr>
        <w:t xml:space="preserve"> </w:t>
      </w:r>
      <w:r>
        <w:rPr>
          <w:rFonts w:ascii="Times New Roman;serif" w:hAnsi="Times New Roman;serif"/>
          <w:b w:val="false"/>
          <w:sz w:val="20"/>
        </w:rPr>
        <w:t>milestone or maintenance fees were incurred related to this agreement in the three months ended March 31, 2023 and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Interleukin 12 License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w:t>
      </w:r>
      <w:r>
        <w:rPr>
          <w:rFonts w:ascii="Times New Roman" w:hAnsi="Times New Roman"/>
          <w:sz w:val="20"/>
        </w:rPr>
        <w:t xml:space="preserve"> </w:t>
      </w:r>
      <w:r>
        <w:rPr>
          <w:rFonts w:ascii="Times New Roman;serif" w:hAnsi="Times New Roman;serif"/>
          <w:b w:val="false"/>
          <w:sz w:val="20"/>
        </w:rPr>
        <w:t>shares of the Company’s common stock and agreed to pay UHN up to $2,000</w:t>
      </w:r>
      <w:r>
        <w:rPr>
          <w:rFonts w:ascii="Times New Roman" w:hAnsi="Times New Roman"/>
          <w:sz w:val="20"/>
        </w:rPr>
        <w:t xml:space="preserve"> </w:t>
      </w:r>
      <w:r>
        <w:rPr>
          <w:rFonts w:ascii="Times New Roman;serif" w:hAnsi="Times New Roman;serif"/>
          <w:b w:val="false"/>
          <w:sz w:val="20"/>
        </w:rPr>
        <w:t>upon the closing of an IPO if certain criteria are met. The fair value of the shares issued to UHN of $480</w:t>
      </w:r>
      <w:r>
        <w:rPr>
          <w:rFonts w:ascii="Times New Roman" w:hAnsi="Times New Roman"/>
          <w:sz w:val="20"/>
        </w:rPr>
        <w:t xml:space="preserve"> </w:t>
      </w:r>
      <w:r>
        <w:rPr>
          <w:rFonts w:ascii="Times New Roman;serif" w:hAnsi="Times New Roman;serif"/>
          <w:b w:val="false"/>
          <w:sz w:val="20"/>
        </w:rPr>
        <w:t>and the upfront fee was expensed upon the execution of the agreement. Upon the closing of the IPO in 2018, as the criteria were met, the Company paid UHN $2,000. The Company is also required to pay UHN future annual license maintenance fees of CAD $50</w:t>
      </w:r>
      <w:r>
        <w:rPr>
          <w:rFonts w:ascii="Times New Roman" w:hAnsi="Times New Roman"/>
          <w:sz w:val="20"/>
        </w:rPr>
        <w:t xml:space="preserve"> </w:t>
      </w:r>
      <w:r>
        <w:rPr>
          <w:rFonts w:ascii="Times New Roman;serif" w:hAnsi="Times New Roman;serif"/>
          <w:b w:val="false"/>
          <w:sz w:val="20"/>
        </w:rPr>
        <w:t>on each anniversary of the effective date of the license agreement prior to expiration or termination and potential future milestone payments of up to CAD $19,275</w:t>
      </w:r>
      <w:r>
        <w:rPr>
          <w:rFonts w:ascii="Times New Roman" w:hAnsi="Times New Roman"/>
          <w:sz w:val="20"/>
        </w:rPr>
        <w:t xml:space="preserve"> </w:t>
      </w:r>
      <w:r>
        <w:rPr>
          <w:rFonts w:ascii="Times New Roman;serif" w:hAnsi="Times New Roman;serif"/>
          <w:b w:val="false"/>
          <w:sz w:val="20"/>
        </w:rPr>
        <w:t>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recorded research and development expense related to this agreement with UHN of $37</w:t>
      </w:r>
      <w:r>
        <w:rPr>
          <w:rFonts w:ascii="Times New Roman" w:hAnsi="Times New Roman"/>
          <w:sz w:val="20"/>
        </w:rPr>
        <w:t xml:space="preserve"> </w:t>
      </w:r>
      <w:r>
        <w:rPr>
          <w:rFonts w:ascii="Times New Roman;serif" w:hAnsi="Times New Roman;serif"/>
          <w:b w:val="false"/>
          <w:sz w:val="20"/>
        </w:rPr>
        <w:t>and $39, respectively. No</w:t>
      </w:r>
      <w:r>
        <w:rPr>
          <w:rFonts w:ascii="Times New Roman" w:hAnsi="Times New Roman"/>
          <w:sz w:val="20"/>
        </w:rPr>
        <w:t xml:space="preserve"> </w:t>
      </w:r>
      <w:r>
        <w:rPr>
          <w:rFonts w:ascii="Times New Roman;serif" w:hAnsi="Times New Roman;serif"/>
          <w:b w:val="false"/>
          <w:sz w:val="20"/>
        </w:rPr>
        <w:t>milestone fees were incurred related to this agreement in the three months ended March 31, 2023 and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BioMarin Pharmaceutical Inc. (“BioMarin”)</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w:t>
      </w:r>
      <w:r>
        <w:rPr>
          <w:rFonts w:ascii="Times New Roman" w:hAnsi="Times New Roman"/>
          <w:sz w:val="20"/>
        </w:rPr>
        <w:t xml:space="preserve"> </w:t>
      </w:r>
      <w:r>
        <w:rPr>
          <w:rFonts w:ascii="Times New Roman;serif" w:hAnsi="Times New Roman;serif"/>
          <w:b w:val="false"/>
          <w:sz w:val="20"/>
        </w:rPr>
        <w:t>in cash and issued 233,765</w:t>
      </w:r>
      <w:r>
        <w:rPr>
          <w:rFonts w:ascii="Times New Roman" w:hAnsi="Times New Roman"/>
          <w:sz w:val="20"/>
        </w:rPr>
        <w:t xml:space="preserve"> </w:t>
      </w:r>
      <w:r>
        <w:rPr>
          <w:rFonts w:ascii="Times New Roman;serif" w:hAnsi="Times New Roman;serif"/>
          <w:b w:val="false"/>
          <w:sz w:val="20"/>
        </w:rPr>
        <w:t>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w:t>
      </w:r>
      <w:r>
        <w:rPr>
          <w:rFonts w:ascii="Times New Roman" w:hAnsi="Times New Roman"/>
          <w:sz w:val="20"/>
        </w:rPr>
        <w:t xml:space="preserve"> </w:t>
      </w:r>
      <w:r>
        <w:rPr>
          <w:rFonts w:ascii="Times New Roman;serif" w:hAnsi="Times New Roman;serif"/>
          <w:b w:val="false"/>
          <w:sz w:val="20"/>
        </w:rPr>
        <w:t>upon the achievement of certain specified milestones and agreed to pay BioMarin royalties of a low single-digit percentage of net sales of licensed products sold by the Company or its affiliates covered by patent rights in a relevant country.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the license for the three months ended March 31, 2023 and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Papillon Therapeutics, Inc. (previously GenStem Therapeutics, Inc.)</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w:t>
      </w:r>
      <w:r>
        <w:rPr>
          <w:rFonts w:ascii="Times New Roman" w:hAnsi="Times New Roman"/>
          <w:sz w:val="20"/>
        </w:rPr>
        <w:t xml:space="preserve"> </w:t>
      </w:r>
      <w:r>
        <w:rPr>
          <w:rFonts w:ascii="Times New Roman;serif" w:hAnsi="Times New Roman;serif"/>
          <w:b w:val="false"/>
          <w:sz w:val="20"/>
        </w:rPr>
        <w:t>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noticed that the license agreement with GenStem had been assigned to Papillon Therapeutics, Inc. (“Papillon”).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this agreement for the three months ended March 31, 2023 and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Agreement with Lund University Rights Holders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recognized no</w:t>
      </w:r>
      <w:r>
        <w:rPr>
          <w:rFonts w:ascii="Times New Roman" w:hAnsi="Times New Roman"/>
          <w:sz w:val="20"/>
        </w:rPr>
        <w:t xml:space="preserve"> </w:t>
      </w:r>
      <w:r>
        <w:rPr>
          <w:rFonts w:ascii="Times New Roman;serif" w:hAnsi="Times New Roman;serif"/>
          <w:b w:val="false"/>
          <w:sz w:val="20"/>
        </w:rPr>
        <w:t>expenses related to this agreement for the three months ended March 31, 2023 and 2022.</w:t>
      </w:r>
    </w:p>
    <w:p>
      <w:pPr>
        <w:pStyle w:val="TextBody"/>
        <w:bidi w:val="0"/>
        <w:spacing w:before="360" w:after="0"/>
        <w:jc w:val="left"/>
        <w:rPr>
          <w:rFonts w:ascii="Times New Roman" w:hAnsi="Times New Roman"/>
          <w:sz w:val="20"/>
        </w:rPr>
      </w:pPr>
      <w:r>
        <w:rPr>
          <w:rFonts w:ascii="Times New Roman;serif" w:hAnsi="Times New Roman;serif"/>
          <w:b/>
          <w:sz w:val="20"/>
        </w:rPr>
        <w:t>4. Fair Value Measurement</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information about the Company’s financial assets measured at fair value on a recurring basis and indicates the level of the fair value hierarchy utilized to determine such fair values as of March 31, 2023 and December 31, 2022:</w:t>
      </w:r>
      <w:r>
        <w:rPr>
          <w:rFonts w:ascii="Times New Roman" w:hAnsi="Times New Roman"/>
          <w:sz w:val="20"/>
        </w:rPr>
        <w:t xml:space="preserve"> </w:t>
      </w:r>
    </w:p>
    <w:tbl>
      <w:tblPr>
        <w:tblW w:w="7898"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39"/>
        <w:gridCol w:w="391"/>
        <w:gridCol w:w="146"/>
        <w:gridCol w:w="146"/>
        <w:gridCol w:w="239"/>
        <w:gridCol w:w="391"/>
        <w:gridCol w:w="146"/>
        <w:gridCol w:w="146"/>
        <w:gridCol w:w="211"/>
        <w:gridCol w:w="67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1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Cash equivalents </w:t>
            </w:r>
            <w:r>
              <w:rPr>
                <w:rFonts w:ascii="Times New Roman" w:hAnsi="Times New Roman"/>
                <w:sz w:val="20"/>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916" w:type="dxa"/>
        <w:jc w:val="left"/>
        <w:tblInd w:w="0" w:type="dxa"/>
        <w:tblLayout w:type="fixed"/>
        <w:tblCellMar>
          <w:top w:w="28" w:type="dxa"/>
          <w:left w:w="28" w:type="dxa"/>
          <w:bottom w:w="28" w:type="dxa"/>
          <w:right w:w="28" w:type="dxa"/>
        </w:tblCellMar>
      </w:tblPr>
      <w:tblGrid>
        <w:gridCol w:w="3451"/>
        <w:gridCol w:w="146"/>
        <w:gridCol w:w="212"/>
        <w:gridCol w:w="681"/>
        <w:gridCol w:w="147"/>
        <w:gridCol w:w="147"/>
        <w:gridCol w:w="238"/>
        <w:gridCol w:w="392"/>
        <w:gridCol w:w="147"/>
        <w:gridCol w:w="147"/>
        <w:gridCol w:w="238"/>
        <w:gridCol w:w="392"/>
        <w:gridCol w:w="147"/>
        <w:gridCol w:w="147"/>
        <w:gridCol w:w="212"/>
        <w:gridCol w:w="68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2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 — money market funds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fair value of cash equivalents was determined through quoted prices by third-party pricing services.</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March 31, 2023, there were no</w:t>
      </w:r>
      <w:r>
        <w:rPr>
          <w:rFonts w:ascii="Times New Roman" w:hAnsi="Times New Roman"/>
          <w:sz w:val="20"/>
        </w:rPr>
        <w:t xml:space="preserve"> </w:t>
      </w:r>
      <w:r>
        <w:rPr>
          <w:rFonts w:ascii="Times New Roman;serif" w:hAnsi="Times New Roman;serif"/>
          <w:b w:val="false"/>
          <w:sz w:val="20"/>
        </w:rPr>
        <w:t>transfers between levels.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5. Supplemental Balance Sheet Information</w:t>
      </w:r>
    </w:p>
    <w:p>
      <w:pPr>
        <w:pStyle w:val="TextBody"/>
        <w:bidi w:val="0"/>
        <w:spacing w:before="120" w:after="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Prepaid expenses and other current assets consisted of the following:</w:t>
      </w:r>
      <w:r>
        <w:rPr>
          <w:rFonts w:ascii="Times New Roman" w:hAnsi="Times New Roman"/>
          <w:sz w:val="20"/>
        </w:rPr>
        <w:t xml:space="preserve"> </w:t>
      </w:r>
    </w:p>
    <w:tbl>
      <w:tblPr>
        <w:tblW w:w="6255" w:type="dxa"/>
        <w:jc w:val="left"/>
        <w:tblInd w:w="0" w:type="dxa"/>
        <w:tblLayout w:type="fixed"/>
        <w:tblCellMar>
          <w:top w:w="28" w:type="dxa"/>
          <w:left w:w="28" w:type="dxa"/>
          <w:bottom w:w="28" w:type="dxa"/>
          <w:right w:w="28" w:type="dxa"/>
        </w:tblCellMar>
      </w:tblPr>
      <w:tblGrid>
        <w:gridCol w:w="3676"/>
        <w:gridCol w:w="146"/>
        <w:gridCol w:w="230"/>
        <w:gridCol w:w="625"/>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incentive refund</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compensation benefits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and equipment, net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net consisted of the following:</w:t>
      </w:r>
      <w:r>
        <w:rPr>
          <w:rFonts w:ascii="Times New Roman" w:hAnsi="Times New Roman"/>
          <w:sz w:val="20"/>
        </w:rPr>
        <w:t xml:space="preserve"> </w:t>
      </w:r>
    </w:p>
    <w:tbl>
      <w:tblPr>
        <w:tblW w:w="6875" w:type="dxa"/>
        <w:jc w:val="left"/>
        <w:tblInd w:w="0" w:type="dxa"/>
        <w:tblLayout w:type="fixed"/>
        <w:tblCellMar>
          <w:top w:w="28" w:type="dxa"/>
          <w:left w:w="28" w:type="dxa"/>
          <w:bottom w:w="28" w:type="dxa"/>
          <w:right w:w="28" w:type="dxa"/>
        </w:tblCellMar>
      </w:tblPr>
      <w:tblGrid>
        <w:gridCol w:w="4156"/>
        <w:gridCol w:w="146"/>
        <w:gridCol w:w="214"/>
        <w:gridCol w:w="641"/>
        <w:gridCol w:w="166"/>
        <w:gridCol w:w="146"/>
        <w:gridCol w:w="274"/>
        <w:gridCol w:w="821"/>
        <w:gridCol w:w="3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and office equipment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5,967</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6,698</w:t>
            </w:r>
          </w:p>
        </w:tc>
        <w:tc>
          <w:tcPr>
            <w:tcW w:w="31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and amortization expense was $328</w:t>
      </w:r>
      <w:r>
        <w:rPr>
          <w:rFonts w:ascii="Times New Roman" w:hAnsi="Times New Roman"/>
          <w:sz w:val="20"/>
        </w:rPr>
        <w:t xml:space="preserve"> </w:t>
      </w:r>
      <w:r>
        <w:rPr>
          <w:rFonts w:ascii="Times New Roman;serif" w:hAnsi="Times New Roman;serif"/>
          <w:b w:val="false"/>
          <w:sz w:val="20"/>
        </w:rPr>
        <w:t>and $399, respectively, for the three months ended March 31, 2023 and 2022.</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cash</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As of March 31, 2023 and December 31, 2022,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tbl>
      <w:tblPr>
        <w:tblW w:w="6555" w:type="dxa"/>
        <w:jc w:val="left"/>
        <w:tblInd w:w="0" w:type="dxa"/>
        <w:tblLayout w:type="fixed"/>
        <w:tblCellMar>
          <w:top w:w="28" w:type="dxa"/>
          <w:left w:w="28" w:type="dxa"/>
          <w:bottom w:w="28" w:type="dxa"/>
          <w:right w:w="28" w:type="dxa"/>
        </w:tblCellMar>
      </w:tblPr>
      <w:tblGrid>
        <w:gridCol w:w="3166"/>
        <w:gridCol w:w="146"/>
        <w:gridCol w:w="420"/>
        <w:gridCol w:w="840"/>
        <w:gridCol w:w="146"/>
        <w:gridCol w:w="146"/>
        <w:gridCol w:w="499"/>
        <w:gridCol w:w="100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center"/>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net of current portion</w:t>
            </w:r>
          </w:p>
        </w:tc>
        <w:tc>
          <w:tcPr>
            <w:tcW w:w="146" w:type="dxa"/>
            <w:tcBorders/>
            <w:vAlign w:val="center"/>
          </w:tcPr>
          <w:p>
            <w:pPr>
              <w:pStyle w:val="TableContents"/>
              <w:bidi w:val="0"/>
              <w:spacing w:before="0" w:after="0"/>
              <w:ind w:left="0" w:right="0" w:hanging="0"/>
              <w:jc w:val="center"/>
              <w:rPr/>
            </w:pPr>
            <w:r>
              <w:rPr/>
              <w:t> </w:t>
            </w:r>
          </w:p>
        </w:tc>
        <w:tc>
          <w:tcPr>
            <w:tcW w:w="420"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Accrued expenses and other current liabilities</w:t>
      </w:r>
    </w:p>
    <w:p>
      <w:pPr>
        <w:pStyle w:val="TextBody"/>
        <w:bidi w:val="0"/>
        <w:spacing w:before="120" w:after="120"/>
        <w:jc w:val="left"/>
        <w:rPr>
          <w:rFonts w:ascii="Times New Roman" w:hAnsi="Times New Roman"/>
          <w:sz w:val="20"/>
        </w:rPr>
      </w:pPr>
      <w:r>
        <w:rPr>
          <w:rFonts w:ascii="Times New Roman;serif" w:hAnsi="Times New Roman;serif"/>
          <w:b w:val="false"/>
          <w:sz w:val="20"/>
        </w:rPr>
        <w:t>Accrued expenses and other current liabilities consisted of the following:</w:t>
      </w:r>
      <w:r>
        <w:rPr>
          <w:rFonts w:ascii="Times New Roman" w:hAnsi="Times New Roman"/>
          <w:sz w:val="20"/>
        </w:rPr>
        <w:t xml:space="preserve"> </w:t>
      </w:r>
    </w:p>
    <w:tbl>
      <w:tblPr>
        <w:tblW w:w="643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6,122</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4,175</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Leases</w:t>
      </w:r>
    </w:p>
    <w:p>
      <w:pPr>
        <w:pStyle w:val="TextBody"/>
        <w:bidi w:val="0"/>
        <w:spacing w:before="120" w:after="240"/>
        <w:jc w:val="left"/>
        <w:rPr>
          <w:rFonts w:ascii="Times New Roman" w:hAnsi="Times New Roman"/>
          <w:sz w:val="20"/>
        </w:rPr>
      </w:pPr>
      <w:r>
        <w:rPr>
          <w:rFonts w:ascii="Times New Roman;serif" w:hAnsi="Times New Roman;serif"/>
          <w:b w:val="false"/>
          <w:sz w:val="20"/>
        </w:rPr>
        <w:t>On August 31, 2018, the Company entered into a sublease agreement for lab space located in Cambridge Massachusetts, United States, which was set to expire in</w:t>
      </w:r>
      <w:r>
        <w:rPr>
          <w:rFonts w:ascii="Times New Roman" w:hAnsi="Times New Roman"/>
          <w:sz w:val="20"/>
        </w:rPr>
        <w:t xml:space="preserve"> </w:t>
      </w:r>
      <w:r>
        <w:rPr>
          <w:rFonts w:ascii="Times New Roman;serif" w:hAnsi="Times New Roman;serif"/>
          <w:b w:val="false"/>
          <w:sz w:val="20"/>
        </w:rPr>
        <w:t>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its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March 31, 2023 and December 31, 2022.</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CAD$27, which was recorded in other long-term assets as of March 31, 2023 and December 31, 2022. In October 2022, the Company entered into a sublease agreement to sublease this space. The term of the sublease agreement commenced on October 1, 2022 and expires on June 29, 2025.</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effect of lease costs in the Company’s consolidated statement of operations and comprehensive loss: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4788" w:type="dxa"/>
        <w:jc w:val="left"/>
        <w:tblInd w:w="0" w:type="dxa"/>
        <w:tblLayout w:type="fixed"/>
        <w:tblCellMar>
          <w:top w:w="28" w:type="dxa"/>
          <w:left w:w="28" w:type="dxa"/>
          <w:bottom w:w="28" w:type="dxa"/>
          <w:right w:w="28" w:type="dxa"/>
        </w:tblCellMar>
      </w:tblPr>
      <w:tblGrid>
        <w:gridCol w:w="1831"/>
        <w:gridCol w:w="146"/>
        <w:gridCol w:w="799"/>
        <w:gridCol w:w="1601"/>
        <w:gridCol w:w="41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8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w:t>
            </w:r>
          </w:p>
        </w:tc>
        <w:tc>
          <w:tcPr>
            <w:tcW w:w="411" w:type="dxa"/>
            <w:tcBorders/>
            <w:vAlign w:val="center"/>
          </w:tcPr>
          <w:p>
            <w:pPr>
              <w:pStyle w:val="TableContents"/>
              <w:bidi w:val="0"/>
              <w:spacing w:before="0" w:after="0"/>
              <w:ind w:left="0" w:right="0" w:firstLine="100"/>
              <w:jc w:val="left"/>
              <w:rPr/>
            </w:pPr>
            <w:r>
              <w:rPr/>
              <w:t> </w:t>
            </w:r>
          </w:p>
        </w:tc>
      </w:tr>
      <w:tr>
        <w:trPr/>
        <w:tc>
          <w:tcPr>
            <w:tcW w:w="18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Sublease income</w:t>
            </w:r>
          </w:p>
        </w:tc>
        <w:tc>
          <w:tcPr>
            <w:tcW w:w="146" w:type="dxa"/>
            <w:tcBorders/>
            <w:vAlign w:val="center"/>
          </w:tcPr>
          <w:p>
            <w:pPr>
              <w:pStyle w:val="TableContents"/>
              <w:bidi w:val="0"/>
              <w:spacing w:before="0" w:after="0"/>
              <w:ind w:left="0" w:right="0" w:hanging="0"/>
              <w:jc w:val="left"/>
              <w:rPr/>
            </w:pPr>
            <w:r>
              <w:rPr/>
              <w:t> </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7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During the three months ended March 31, 2023 and 2022, the Company made cash payments for operating leases of $687</w:t>
      </w:r>
      <w:r>
        <w:rPr>
          <w:rFonts w:ascii="Times New Roman" w:hAnsi="Times New Roman"/>
          <w:sz w:val="20"/>
        </w:rPr>
        <w:t xml:space="preserve"> </w:t>
      </w:r>
      <w:r>
        <w:rPr>
          <w:rFonts w:ascii="Times New Roman;serif" w:hAnsi="Times New Roman;serif"/>
          <w:b w:val="false"/>
          <w:sz w:val="20"/>
        </w:rPr>
        <w:t>and $830, respectively.</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As of March 31, 2023, future minimum payments of operating lease liabilities are as follows (in thousands):</w:t>
      </w:r>
    </w:p>
    <w:tbl>
      <w:tblPr>
        <w:tblW w:w="4078" w:type="dxa"/>
        <w:jc w:val="left"/>
        <w:tblInd w:w="0" w:type="dxa"/>
        <w:tblLayout w:type="fixed"/>
        <w:tblCellMar>
          <w:top w:w="28" w:type="dxa"/>
          <w:left w:w="28" w:type="dxa"/>
          <w:bottom w:w="28" w:type="dxa"/>
          <w:right w:w="28" w:type="dxa"/>
        </w:tblCellMar>
      </w:tblPr>
      <w:tblGrid>
        <w:gridCol w:w="2686"/>
        <w:gridCol w:w="146"/>
        <w:gridCol w:w="230"/>
        <w:gridCol w:w="625"/>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3,208</w:t>
            </w:r>
          </w:p>
        </w:tc>
        <w:tc>
          <w:tcPr>
            <w:tcW w:w="391" w:type="dxa"/>
            <w:tcBorders/>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Plus: FX gain/loss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As of March 31, 2023, the weighted average remaining lease term was 1.2</w:t>
      </w:r>
      <w:r>
        <w:rPr>
          <w:rFonts w:ascii="Times New Roman" w:hAnsi="Times New Roman"/>
          <w:sz w:val="20"/>
        </w:rPr>
        <w:t xml:space="preserve"> </w:t>
      </w:r>
      <w:r>
        <w:rPr>
          <w:rFonts w:ascii="Times New Roman;serif" w:hAnsi="Times New Roman;serif"/>
          <w:b w:val="false"/>
          <w:sz w:val="20"/>
        </w:rPr>
        <w:t>years and the weighted average incremental borrowing rate used to determine the operating lease liability was 15.67%. As of March 31, 2022, the weighted average remaining lease term was 1.3</w:t>
      </w:r>
      <w:r>
        <w:rPr>
          <w:rFonts w:ascii="Times New Roman" w:hAnsi="Times New Roman"/>
          <w:sz w:val="20"/>
        </w:rPr>
        <w:t xml:space="preserve"> </w:t>
      </w:r>
      <w:r>
        <w:rPr>
          <w:rFonts w:ascii="Times New Roman;serif" w:hAnsi="Times New Roman;serif"/>
          <w:b w:val="false"/>
          <w:sz w:val="20"/>
        </w:rPr>
        <w:t>years and the weighted average incremental borrowing rate used to determine the operating lease liability was 10.51%.</w:t>
      </w:r>
    </w:p>
    <w:p>
      <w:pPr>
        <w:pStyle w:val="TextBody"/>
        <w:bidi w:val="0"/>
        <w:spacing w:before="0" w:after="0"/>
        <w:jc w:val="left"/>
        <w:rPr>
          <w:rFonts w:ascii="Times New Roman" w:hAnsi="Times New Roman"/>
          <w:sz w:val="20"/>
        </w:rPr>
      </w:pPr>
      <w:r>
        <w:rPr>
          <w:rFonts w:ascii="Times New Roman;serif" w:hAnsi="Times New Roman;serif"/>
          <w:b/>
          <w:sz w:val="20"/>
        </w:rPr>
        <w:t>7.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from time to time, may be party to litigation arising in the ordinary course of business. The Company was not subject to any material legal proceedings during the three months ended March 31, 2023 and 2022 and to the best of the Company’s knowledge, no material legal proceedings are currently pending or threatened.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is also party to various agreements, principally relating to licensed technology, that require future payments relating to milestones not met at March 31, 2023 and December 31, 2022, or royalties on future sales. No milestone or royalty payments under these agreements are expected to be payable in the immediate future, except as disclosed in Note 3 </w:t>
      </w:r>
      <w:r>
        <w:rPr>
          <w:rFonts w:ascii="Times New Roman" w:hAnsi="Times New Roman"/>
          <w:sz w:val="20"/>
        </w:rPr>
        <w:t>“</w:t>
      </w:r>
      <w:r>
        <w:rPr>
          <w:rFonts w:ascii="Times New Roman;serif" w:hAnsi="Times New Roman;serif"/>
          <w:b w:val="false"/>
          <w:i/>
          <w:sz w:val="20"/>
        </w:rPr>
        <w:t>License Agreements.”</w:t>
      </w:r>
      <w:r>
        <w:rPr>
          <w:rFonts w:ascii="Times New Roman" w:hAnsi="Times New Roman"/>
          <w:sz w:val="20"/>
        </w:rPr>
        <w:t xml:space="preserve">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2023.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8. Note Payable</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On November 2, 2021 (the “Closing Date”), the Company entered into a Loan and Security Agreement (the “Loan Agreement”) with Silicon Valley Bank (“SVB”) pursuant to which a term loan in an aggregate principal amount of up to $50,000</w:t>
      </w:r>
      <w:r>
        <w:rPr>
          <w:rFonts w:ascii="Times New Roman" w:hAnsi="Times New Roman"/>
          <w:sz w:val="20"/>
        </w:rPr>
        <w:t xml:space="preserve"> </w:t>
      </w:r>
      <w:r>
        <w:rPr>
          <w:rFonts w:ascii="Times New Roman;serif" w:hAnsi="Times New Roman;serif"/>
          <w:b w:val="false"/>
          <w:sz w:val="20"/>
        </w:rPr>
        <w:t>(the “Term Loan Facility”) is available to the Company in three</w:t>
      </w:r>
      <w:r>
        <w:rPr>
          <w:rFonts w:ascii="Times New Roman" w:hAnsi="Times New Roman"/>
          <w:sz w:val="20"/>
        </w:rPr>
        <w:t xml:space="preserve"> </w:t>
      </w:r>
      <w:r>
        <w:rPr>
          <w:rFonts w:ascii="Times New Roman;serif" w:hAnsi="Times New Roman;serif"/>
          <w:b w:val="false"/>
          <w:sz w:val="20"/>
        </w:rPr>
        <w:t>tranches, subject to certain terms and conditions. The first tranche of $15,000</w:t>
      </w:r>
      <w:r>
        <w:rPr>
          <w:rFonts w:ascii="Times New Roman" w:hAnsi="Times New Roman"/>
          <w:sz w:val="20"/>
        </w:rPr>
        <w:t xml:space="preserve"> </w:t>
      </w:r>
      <w:r>
        <w:rPr>
          <w:rFonts w:ascii="Times New Roman;serif" w:hAnsi="Times New Roman;serif"/>
          <w:b w:val="false"/>
          <w:sz w:val="20"/>
        </w:rPr>
        <w:t>was advanced to the Company on the Closing Date. Subject to the terms and conditions of the Loan Agreement, the first tranche allows the Company to borrow an additional $15,000</w:t>
      </w:r>
      <w:r>
        <w:rPr>
          <w:rFonts w:ascii="Times New Roman" w:hAnsi="Times New Roman"/>
          <w:sz w:val="20"/>
        </w:rPr>
        <w:t xml:space="preserve"> </w:t>
      </w:r>
      <w:r>
        <w:rPr>
          <w:rFonts w:ascii="Times New Roman;serif" w:hAnsi="Times New Roman;serif"/>
          <w:b w:val="false"/>
          <w:sz w:val="20"/>
        </w:rPr>
        <w:t>through October 31, 2023. Upon satisfaction of certain milestones, the second and third tranches are available under the Term Loan Facility which allows the Company to borrow an additional amount up to $10,000</w:t>
      </w:r>
      <w:r>
        <w:rPr>
          <w:rFonts w:ascii="Times New Roman" w:hAnsi="Times New Roman"/>
          <w:sz w:val="20"/>
        </w:rPr>
        <w:t xml:space="preserve"> </w:t>
      </w:r>
      <w:r>
        <w:rPr>
          <w:rFonts w:ascii="Times New Roman;serif" w:hAnsi="Times New Roman;serif"/>
          <w:b w:val="false"/>
          <w:sz w:val="20"/>
        </w:rPr>
        <w:t>in each tranche through October 31, 2023. Additionally, the Company may seek to borrow up to an additional $15,000</w:t>
      </w:r>
      <w:r>
        <w:rPr>
          <w:rFonts w:ascii="Times New Roman" w:hAnsi="Times New Roman"/>
          <w:sz w:val="20"/>
        </w:rPr>
        <w:t xml:space="preserve"> </w:t>
      </w:r>
      <w:r>
        <w:rPr>
          <w:rFonts w:ascii="Times New Roman;serif" w:hAnsi="Times New Roman;serif"/>
          <w:b w:val="false"/>
          <w:sz w:val="20"/>
        </w:rPr>
        <w:t>at the sole discretion of the lender through the term of the Loan Agreement. The Loan Agreement matures on October 1, 2026</w:t>
      </w:r>
      <w:r>
        <w:rPr>
          <w:rFonts w:ascii="Times New Roman" w:hAnsi="Times New Roman"/>
          <w:sz w:val="20"/>
        </w:rPr>
        <w:t xml:space="preserve"> </w:t>
      </w:r>
      <w:r>
        <w:rPr>
          <w:rFonts w:ascii="Times New Roman;serif" w:hAnsi="Times New Roman;serif"/>
          <w:b w:val="false"/>
          <w:sz w:val="20"/>
        </w:rPr>
        <w:t>(the “Maturity Date”). The Company is required to pay an end of term fee (“End of Term Charge”) equal to 9.00% of the aggregate principal amount of the Term Loan advances upon repayment.</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Upon prepayment or repayment of all or any of the term loans under the Term Loan Facility, the Company will pay (in addition to any Prepayment Premium) an end of term charge of 9.0% of the aggregate funded amount under the Term Loan Facility.</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Term Loan Facility is secured by substantially all of the Company’s assets, other than the Company’s intellectual property. The Company has agreed to not pledge or secure its intellectual property to others.</w:t>
      </w:r>
    </w:p>
    <w:p>
      <w:pPr>
        <w:pStyle w:val="TextBody"/>
        <w:bidi w:val="0"/>
        <w:spacing w:before="120" w:after="240"/>
        <w:jc w:val="left"/>
        <w:rPr>
          <w:rFonts w:ascii="Times New Roman" w:hAnsi="Times New Roman"/>
          <w:sz w:val="20"/>
        </w:rPr>
      </w:pPr>
      <w:r>
        <w:rPr>
          <w:rFonts w:ascii="Times New Roman;serif" w:hAnsi="Times New Roman;serif"/>
          <w:b w:val="false"/>
          <w:sz w:val="20"/>
        </w:rPr>
        <w:t>The End of Term Charge is recorded as a debt discount with an initial carrying balance of $1,350. During the year ended December 31, 2021 the Company recognized $103</w:t>
      </w:r>
      <w:r>
        <w:rPr>
          <w:rFonts w:ascii="Times New Roman" w:hAnsi="Times New Roman"/>
          <w:sz w:val="20"/>
        </w:rPr>
        <w:t xml:space="preserve"> </w:t>
      </w:r>
      <w:r>
        <w:rPr>
          <w:rFonts w:ascii="Times New Roman;serif" w:hAnsi="Times New Roman;serif"/>
          <w:b w:val="false"/>
          <w:sz w:val="20"/>
        </w:rPr>
        <w:t>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is approximately 15.78%.</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On March 10, 2023, Silicon Valley Bank, based in Santa Clara, California, was closed by the California Department of Financial Protection and Innovation, which appointed the Federal Deposit Insurance Corporation (“FDIC”) as receiver. On March 12, 2023, the U.S. Treasury, Federal Reserve, and FDIC announced that depositors with Silicon Valley Bank or its successor bridge bank (collectively, “SVB”) had access to all of their money starting March 13, 2023. On March 27, 2023, First Citizens Bank purchased the remaining assets, deposits, and loans of Silicon Valley Bank. Our agreement with SVB currently requires substantially all of our cash and cash equivalents to be deposited with SVB, and we historically have relied primarily on SVB for commercial banking services. We are pursuing actions to make alternative banking arrangements, including opening deposit accounts at one or more other financial institutions. SVB has agreed to waive covenants related to maintaining our deposits at SVB through May 19, 2023, during which time we have agreed to obtain an Account Control Agreement (“ACA”) for all accounts held outside of SVB. The Company has concluded that it is probable that it will obtain the ACA for all accounts held outside of SVB prior to the expiration of the waiver period to be compliant with its covenant.</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As of March 31, 2023, the carrying value of the note payable consists of the following:</w:t>
      </w:r>
    </w:p>
    <w:tbl>
      <w:tblPr>
        <w:tblW w:w="5248" w:type="dxa"/>
        <w:jc w:val="left"/>
        <w:tblInd w:w="0" w:type="dxa"/>
        <w:tblLayout w:type="fixed"/>
        <w:tblCellMar>
          <w:top w:w="28" w:type="dxa"/>
          <w:left w:w="28" w:type="dxa"/>
          <w:bottom w:w="28" w:type="dxa"/>
          <w:right w:w="28" w:type="dxa"/>
        </w:tblCellMar>
      </w:tblPr>
      <w:tblGrid>
        <w:gridCol w:w="3766"/>
        <w:gridCol w:w="146"/>
        <w:gridCol w:w="267"/>
        <w:gridCol w:w="858"/>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 payable, including End of Term Charge</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16,350</w:t>
            </w:r>
          </w:p>
        </w:tc>
        <w:tc>
          <w:tcPr>
            <w:tcW w:w="211" w:type="dxa"/>
            <w:tcBorders/>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discount, net of accretion</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 payable, net of discount, long-term</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As of March 31, 2023, the future principal payments due under the arrangement, excluding interest and the end of term charge, are as follows:</w:t>
      </w:r>
    </w:p>
    <w:tbl>
      <w:tblPr>
        <w:tblW w:w="3295" w:type="dxa"/>
        <w:jc w:val="left"/>
        <w:tblInd w:w="0" w:type="dxa"/>
        <w:tblLayout w:type="fixed"/>
        <w:tblCellMar>
          <w:top w:w="28" w:type="dxa"/>
          <w:left w:w="28" w:type="dxa"/>
          <w:bottom w:w="28" w:type="dxa"/>
          <w:right w:w="28" w:type="dxa"/>
        </w:tblCellMar>
      </w:tblPr>
      <w:tblGrid>
        <w:gridCol w:w="2071"/>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1,875</w:t>
            </w:r>
          </w:p>
        </w:tc>
        <w:tc>
          <w:tcPr>
            <w:tcW w:w="191"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During the three months ended March 31, 2023 and 2022, the Company recognized $550</w:t>
      </w:r>
      <w:r>
        <w:rPr>
          <w:rFonts w:ascii="Times New Roman" w:hAnsi="Times New Roman"/>
          <w:sz w:val="20"/>
        </w:rPr>
        <w:t xml:space="preserve"> </w:t>
      </w:r>
      <w:r>
        <w:rPr>
          <w:rFonts w:ascii="Times New Roman;serif" w:hAnsi="Times New Roman;serif"/>
          <w:b w:val="false"/>
          <w:sz w:val="20"/>
        </w:rPr>
        <w:t>and $304</w:t>
      </w:r>
      <w:r>
        <w:rPr>
          <w:rFonts w:ascii="Times New Roman" w:hAnsi="Times New Roman"/>
          <w:sz w:val="20"/>
        </w:rPr>
        <w:t xml:space="preserve"> </w:t>
      </w:r>
      <w:r>
        <w:rPr>
          <w:rFonts w:ascii="Times New Roman;serif" w:hAnsi="Times New Roman;serif"/>
          <w:b w:val="false"/>
          <w:sz w:val="20"/>
        </w:rPr>
        <w:t>of interest expense related to the Loan Agreement which is reflected in other (expense) income, net on the consolidated statements of operations and comprehensive loss, respectively.</w:t>
      </w:r>
    </w:p>
    <w:p>
      <w:pPr>
        <w:pStyle w:val="TextBody"/>
        <w:bidi w:val="0"/>
        <w:spacing w:before="120" w:after="0"/>
        <w:jc w:val="left"/>
        <w:rPr>
          <w:rFonts w:ascii="Times New Roman;serif" w:hAnsi="Times New Roman;serif"/>
          <w:b/>
          <w:sz w:val="20"/>
        </w:rPr>
      </w:pPr>
      <w:r>
        <w:rPr>
          <w:rFonts w:ascii="Times New Roman;serif" w:hAnsi="Times New Roman;serif"/>
          <w:b/>
          <w:sz w:val="20"/>
        </w:rPr>
        <w:t>9. 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C</w:t>
      </w:r>
      <w:r>
        <w:rPr>
          <w:rFonts w:ascii="Times New Roman;serif" w:hAnsi="Times New Roman;serif"/>
          <w:b/>
          <w:i/>
          <w:sz w:val="20"/>
        </w:rPr>
        <w:t>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and December 31, 2022, the authorized capital stock of the Company included 150,000,000</w:t>
      </w:r>
      <w:r>
        <w:rPr>
          <w:rFonts w:ascii="Times New Roman" w:hAnsi="Times New Roman"/>
          <w:sz w:val="20"/>
        </w:rPr>
        <w:t xml:space="preserve"> </w:t>
      </w:r>
      <w:r>
        <w:rPr>
          <w:rFonts w:ascii="Times New Roman;serif" w:hAnsi="Times New Roman;serif"/>
          <w:b w:val="false"/>
          <w:sz w:val="20"/>
        </w:rPr>
        <w:t>shares of common stock, $0.0001</w:t>
      </w:r>
      <w:r>
        <w:rPr>
          <w:rFonts w:ascii="Times New Roman" w:hAnsi="Times New Roman"/>
          <w:sz w:val="20"/>
        </w:rPr>
        <w:t xml:space="preserve"> </w:t>
      </w:r>
      <w:r>
        <w:rPr>
          <w:rFonts w:ascii="Times New Roman;serif" w:hAnsi="Times New Roman;serif"/>
          <w:b w:val="false"/>
          <w:sz w:val="20"/>
        </w:rPr>
        <w:t>par value and 10,000,000</w:t>
      </w:r>
      <w:r>
        <w:rPr>
          <w:rFonts w:ascii="Times New Roman" w:hAnsi="Times New Roman"/>
          <w:sz w:val="20"/>
        </w:rPr>
        <w:t xml:space="preserve"> </w:t>
      </w:r>
      <w:r>
        <w:rPr>
          <w:rFonts w:ascii="Times New Roman;serif" w:hAnsi="Times New Roman;serif"/>
          <w:b w:val="false"/>
          <w:sz w:val="20"/>
        </w:rPr>
        <w:t>shares of undesignated preferred stock. As of March 31, 2023 and December 31, 2022, no</w:t>
      </w:r>
      <w:r>
        <w:rPr>
          <w:rFonts w:ascii="Times New Roman" w:hAnsi="Times New Roman"/>
          <w:sz w:val="20"/>
        </w:rPr>
        <w:t xml:space="preserve"> </w:t>
      </w:r>
      <w:r>
        <w:rPr>
          <w:rFonts w:ascii="Times New Roman;serif" w:hAnsi="Times New Roman;serif"/>
          <w:b w:val="false"/>
          <w:sz w:val="20"/>
        </w:rPr>
        <w:t>undesignated preferred stock was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no</w:t>
      </w:r>
      <w:r>
        <w:rPr>
          <w:rFonts w:ascii="Times New Roman" w:hAnsi="Times New Roman"/>
          <w:sz w:val="20"/>
        </w:rPr>
        <w:t xml:space="preserve"> </w:t>
      </w:r>
      <w:r>
        <w:rPr>
          <w:rFonts w:ascii="Times New Roman;serif" w:hAnsi="Times New Roman;serif"/>
          <w:b w:val="false"/>
          <w:sz w:val="20"/>
        </w:rPr>
        <w:t>cash dividends have been declared or paid.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Common Stock Reserved for Future Issuance</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As of March 31, 2023 and December 31, 2022, the Company has reserved the following shares of common stock for future issuance:</w:t>
      </w:r>
      <w:r>
        <w:rPr>
          <w:rFonts w:ascii="Times New Roman" w:hAnsi="Times New Roman"/>
          <w:sz w:val="20"/>
        </w:rPr>
        <w:t xml:space="preserve"> </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exercise of 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9,154,769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9,423,271</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2,026,338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940,392</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2018 Stock Option and Grant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3,951,434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5,005,295</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2018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1,467,026</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2019 Inducement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786,656</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issuance under the 2020 Inducement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 of authorized common stock reserved for future issuance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19,074,554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19,259,640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10. Stock-based Compensation</w:t>
      </w:r>
    </w:p>
    <w:p>
      <w:pPr>
        <w:pStyle w:val="TextBody"/>
        <w:bidi w:val="0"/>
        <w:spacing w:before="120" w:after="0"/>
        <w:jc w:val="left"/>
        <w:rPr>
          <w:rFonts w:ascii="Times New Roman" w:hAnsi="Times New Roman"/>
          <w:sz w:val="20"/>
        </w:rPr>
      </w:pPr>
      <w:r>
        <w:rPr>
          <w:rFonts w:ascii="Times New Roman;serif" w:hAnsi="Times New Roman;serif"/>
          <w:b/>
          <w:i/>
          <w:sz w:val="20"/>
        </w:rPr>
        <w:t>Stock Option Valuation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assumptions that the Company used to determine the grant-date fair value of stock options granted to employees and members of the board of directors were as follows, presented on a weighted-average basis:</w:t>
      </w:r>
      <w:r>
        <w:rPr>
          <w:rFonts w:ascii="Times New Roman" w:hAnsi="Times New Roman"/>
          <w:sz w:val="20"/>
        </w:rPr>
        <w:t xml:space="preserve"> </w:t>
      </w:r>
    </w:p>
    <w:tbl>
      <w:tblPr>
        <w:tblW w:w="5233" w:type="dxa"/>
        <w:jc w:val="left"/>
        <w:tblInd w:w="0" w:type="dxa"/>
        <w:tblLayout w:type="fixed"/>
        <w:tblCellMar>
          <w:top w:w="28" w:type="dxa"/>
          <w:left w:w="28" w:type="dxa"/>
          <w:bottom w:w="28" w:type="dxa"/>
          <w:right w:w="28" w:type="dxa"/>
        </w:tblCellMar>
      </w:tblPr>
      <w:tblGrid>
        <w:gridCol w:w="2371"/>
        <w:gridCol w:w="146"/>
        <w:gridCol w:w="488"/>
        <w:gridCol w:w="191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option life (years)</w:t>
            </w:r>
          </w:p>
        </w:tc>
        <w:tc>
          <w:tcPr>
            <w:tcW w:w="14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1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912"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 summarizes the Company’s stock option activity for the three months ended March 31, 2023:</w:t>
      </w:r>
      <w:r>
        <w:rPr>
          <w:rFonts w:ascii="Times New Roman" w:hAnsi="Times New Roman"/>
          <w:sz w:val="20"/>
        </w:rPr>
        <w:t xml:space="preserve"> </w:t>
      </w:r>
    </w:p>
    <w:tbl>
      <w:tblPr>
        <w:tblW w:w="8194"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30"/>
        <w:gridCol w:w="626"/>
        <w:gridCol w:w="146"/>
        <w:gridCol w:w="146"/>
        <w:gridCol w:w="236"/>
        <w:gridCol w:w="755"/>
        <w:gridCol w:w="146"/>
        <w:gridCol w:w="146"/>
        <w:gridCol w:w="290"/>
        <w:gridCol w:w="5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9,423,271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(222,503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9,154,769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3,855,390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aggregate intrinsic value of options exercised during the three months ended March 31, 2023</w:t>
      </w:r>
      <w:r>
        <w:rPr>
          <w:rFonts w:ascii="Times New Roman" w:hAnsi="Times New Roman"/>
          <w:sz w:val="20"/>
        </w:rPr>
        <w:t xml:space="preserve"> </w:t>
      </w:r>
      <w:r>
        <w:rPr>
          <w:rFonts w:ascii="Times New Roman;serif" w:hAnsi="Times New Roman;serif"/>
          <w:b w:val="false"/>
          <w:sz w:val="20"/>
        </w:rPr>
        <w:t>was $1. No</w:t>
      </w:r>
      <w:r>
        <w:rPr>
          <w:rFonts w:ascii="Times New Roman" w:hAnsi="Times New Roman"/>
          <w:sz w:val="20"/>
        </w:rPr>
        <w:t xml:space="preserve"> </w:t>
      </w:r>
      <w:r>
        <w:rPr>
          <w:rFonts w:ascii="Times New Roman;serif" w:hAnsi="Times New Roman;serif"/>
          <w:b w:val="false"/>
          <w:sz w:val="20"/>
        </w:rPr>
        <w:t>options were exercised during the three months ended March 31, 2022.</w:t>
      </w:r>
    </w:p>
    <w:p>
      <w:pPr>
        <w:pStyle w:val="TextBody"/>
        <w:bidi w:val="0"/>
        <w:spacing w:before="240" w:after="0"/>
        <w:jc w:val="left"/>
        <w:rPr>
          <w:rFonts w:ascii="Times New Roman" w:hAnsi="Times New Roman"/>
          <w:sz w:val="20"/>
        </w:rPr>
      </w:pPr>
      <w:r>
        <w:rPr>
          <w:rFonts w:ascii="Times New Roman;serif" w:hAnsi="Times New Roman;serif"/>
          <w:b w:val="false"/>
          <w:sz w:val="20"/>
        </w:rPr>
        <w:t>The weighted-average grant-date fair value of the Company’s stock options granted during the three months ended March 31, 2022</w:t>
      </w:r>
      <w:r>
        <w:rPr>
          <w:rFonts w:ascii="Times New Roman" w:hAnsi="Times New Roman"/>
          <w:sz w:val="20"/>
        </w:rPr>
        <w:t xml:space="preserve"> </w:t>
      </w:r>
      <w:r>
        <w:rPr>
          <w:rFonts w:ascii="Times New Roman;serif" w:hAnsi="Times New Roman;serif"/>
          <w:b w:val="false"/>
          <w:sz w:val="20"/>
        </w:rPr>
        <w:t>was $1.29. There were no</w:t>
      </w:r>
      <w:r>
        <w:rPr>
          <w:rFonts w:ascii="Times New Roman" w:hAnsi="Times New Roman"/>
          <w:sz w:val="20"/>
        </w:rPr>
        <w:t xml:space="preserve"> </w:t>
      </w:r>
      <w:r>
        <w:rPr>
          <w:rFonts w:ascii="Times New Roman;serif" w:hAnsi="Times New Roman;serif"/>
          <w:b w:val="false"/>
          <w:sz w:val="20"/>
        </w:rPr>
        <w:t>options granted during the three months ended March 31, 2023.</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the Company’s restricted common stock units for the three months ended March 31, 2023:</w:t>
      </w:r>
      <w:r>
        <w:rPr>
          <w:rFonts w:ascii="Times New Roman" w:hAnsi="Times New Roman"/>
          <w:sz w:val="20"/>
        </w:rPr>
        <w:t xml:space="preserve"> </w:t>
      </w:r>
    </w:p>
    <w:tbl>
      <w:tblPr>
        <w:tblW w:w="6378" w:type="dxa"/>
        <w:jc w:val="left"/>
        <w:tblInd w:w="0" w:type="dxa"/>
        <w:tblLayout w:type="fixed"/>
        <w:tblCellMar>
          <w:top w:w="28" w:type="dxa"/>
          <w:left w:w="28" w:type="dxa"/>
          <w:bottom w:w="28" w:type="dxa"/>
          <w:right w:w="28" w:type="dxa"/>
        </w:tblCellMar>
      </w:tblPr>
      <w:tblGrid>
        <w:gridCol w:w="3796"/>
        <w:gridCol w:w="146"/>
        <w:gridCol w:w="146"/>
        <w:gridCol w:w="931"/>
        <w:gridCol w:w="166"/>
        <w:gridCol w:w="146"/>
        <w:gridCol w:w="266"/>
        <w:gridCol w:w="590"/>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w:t>
              <w:br/>
              <w:t>Date 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unvested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cancelled or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unvested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2,026,338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total fair value of restricted stock units vested during the three months ended March 31, 2023 and 2022</w:t>
      </w:r>
      <w:r>
        <w:rPr>
          <w:rFonts w:ascii="Times New Roman" w:hAnsi="Times New Roman"/>
          <w:sz w:val="20"/>
        </w:rPr>
        <w:t xml:space="preserve"> </w:t>
      </w:r>
      <w:r>
        <w:rPr>
          <w:rFonts w:ascii="Times New Roman;serif" w:hAnsi="Times New Roman;serif"/>
          <w:b w:val="false"/>
          <w:sz w:val="20"/>
        </w:rPr>
        <w:t>was $194</w:t>
      </w:r>
      <w:r>
        <w:rPr>
          <w:rFonts w:ascii="Times New Roman" w:hAnsi="Times New Roman"/>
          <w:sz w:val="20"/>
        </w:rPr>
        <w:t xml:space="preserve"> </w:t>
      </w:r>
      <w:r>
        <w:rPr>
          <w:rFonts w:ascii="Times New Roman;serif" w:hAnsi="Times New Roman;serif"/>
          <w:b w:val="false"/>
          <w:sz w:val="20"/>
        </w:rPr>
        <w:t>and $1,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Stock-based compensation expense was allocated as follows:</w:t>
      </w:r>
      <w:r>
        <w:rPr>
          <w:rFonts w:ascii="Times New Roman" w:hAnsi="Times New Roman"/>
          <w:sz w:val="20"/>
        </w:rPr>
        <w:t xml:space="preserve"> </w:t>
      </w:r>
    </w:p>
    <w:tbl>
      <w:tblPr>
        <w:tblW w:w="6184" w:type="dxa"/>
        <w:jc w:val="left"/>
        <w:tblInd w:w="0" w:type="dxa"/>
        <w:tblLayout w:type="fixed"/>
        <w:tblCellMar>
          <w:top w:w="28" w:type="dxa"/>
          <w:left w:w="28" w:type="dxa"/>
          <w:bottom w:w="28" w:type="dxa"/>
          <w:right w:w="28" w:type="dxa"/>
        </w:tblCellMar>
      </w:tblPr>
      <w:tblGrid>
        <w:gridCol w:w="3451"/>
        <w:gridCol w:w="146"/>
        <w:gridCol w:w="272"/>
        <w:gridCol w:w="738"/>
        <w:gridCol w:w="188"/>
        <w:gridCol w:w="188"/>
        <w:gridCol w:w="272"/>
        <w:gridCol w:w="73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8" w:type="dxa"/>
            <w:tcBorders/>
            <w:vAlign w:val="center"/>
          </w:tcPr>
          <w:p>
            <w:pPr>
              <w:pStyle w:val="TableContents"/>
              <w:bidi w:val="0"/>
              <w:spacing w:before="0" w:after="0"/>
              <w:ind w:left="0" w:right="0" w:hanging="0"/>
              <w:jc w:val="center"/>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righ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188"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1,908</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righ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2,530</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As of March 31, 2023, total unrecognized compensation cost related to the unvested stock-based awards was $16,214, which is expected to be recognized over a weighted-average period of 2.12</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0"/>
        <w:jc w:val="left"/>
        <w:rPr>
          <w:rFonts w:ascii="Times New Roman;serif" w:hAnsi="Times New Roman;serif"/>
          <w:b/>
          <w:sz w:val="20"/>
        </w:rPr>
      </w:pPr>
      <w:r>
        <w:rPr>
          <w:rFonts w:ascii="Times New Roman;serif" w:hAnsi="Times New Roman;serif"/>
          <w:b/>
          <w:sz w:val="20"/>
        </w:rPr>
        <w:t>11.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For purposes of the diluted net loss per share calculation, stock options and unvested restricted stock are considered to be common stock equivalents but have been excluded from the calculation of diluted net loss per share, as their effect would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AVROBIO,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NOTES TO UNAUDITED CONDENSED CONSOLIDATED FINANCIAL STATEMENTS (CONTINUED)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anti-dilutive for all periods presented. Therefore, the weighted-average number of common shares outstanding used to calculate both basic and diluted net loss per share is the same.</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following potentially dilutive common stock equivalents, presented based on amounts outstanding at each period end, were excluded from the computation of diluted net loss per share for the periods indicated:</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9,154,769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9,423,271</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2,026,338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940,392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12. 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UHN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March 31, 2023 and 2022, the Company recognized $71</w:t>
      </w:r>
      <w:r>
        <w:rPr>
          <w:rFonts w:ascii="Times New Roman" w:hAnsi="Times New Roman"/>
          <w:sz w:val="20"/>
        </w:rPr>
        <w:t xml:space="preserve"> </w:t>
      </w:r>
      <w:r>
        <w:rPr>
          <w:rFonts w:ascii="Times New Roman;serif" w:hAnsi="Times New Roman;serif"/>
          <w:b w:val="false"/>
          <w:sz w:val="20"/>
        </w:rPr>
        <w:t>and $24, respectively, of research and development expense related to the license agreements with UHN. Refer to Note 3 “</w:t>
      </w:r>
      <w:r>
        <w:rPr>
          <w:rFonts w:ascii="Times New Roman;serif" w:hAnsi="Times New Roman;serif"/>
          <w:b w:val="false"/>
          <w:i/>
          <w:sz w:val="20"/>
        </w:rPr>
        <w:t>License Agreements</w:t>
      </w:r>
      <w:r>
        <w:rPr>
          <w:rFonts w:ascii="Times New Roman" w:hAnsi="Times New Roman"/>
          <w:sz w:val="20"/>
        </w:rPr>
        <w:t xml:space="preserve">” </w:t>
      </w:r>
      <w:r>
        <w:rPr>
          <w:rFonts w:ascii="Times New Roman;serif" w:hAnsi="Times New Roman;serif"/>
          <w:b w:val="false"/>
          <w:sz w:val="20"/>
        </w:rPr>
        <w:t>for additional information regarding the UHN license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March 31, 2023 and 2022, the Company recorded expenses of $652</w:t>
      </w:r>
      <w:r>
        <w:rPr>
          <w:rFonts w:ascii="Times New Roman" w:hAnsi="Times New Roman"/>
          <w:sz w:val="20"/>
        </w:rPr>
        <w:t xml:space="preserve"> </w:t>
      </w:r>
      <w:r>
        <w:rPr>
          <w:rFonts w:ascii="Times New Roman;serif" w:hAnsi="Times New Roman;serif"/>
          <w:b w:val="false"/>
          <w:sz w:val="20"/>
        </w:rPr>
        <w:t>and $794, respectively, related to a sublease to rent lab space, provided by an entity affiliated with a member of the Company’s board of directors.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2022 included in our Annual Report on Form 10-K for the year ended December 31, 2022.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2022, as supplemented by our subsequent filings with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a clinical-stage gene therapy company with a purpose to free people from a lifetime of genetic disease. Our company is focused on developing potentially curative HSC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$3.5 billion in worldwide net sales in 2022.</w:t>
      </w:r>
    </w:p>
    <w:p>
      <w:pPr>
        <w:pStyle w:val="TextBody"/>
        <w:bidi w:val="0"/>
        <w:spacing w:before="240" w:after="0"/>
        <w:jc w:val="left"/>
        <w:rPr>
          <w:rFonts w:ascii="Times New Roman" w:hAnsi="Times New Roman"/>
          <w:sz w:val="20"/>
        </w:rPr>
      </w:pPr>
      <w:r>
        <w:rPr>
          <w:rFonts w:ascii="Times New Roman;serif" w:hAnsi="Times New Roman;serif"/>
          <w:b w:val="false"/>
          <w:sz w:val="20"/>
        </w:rPr>
        <w:t>Our pipeline is comprised of four HSC gene therapy programs: AVR-RD-02 for the treatment of Gaucher disease type 1 and type 3; AVR-RD-04 for the treatment of cystinosis; AVR-RD-05 for the treatment of neuronopathic mucopolysaccharidosis type II, or MPS-II or Hunter syndrome; and AVR-RD-03 for the treatment of Pompe disease.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AVR-RD-02 is currently being studied for the treatment of Gaucher disease type 1 in a Company-sponsored Phase 1/2 clinical trial, which we refer to as the Guard1 clinical trial. As of March 20, 2023, five patients have been dosed in the Guard1 clinical trial, and six patients have been enrolled. We are actively recruiting additional potential patients for our currently active Guard1 trial sites. We are also planning for a registrational global Phase 2/3 clinical trial of AVR-RD-02 for the treatment of Gaucher disease type 3, which we refer to as the Guard3 clinical trial. We currently are planning for the Guard3 clinical trial to be initiated in the second half of 2023, subject to regulatory alignment.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AVR-RD-04 is currently being studied for the treatment of cystinosis by our collaborators at UCSD in a Phase 1/2 collaborator-sponsored clinical trial. Enrollment of this clinical trial is complete with a total of six patients dosed. In addition, based on recent regulatory interactions and feedback and subject to regulatory clearance, we are planning to initiate activities for a Company-sponsored Phase 1/2 clinical trial of AVR-RD-04 for the treatment of cystinosis in the second half of 2023, which is designed to be registration-enabling.</w:t>
      </w:r>
    </w:p>
    <w:p>
      <w:pPr>
        <w:pStyle w:val="TextBody"/>
        <w:bidi w:val="0"/>
        <w:spacing w:before="240" w:after="0"/>
        <w:jc w:val="left"/>
        <w:rPr>
          <w:rFonts w:ascii="Times New Roman" w:hAnsi="Times New Roman"/>
          <w:sz w:val="20"/>
        </w:rPr>
      </w:pPr>
      <w:r>
        <w:rPr>
          <w:rFonts w:ascii="Times New Roman;serif" w:hAnsi="Times New Roman;serif"/>
          <w:b w:val="false"/>
          <w:sz w:val="20"/>
        </w:rPr>
        <w:t>AVR-RD-05 is being studied for the treatment of Hunter syndrome by our collaborators at The University of Manchester, and in April 2023 the Phase 1/2 collaborator-sponsored clinical trial was initiated.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AVR-RD-03 is our preclinical program for Pompe disease. While we continue to advance AVR-RD-03, we are prioritizing our Gaucher disease and cystinosis clinical programs. As a result, we no longer expect to initiate a clinical trial for AVR-RD-03 in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March 31,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or ATM,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$25.0 million and $29.8 million for the three months ended March 31, 2023 and 2022, respectively. As of March 31, 2023, we had an accumulated deficit of $514.4 million. We expect to continue to incur significant expenses for at least the next several years as we advance our current and future product candidates from discovery through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preclinical development and clinical trials and seek regulatory approval of our product candidates. We currently have a total of five investigational gene therapies in our pipeline, two of which are currently in clinical development.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pStyle w:val="TextBody"/>
        <w:bidi w:val="0"/>
        <w:spacing w:before="240" w:after="0"/>
        <w:jc w:val="left"/>
        <w:rPr>
          <w:rFonts w:ascii="Times New Roman" w:hAnsi="Times New Roman"/>
          <w:sz w:val="20"/>
        </w:rPr>
      </w:pPr>
      <w:r>
        <w:rPr>
          <w:rFonts w:ascii="Times New Roman;serif" w:hAnsi="Times New Roman;serif"/>
          <w:b w:val="false"/>
          <w:sz w:val="20"/>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as well as proceeds from our Loan and Security Agreement, or the Term Loan Agreement, with the lenders party thereto from time to time, or the Lenders, and Silicon Valley Bank, as administrative agent and collateral agent for the Lenders, or the Agent.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we had cash and cash equivalents of $72.3 million. We believe that our existing cash and cash equivalents as of March 31, 2023, will enable us to fund our operating expenses and capital expenditure requirements into the first quarter of 2024.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pStyle w:val="TextBody"/>
        <w:bidi w:val="0"/>
        <w:spacing w:before="240" w:after="0"/>
        <w:jc w:val="left"/>
        <w:rPr>
          <w:rFonts w:ascii="Times New Roman" w:hAnsi="Times New Roman"/>
          <w:sz w:val="20"/>
        </w:rPr>
      </w:pPr>
      <w:r>
        <w:rPr>
          <w:rFonts w:ascii="Times New Roman;serif" w:hAnsi="Times New Roman;serif"/>
          <w:b/>
          <w:sz w:val="20"/>
        </w:rPr>
        <w:t>Components of Our Consolidated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license maintenance fees and milestone fees incurred in connection with various license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under agreements with contract research organizations, or CROs, contract manufacturing organizations, or CMOs, as well as investigative sites and consultants that conduct our clinical trials, preclinical studies and other scientific development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 scale-up expenses and the cost of acquiring and manufacturing preclinical and clinical trial materials and commercial materials, including manufacturing validation batches;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purchasing lab supplies and non</w:t>
        <w:noBreakHyphen/>
        <w:t>capital equipment used in our preclinical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travel and stock-based compensation expense for employees engaged in research and development functions;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allocated facilities costs, depreciation and other expenses, which include rent and utilities. </w:t>
      </w:r>
    </w:p>
    <w:p>
      <w:pPr>
        <w:pStyle w:val="TextBody"/>
        <w:bidi w:val="0"/>
        <w:spacing w:before="240" w:after="0"/>
        <w:jc w:val="left"/>
        <w:rPr>
          <w:rFonts w:ascii="Times New Roman" w:hAnsi="Times New Roman"/>
          <w:sz w:val="20"/>
        </w:rPr>
      </w:pPr>
      <w:r>
        <w:rPr>
          <w:rFonts w:ascii="Times New Roman;serif" w:hAnsi="Times New Roman;serif"/>
          <w:b w:val="false"/>
          <w:sz w:val="20"/>
        </w:rPr>
        <w:t>We recognize external development costs based on an evaluation of the progress to completion of specific tasks using information provided to us by our service providers.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table below summarizes our research and development expenses related to our product candidates (in thousands):</w:t>
      </w:r>
    </w:p>
    <w:tbl>
      <w:tblPr>
        <w:tblW w:w="6654"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Fabry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Gaucher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Cystinosis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Hunter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Pompe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outcome and costs of our preclinical development activities, clinical trials and other research and development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 appropriate safety profile with IND-enabling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patient enrollment in, and the design, initiation and completion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terms of any marketing approvals from applicable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commercial manufacturing capabilities or making arrangements with third-party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 and timely delivery of commercial-grade drug formulations that can be used in our clinical trials and for commercial launch;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defending and enforcing patent claims and other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and changing government regulation;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commercial sales of our product candidates, if and when approved, whether alone or in collaboration with others;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a continued acceptable safety profile of the product candidates following approval;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risks disclosed in the section entitled “Risk Factors” of this Quarterly Report on Form 10-Q.</w:t>
      </w:r>
    </w:p>
    <w:p>
      <w:pPr>
        <w:pStyle w:val="TextBody"/>
        <w:bidi w:val="0"/>
        <w:spacing w:before="240" w:after="0"/>
        <w:jc w:val="left"/>
        <w:rPr>
          <w:rFonts w:ascii="Times New Roman" w:hAnsi="Times New Roman"/>
          <w:sz w:val="20"/>
        </w:rPr>
      </w:pPr>
      <w:r>
        <w:rPr>
          <w:rFonts w:ascii="Times New Roman;serif" w:hAnsi="Times New Roman;serif"/>
          <w:b w:val="false"/>
          <w:sz w:val="20"/>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 (Expense)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(expense) income, net primarily consists of interest income earned on our cash and cash equivalents and changes in foreign currency, and interest expense related to our Term Loan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Consolidated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consolidated results of operations (in thousands):</w:t>
      </w:r>
      <w:r>
        <w:rPr>
          <w:rFonts w:ascii="Times New Roman" w:hAnsi="Times New Roman"/>
          <w:sz w:val="20"/>
        </w:rPr>
        <w:t xml:space="preserve"> </w:t>
      </w:r>
    </w:p>
    <w:tbl>
      <w:tblPr>
        <w:tblW w:w="6953" w:type="dxa"/>
        <w:jc w:val="left"/>
        <w:tblInd w:w="0" w:type="dxa"/>
        <w:tblLayout w:type="fixed"/>
        <w:tblCellMar>
          <w:top w:w="28" w:type="dxa"/>
          <w:left w:w="28" w:type="dxa"/>
          <w:bottom w:w="28" w:type="dxa"/>
          <w:right w:w="28" w:type="dxa"/>
        </w:tblCellMar>
      </w:tblPr>
      <w:tblGrid>
        <w:gridCol w:w="2836"/>
        <w:gridCol w:w="146"/>
        <w:gridCol w:w="211"/>
        <w:gridCol w:w="736"/>
        <w:gridCol w:w="166"/>
        <w:gridCol w:w="146"/>
        <w:gridCol w:w="211"/>
        <w:gridCol w:w="736"/>
        <w:gridCol w:w="166"/>
        <w:gridCol w:w="146"/>
        <w:gridCol w:w="211"/>
        <w:gridCol w:w="631"/>
        <w:gridCol w:w="6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8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w:t>
            </w:r>
          </w:p>
        </w:tc>
        <w:tc>
          <w:tcPr>
            <w:tcW w:w="611" w:type="dxa"/>
            <w:tcBorders/>
            <w:vAlign w:val="center"/>
          </w:tcPr>
          <w:p>
            <w:pPr>
              <w:pStyle w:val="TableContents"/>
              <w:bidi w:val="0"/>
              <w:spacing w:before="0" w:after="0"/>
              <w:ind w:left="0" w:right="0" w:hanging="0"/>
              <w:jc w:val="left"/>
              <w:rPr/>
            </w:pPr>
            <w:r>
              <w:rPr/>
              <w:t> </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w:t>
            </w:r>
          </w:p>
        </w:tc>
        <w:tc>
          <w:tcPr>
            <w:tcW w:w="611" w:type="dxa"/>
            <w:tcBorders/>
            <w:vAlign w:val="center"/>
          </w:tcPr>
          <w:p>
            <w:pPr>
              <w:pStyle w:val="TableContents"/>
              <w:bidi w:val="0"/>
              <w:spacing w:before="0" w:after="0"/>
              <w:ind w:left="0" w:right="0" w:firstLine="200"/>
              <w:jc w:val="left"/>
              <w:rPr/>
            </w:pPr>
            <w:r>
              <w:rPr/>
              <w:t> </w:t>
            </w:r>
          </w:p>
        </w:tc>
      </w:tr>
      <w:tr>
        <w:trPr/>
        <w:tc>
          <w:tcPr>
            <w:tcW w:w="28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decreased by approximately $1.9 million to $17.3 million for the three months ended March 31, 2023, from $19.3 million for the three months ended March 31, 2022. This decrease was driven by a $3.3 million decrease in personnel-related costs, including non-cash stock-based compensation, a $0.5 million decrease in preclinical costs, and partially offset by a $1.7 million increase in clinical trial consulting expenses.</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$7.9 million for the three months ended March 31, 2023, compared to $10.2 million for the three months ended March 31, 2022. This decrease of $2.3 million was attributable to a decrease of $2.3 million in personnel-related costs, a $0.9 million decrease in professional fees, and partially offset by a $1.0 million increase in legal expense.</w:t>
      </w:r>
    </w:p>
    <w:p>
      <w:pPr>
        <w:pStyle w:val="TextBody"/>
        <w:bidi w:val="0"/>
        <w:spacing w:before="36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(expense), net, was $0.3 million for the three months ended March 31, 2023, compared to $(0.4) million for the three months ended March 31, 2022. The change is primarily due to an increase in interest income which was partially offset by interest expense related to the Term Loan Agreement, which was entered into in the fourth quarter of 2021.</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w:t>
      </w:r>
      <w:r>
        <w:rPr>
          <w:rFonts w:ascii="Times New Roman" w:hAnsi="Times New Roman"/>
          <w:sz w:val="20"/>
        </w:rPr>
        <w:t xml:space="preserve"> </w:t>
      </w:r>
      <w:r>
        <w:rPr>
          <w:rFonts w:ascii="Times New Roman;serif" w:hAnsi="Times New Roman;serif"/>
          <w:b w:val="false"/>
          <w:sz w:val="20"/>
        </w:rPr>
        <w:t>Through March 31, 2023,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ATM facility; and we had drawn $15.0 million in term loans under our Term Loan Agreement.</w:t>
      </w:r>
    </w:p>
    <w:p>
      <w:pPr>
        <w:pStyle w:val="TextBody"/>
        <w:bidi w:val="0"/>
        <w:spacing w:before="240" w:after="0"/>
        <w:jc w:val="left"/>
        <w:rPr>
          <w:rFonts w:ascii="Times New Roman" w:hAnsi="Times New Roman"/>
          <w:sz w:val="20"/>
        </w:rPr>
      </w:pPr>
      <w:r>
        <w:rPr>
          <w:rFonts w:ascii="Times New Roman;serif" w:hAnsi="Times New Roman;serif"/>
          <w:b w:val="false"/>
          <w:sz w:val="20"/>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2020, we sold an aggregate of 384,140 shares of common stock under the ATM facility for net proceeds, after deducting commissions and other offering expenses payable by us, of $8.1 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May 2021, we sold an aggregate of 1,829,268 shares of common stock under the ATM facility for net proceeds, after deducting commissions and other offering expenses payable by us, of $14.5 million. As of March 31, 2023, approximately $26.5 million of common stock remained available for future issuance under the ATM facility.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we had cash and cash equivalents of $72.3 million. Cash in excess of immediate requirements is invested primarily with a view to liquidity and capital preservation. We believe that our existing cash and cash equivalents as of March 31, 2023 will enable us to fund our operating expenses and capital expenditure requirements into the first quarter of 2024.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our cash flows for each of the periods presented (in thousands):</w:t>
      </w:r>
      <w:r>
        <w:rPr>
          <w:rFonts w:ascii="Times New Roman" w:hAnsi="Times New Roman"/>
          <w:sz w:val="20"/>
        </w:rPr>
        <w:t xml:space="preserve"> </w:t>
      </w:r>
    </w:p>
    <w:tbl>
      <w:tblPr>
        <w:tblW w:w="6359" w:type="dxa"/>
        <w:jc w:val="left"/>
        <w:tblInd w:w="0" w:type="dxa"/>
        <w:tblLayout w:type="fixed"/>
        <w:tblCellMar>
          <w:top w:w="28" w:type="dxa"/>
          <w:left w:w="28" w:type="dxa"/>
          <w:bottom w:w="28" w:type="dxa"/>
          <w:right w:w="28" w:type="dxa"/>
        </w:tblCellMar>
      </w:tblPr>
      <w:tblGrid>
        <w:gridCol w:w="3616"/>
        <w:gridCol w:w="146"/>
        <w:gridCol w:w="211"/>
        <w:gridCol w:w="736"/>
        <w:gridCol w:w="166"/>
        <w:gridCol w:w="146"/>
        <w:gridCol w:w="211"/>
        <w:gridCol w:w="736"/>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operating activities used $20.3 million of cash, cash equivalents and restricted cash, resulting from our net loss of $25.0 million and cash provided by changes in our operating assets and liabilities of $1.1 million and partially offset by non-cash charges of $3.5 million. The net changes in our operating assets and liabilities were primarily due to a $2.2 million decrease in prepaids and other current assets, offset by a $0.7 million decrease in accrued expenses and other current liabilities and a $0.6 million decrease in current and non-current operating lease liabilities. The non-cash charges primarily included $2.5 million of stock-based compensation expense, $0.6 million in non-cash lease expense, and $0.3 million of depreciation and amortization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operating activities used $28.0 million of cash, cash equivalents and restricted cash, resulting from our net loss of $29.8 million and cash used by changes in our operating assets and liabilities of $2.0 million and partially offset by non-cash charges of $3.8 million. The net changes in our operating assets and liabilities were primarily due to a decrease in accrued expenses and other liabilities of $2.9 million, offset by a $0.3 million decrease in prepaids and other current assets and by a $0.6 million increase in accounts payable. The non-cash charges primarily included $3.4 million of stock-based compensation expense and $0.4 million of depreciation and amortization expense.</w:t>
      </w:r>
    </w:p>
    <w:p>
      <w:pPr>
        <w:pStyle w:val="TextBody"/>
        <w:bidi w:val="0"/>
        <w:spacing w:before="36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was less than $0.1 million for the three months ended March 31, 2023 and 2022. The decrease in cash used in investing activities was primarily due to a decrease in purchases of property and equipment.</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provided by financing activities was $0.1 million for the three months ended March 31, 2023 and 2022. The decrease in cash provided by financing activities was primarily due to a decrease in proceeds received from the issuance of shares under our 2018 Employee Stock Purchase Plan.</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expenses to increase substantially in connection with our ongoing activities, particularly as we advance the preclinical activities and clinical trials of our product candidates. Our expenses will also increase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our development of our product candidates, including continuing enrollment and dosing of patients in our ongoing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initiate additional clinical trials and preclinical studies for our current and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to identify and develop or in-license or acquire additional product candidates and technologies;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seek to industrialize our </w:t>
      </w:r>
      <w:r>
        <w:rPr>
          <w:rFonts w:ascii="Times New Roman;serif" w:hAnsi="Times New Roman;serif"/>
          <w:b w:val="false"/>
          <w:i/>
          <w:sz w:val="20"/>
        </w:rPr>
        <w:t>ex vivo</w:t>
      </w:r>
      <w:r>
        <w:rPr/>
        <w:t xml:space="preserve"> </w:t>
      </w:r>
      <w:r>
        <w:rPr>
          <w:rFonts w:ascii="Times New Roman;serif" w:hAnsi="Times New Roman;serif"/>
          <w:b w:val="false"/>
          <w:sz w:val="20"/>
        </w:rPr>
        <w:t xml:space="preserve">lentiviral gene therapy approach into a robust, scalable and, if approved, commercially viable process;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marketing approvals for our product candidates that successfully complete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 candidates for which we may obtain marketing approval;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hire and retain additional personnel, such as clinical, medical, manufacturing, quality, commercial and scientific personnel;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expand our infrastructure, office space and facilities to accommodate our employee base, including adding equipment and physical infrastructure to support our research and development;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to incur additional public company-related costs.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our $72.3 million of existing cash and cash equivalents as of March 31, 2023, will enable us to fund our operating expenses and capital expenditure requirements into the first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pStyle w:val="TextBody"/>
        <w:bidi w:val="0"/>
        <w:spacing w:before="240" w:after="0"/>
        <w:jc w:val="left"/>
        <w:rPr>
          <w:rFonts w:ascii="Times New Roman" w:hAnsi="Times New Roman"/>
          <w:sz w:val="20"/>
        </w:rPr>
      </w:pPr>
      <w:r>
        <w:rPr>
          <w:rFonts w:ascii="Times New Roman;serif" w:hAnsi="Times New Roman;serif"/>
          <w:b w:val="false"/>
          <w:sz w:val="20"/>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2022, filed with the SEC on March 23,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2023,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2022, which was filed with the SEC on March 23, 2023, and the notes to the consolidated financial statements included in Item 1, “</w:t>
      </w:r>
      <w:r>
        <w:rPr>
          <w:rFonts w:ascii="Times New Roman;serif" w:hAnsi="Times New Roman;serif"/>
          <w:b w:val="false"/>
          <w:i/>
          <w:sz w:val="20"/>
        </w:rPr>
        <w:t>Condensed Consolidated Unaudited Financial Statements</w:t>
      </w:r>
      <w:r>
        <w:rPr>
          <w:rFonts w:ascii="Times New Roman;serif" w:hAnsi="Times New Roman;serif"/>
          <w:b w:val="false"/>
          <w:sz w:val="20"/>
        </w:rPr>
        <w:t>,” of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 description of recently issued accounting pronouncements that may potentially impact our financial position and results of operations is disclosed in Note 2, </w:t>
      </w:r>
      <w:r>
        <w:rPr>
          <w:rFonts w:ascii="Times New Roman" w:hAnsi="Times New Roman"/>
          <w:sz w:val="20"/>
        </w:rPr>
        <w:t>“</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to our consolidated financial statements appearing at the beginning of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0" w:name="item_3_quantitative_qualitative_disclosu"/>
      <w:bookmarkEnd w:id="10"/>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March 31, 2023, we had cash and cash equivalents of $72.3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pStyle w:val="TextBody"/>
        <w:bidi w:val="0"/>
        <w:spacing w:before="36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March 31, 2023 and 2022, we recognized foreign currency transaction losses of $28 thousand and $46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1" w:name="item_4_controls_procedures"/>
      <w:bookmarkEnd w:id="11"/>
      <w:r>
        <w:rPr>
          <w:rFonts w:ascii="Times New Roman;serif" w:hAnsi="Times New Roman;serif"/>
          <w:b/>
          <w:sz w:val="20"/>
        </w:rPr>
        <w:t>Item 4. Controls and Procedures.</w:t>
      </w:r>
    </w:p>
    <w:p>
      <w:pPr>
        <w:pStyle w:val="TextBody"/>
        <w:bidi w:val="0"/>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interim Chief Executive Officer and Chief Financial Officer (our principal executive officer and principal financial officer),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March 31, 2023, our interim Chief Executive Officer and Chief Financial Officer concluded that our disclosure controls and procedures were effective at the reasonable assurance level as of March 31, 2023.</w:t>
      </w:r>
    </w:p>
    <w:p>
      <w:pPr>
        <w:pStyle w:val="TextBody"/>
        <w:bidi w:val="0"/>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Times New Roman;serif" w:hAnsi="Times New Roman;serif"/>
          <w:b/>
          <w:sz w:val="20"/>
        </w:rPr>
        <w:t>PART II—OTHER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 w:name="item_1_legal_proceedings"/>
      <w:bookmarkEnd w:id="13"/>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become subject to various legal proceedings and claims that arise in the ordinary course of our business activities. Although the results of litigation and claims cannot be predicted with certainty, as of March 31, 2023,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4" w:name="item_1a_risk_factors"/>
      <w:bookmarkEnd w:id="14"/>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sz w:val="20"/>
        </w:rPr>
        <w:t>Ri</w:t>
      </w:r>
      <w:bookmarkStart w:id="15" w:name="item_1a_risk_factors1"/>
      <w:bookmarkEnd w:id="15"/>
      <w:r>
        <w:rPr>
          <w:rFonts w:ascii="Times New Roman;serif" w:hAnsi="Times New Roman;serif"/>
          <w:b/>
          <w:sz w:val="20"/>
        </w:rPr>
        <w:t>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business, financial position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net losses since inception. We expect to incur net losses for the foreseeable future and may never achieve or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inception, we have incurred net losses. We incurred net losses of $105.9 million and $119.1 million for the years ended December 31, 2022 and 2021, respectively, and $25.0 million for the three months ended March 31, 2023. We historically financed our operations primarily through private placements of our preferred stock and, more recently, our initial public offering and follow-on public offerings of our common stock, as well as sales of our common stock under our “at-the-market” facility. In addition, on November 2, 2021 we entered into the Loan and Security Agreement, or the Term Loan Agreement, by and among the Company, the lenders party thereto from time to time and Silicon Valley Bank or its successor, Silicon Valley Bank, a division of First-Citizens Bank &amp; Trust company), which we refer to as SVB.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our development of our product candidates, including continuing enrollment in our ongoing clinical trials, particularly if and as we commence and continue clinical-stage activities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initiate additional clinical trials and preclinical studies for our current and future product candidates,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experience delays or interruptions in preclinical studies, clinical trials, or our supply chain due to the COVID-19 pandemic;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to identify and develop or in-license additional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marketing approvals for our product candidates that successfully complete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 candidates for which we may obtain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continue our implementation of our plato platform as we seek to industrialize our HSC gene therapy approach into a robust, scalable and, if approved, commercially viable process;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hire and retain additional personnel, such as clinical, quality control, regulatory and scientific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expand our office space, infrastructure and facilities as needed to accommodate our employee base, including adding equipment and physical infrastructure to support our research and development;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to incur additional public company-related costs.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To become and remain profitable, we must develop and eventually commercialize product candidates with significant market potential and acceptance. This will require us to be successful in a range of challenging activities, and our expenses will increase substantially as we seek to initiate, conduct and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identified certain conditions or events, which, considered in the aggregate, raise substantial doubt about our ability to continue as a going concern and the future viability of the Company, including the risk that we will be unable to raise adequate additional capital to fund our operations. Substantial doubt about our ability to continue as a going concern and the Company’s inability to raise adequate capital as and when needed may create negative reactions to the price of our common stock and could have a negative impact on our financial condition and ability to pursue our business strategies. There can be no assurance that our current operating plan will be achieved or that additional funding will be available on terms acceptable to us, or at all. If we are unable to raise additional capital at levels sufficient to fund our operations or on terms acceptable to us, we will need to consider other various strategic alternatives, including a merger, reverse merger, sale, wind-down, liquidation and dissolution or other strategic transaction, or be unable to continue operations. Further, if we are unable to continue as a going concern, we may have to liquidate our assets and the values we receive for our assets in liquidation or dissolution could be significantly lower than the values reflected in our consolidated financial statements.</w:t>
      </w:r>
    </w:p>
    <w:p>
      <w:pPr>
        <w:pStyle w:val="TextBody"/>
        <w:bidi w:val="0"/>
        <w:spacing w:before="360" w:after="0"/>
        <w:jc w:val="left"/>
        <w:rPr>
          <w:rFonts w:ascii="Times New Roman" w:hAnsi="Times New Roman"/>
          <w:sz w:val="20"/>
        </w:rPr>
      </w:pPr>
      <w:r>
        <w:rPr>
          <w:rFonts w:ascii="Times New Roman;serif" w:hAnsi="Times New Roman;serif"/>
          <w:b/>
          <w:i/>
          <w:sz w:val="20"/>
        </w:rPr>
        <w:t>We have never generated revenue from product sales and do not expect to do so for the next several years, if 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completing research and preclinical and clinical development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seeking and obtaining regulatory and marketing approvals for product candidates for which we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and commercializing product candidates for which we obtain regulatory and marketing approval by establishing a sales force, marketing and distribution infrastructure or, alternatively, collaborating with a commercialization partner;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qualifying for adequate coverage and reimbursement by government and third-party payors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supply and manufacturing processes and relationships with third parties that can provide adequate, in both amount and quality, products and services to support clinical development and the commercial market demand for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market acceptance of our product candidates, if approved, as a viable treatment option;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addressing any competing technological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into which we may enter and performing our obligations under such arrangements;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120" w:after="0"/>
        <w:jc w:val="left"/>
        <w:rPr>
          <w:rFonts w:ascii="Times New Roman" w:hAnsi="Times New Roman"/>
          <w:sz w:val="20"/>
        </w:rPr>
      </w:pPr>
      <w:r>
        <w:rPr>
          <w:rFonts w:ascii="Times New Roman;serif" w:hAnsi="Times New Roman;serif"/>
          <w:b w:val="false"/>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will need additional funding, which may not be available on acceptable terms, or at all. Failure to obtain this necessary capital when needed may force us to delay, limit or terminate our product development efforts or other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cash and cash equivalents of $72.3 million. We believe that our existing cash and cash equivalents as of March 31, 2023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four gene therapy programs in our pipeline, two of which are in clinical development.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drug discovery, laboratory testing, preclinical development and clinical trials for our current and future product candidates, including the extent of any impacts from the COVID-19 pandemic on these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our manufacturing process development and evaluation of third-party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if any, received from commercial sale of our products, should any of our product candidates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amounts, if any, raised from potential financings and capital raising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and enforcing our intellectual property rights and defending intellectual property-related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defending against and resolving adverse litigation,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terms of our current and any future license agreements and collaborations;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in-license other product candidates, technologies and intellectual property.</w:t>
      </w:r>
    </w:p>
    <w:p>
      <w:pPr>
        <w:pStyle w:val="TextBody"/>
        <w:bidi w:val="0"/>
        <w:spacing w:before="120" w:after="0"/>
        <w:jc w:val="left"/>
        <w:rPr>
          <w:rFonts w:ascii="Times New Roman" w:hAnsi="Times New Roman"/>
          <w:sz w:val="20"/>
        </w:rPr>
      </w:pPr>
      <w:r>
        <w:rPr>
          <w:rFonts w:ascii="Times New Roman;serif" w:hAnsi="Times New Roman;serif"/>
          <w:b w:val="false"/>
          <w:sz w:val="20"/>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incur or assume certain debt;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merge or consolidate or acquire all or substantially all of the capital stock or property of another entity;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 the nature of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 our organizational structure or type;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license, transfer, or dispose of certain assets;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grant certain types of liens on our assets;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make certain investments;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 operating accounts, depository accounts and excess cash at institutions other than SVB;</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pay cash dividends;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enter into material transactions with affiliates.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 For further risks related to indebtedness, see “Risk Factors—Risks related to our business, financial position and need for additional capital—Adverse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Raising additional capital may cause dilution to our existing stockholders, restrict our operations or cause us to relinquish valuable rights.</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limited operating history may make it difficult for you to evaluate the success of our business to date and to assess our future viability.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In addition, if any of our contract organizations, vendors, suppliers or other parties with whom we conduct business are unable to access funds pursuant to their own arrangements with such a financial institution, such parties’ ability to perform their obligations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maintain a term loan facility with SVB pursuant to the Term Loan Agreement, under which we have drawn down $15.0 million, but we may be unable to draw down on additional funding under such facility due to SVB’s closure. As our facility currently requires substantially all of our cash and cash equivalents to be deposited with SVB, historically we have relied primarily on SVB for commercial banking services. We are pursuing actions to make alternative banking arrangements, including opening deposit accounts at one or more other financial institutions. SVB has agreed to waive covenants related to maintaining our deposits at SVB through May 19, 2023, during which time we have agreed to obtain an Account Control Agreement, or ACA, for all accounts held outside of SVB. An ACA is a multi-party agreement among a debtor, lender and a bank that allows the lender to perfect a security interest in the customer's funds by taking control of the deposit account if necessary. However, efforts to open deposit accounts at financial institutions other than SVB may not adequately mitigate the risk of financial crises similar to that experienced by SVB.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or actual breach of contractual obligations that require the Company to maintain letters of credit or other credit support arrangements;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Potential or actual breach of financial covenants in our credit agreements or credit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or actual cross-defaults in other credit agreements, credit arrangements or operating or financing agreements;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Termination of cash management arrangements and/or delays in accessing or actual loss of funds subject to cash management arrangements.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further deterioration in the macroeconomic economy or financial services industry could lead to losses or defaults by our contract organizations, vendors, suppliers or other parties with whom we conduct business, which in turn, could have a material adverse effect on our current and/or projected business operations and results of operations and financial condition. For example, contract organizations, vendors, suppliers or other parties with whom we conduct business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bankruptcy or insolvency involving our contract organizations, vendors, suppliers or other parties with whom we conduct business, or any breach or default by such parties, or the loss of any significant relationships with such parties, could result in a material adverse impact on our business.</w:t>
      </w:r>
    </w:p>
    <w:p>
      <w:pPr>
        <w:pStyle w:val="TextBody"/>
        <w:bidi w:val="0"/>
        <w:spacing w:before="120" w:after="0"/>
        <w:jc w:val="left"/>
        <w:rPr>
          <w:rFonts w:ascii="Times New Roman" w:hAnsi="Times New Roman"/>
          <w:sz w:val="20"/>
        </w:rPr>
      </w:pPr>
      <w:r>
        <w:rPr>
          <w:rFonts w:ascii="Times New Roman;serif" w:hAnsi="Times New Roman;serif"/>
          <w:b/>
          <w:sz w:val="20"/>
        </w:rPr>
        <w:t>Risks related to the discovery and development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Business interruptions resulting from the coronavirus disease, or COVID-19, pandemic or similar public health crises have caused and may continue to cause a disruption of the development of our product candidates and adversely impact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Public health crises such as pandemics or similar outbreaks could adversely impact our business. The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adopted a “hybrid” work schedule which generally limits the number of people in our office at any particular time. Notwithstanding these measures, the COVID-19 pandemic, including potential outbreaks of new variants, or any other public health crisis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clinical trial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we have resumed data collection and dosing of new patients, our ability to continue clinical activities without further delay or interruption will depend on future developments that are highly uncertain and cannot be accurately predicted.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 factors from any public health crisis that may delay or otherwise adversely affect enrollment in or the progress of the clinical trials of our product candidates, as well as our business generally,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our clinical trial sites or secure visas or entry permissions, any of which could delay or adversely impact the conduct or progress of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interruption in global shipping affecting the transport of clinical trial materials, such as patient samples, investigational drug product and conditioning drugs and other supplies used in our clinical trials;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w:t>
      </w:r>
      <w:r>
        <w:rPr/>
        <w:t xml:space="preserve"> </w:t>
      </w:r>
      <w:r>
        <w:rPr>
          <w:rFonts w:ascii="Times New Roman;serif" w:hAnsi="Times New Roman;serif"/>
          <w:b w:val="false"/>
          <w:sz w:val="20"/>
        </w:rPr>
        <w:t xml:space="preserve">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changes in hospital or research institution policies or government regulations, which could delay or adversely impact our ability to conduct our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and other factors arising from the COVID-19 pandemic could reemerge or worsen and adversely impact our ability to conduct clinical trials and our business generally, and could have a material adverse impact on our operations and financial condition and results. The extent to which any public health crisis impacts our operations or those of our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w:t>
      </w:r>
    </w:p>
    <w:p>
      <w:pPr>
        <w:pStyle w:val="TextBody"/>
        <w:bidi w:val="0"/>
        <w:spacing w:before="120" w:after="0"/>
        <w:jc w:val="left"/>
        <w:rPr>
          <w:rFonts w:ascii="Times New Roman" w:hAnsi="Times New Roman"/>
          <w:sz w:val="20"/>
        </w:rPr>
      </w:pPr>
      <w:r>
        <w:rPr>
          <w:rFonts w:ascii="Times New Roman;serif" w:hAnsi="Times New Roman;serif"/>
          <w:b/>
          <w:i/>
          <w:sz w:val="20"/>
        </w:rPr>
        <w:t>Our HSC gene therapy product candidates are based on a novel technology, which makes it difficult to predict the time and cost of product candidate development and of subsequently obtaining regulatory approval.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concentrated our research and development efforts on our HSC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were and may continue to be adversely affected by the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additional or alternative partners, which may prevent us from completing our clinical studies or commercializing our products on a timely or profitable basis, if at all. For example, as of May 2, 2023 we have only dosed 11 patients using our plato platform in our clinical trials, which includes six patients in our FAB-GT clinical trial for which we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HSC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OTAT, within the CBER, to consolidate the review of gene therapy and related products, and to advise the CBER on its review. In September 2022, the FDA announced retitling of OTAT to the Office of Therapeutic Products, or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we cannot be certain that this approach will improve the time and cost associated with navigating gene therapy regulatory requirements, our regulatory strategy or the potential success of our product candidates. Such regulatory action and developments could, instead, delay, impede or even prevent commercialization of some or all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or compassionate use, may lead to discovery of undesirable side effects, or other negative consequences that could have adverse impacts on our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development of the product candidate may fail or be delayed, or, if the product candidate has received regulatory approval, such approval may be revoked or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our HSC gene therapy approach is designed to avoid insertional oncogenesis, there can be no assurance that patients will not experience such adverse effects, including death.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called TCI, to achieve a balance between the removal of a sufficient amount of bone marrow cells from a patient to aid engraftment of our genetically modified cells against potential risks, such as toxicity or graft failure. In addition, we are evaluating the potential future use of alternative conditioning agents in lieu of the current busulfan TCI conditioning regimen. For example, we have entered into a collaboration agreement with Jasper Therapeutics, Inc. and are currently evaluating the potential use of their respective monoclonal antibody conditioning agents. We are also evaluating the potential use of additional agents to tailor the conditioning regimen for certain disease indications. However, there can be no assurances these alternative conditioning regimens will be implemented or would be successful if implemented. Our conditioning regimens may not be successful or may nevertheless result in adverse side effects. For example, busulfan, the myeloablative agent currently used in our conditioning regimen, has been known to carry certain safety risks, including the risk of impairment to fertility in both men and women, and such impairment has been reported in some patients in our clinical trials. Moreover, in each of our ongoing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suspend or withdraw approvals of such product candidate;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additional or boxed warnings on the label;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change the way a product candidate is distributed, dispensed, or administered or conduct additional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from achieving or maintaining market acceptance of our product candidates, lead to a decline in our stock price, and significantly harm our business, prospects,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never completed a pivotal or registrational clinical trial, and may be unable to do so for any product candidates we may develop.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at an early stage of development for all of our product candidates. As of the date of this Quarterly Report, only 25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across our Company-sponsored clinical trials we have dosed only four patients in the United States, and our interactions with the FDA have generally been limited. We cannot be certain how many additional clinical trials of AVR-RD-02, AVR-RD-04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CTA we submit in other countries, will be accepted. While we have received clearance from the FDA to commence clinical testing in the United States for our Company-sponsored Phase 1/2 clinical trial of AVR-RD-02 for Gaucher disease type 1 and the sponsor of the collaborator-led Phase 1/2 clinical trial for AVR-RD-04 for cystinosis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ongoing Phase 1/2 clinical trial of AVR-RD-04 is being conducted by our collaborators at the University of California, San Diego. In addition, the planned Phase 1/2 clinical trial of AVR-RD-05 will be a collaborator-sponsored trial conducted by our collaborators at The University of Manchester; and the MHRA recently accepted its CTA application for this Phase 1/2 clinical trial. We do not control the design or administration of collaborator-sponsored trials, nor the submission or clearance of any IND or foreign equivalent required to conduct these trials, and the collaborator-sponsored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non-Company-sponsored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collaborator-sponsored trials could be useful to inform our own clinical development efforts, there is no guarantee that we will be able to use the data from these trials to form the basis for regulatory authorization to conduct further clinical studies, or for regulatory approval of our product candidates. For example, regulators may require us to submit comparability or bridging studies to allow data generated in non-Company-sponsored studies to support the regulatory applications for or approvals of our product candidates, and we cannot be certain that such comparability or bridging studies, if any, would be successful or feasible.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Success in preclinical studies or early clinical trials may not be indicative of results obtained in later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endothelium. However, while this belief is based on a thorough review and analysis conducted by the Company, it remains a hypothesis and there can be no assurances that similar engraftment or other issues will not occur in clinical trials of our other product candidates, which are all based on our technology and the same HSC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pStyle w:val="TextBody"/>
        <w:bidi w:val="0"/>
        <w:spacing w:before="120" w:after="0"/>
        <w:jc w:val="left"/>
        <w:rPr>
          <w:rFonts w:ascii="Times New Roman" w:hAnsi="Times New Roman"/>
          <w:sz w:val="20"/>
        </w:rPr>
      </w:pPr>
      <w:r>
        <w:rPr>
          <w:rFonts w:ascii="Times New Roman;serif" w:hAnsi="Times New Roman;serif"/>
          <w:b w:val="false"/>
          <w:sz w:val="20"/>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pStyle w:val="TextBody"/>
        <w:bidi w:val="0"/>
        <w:spacing w:before="120" w:after="0"/>
        <w:jc w:val="left"/>
        <w:rPr>
          <w:rFonts w:ascii="Times New Roman" w:hAnsi="Times New Roman"/>
          <w:sz w:val="20"/>
        </w:rPr>
      </w:pPr>
      <w:r>
        <w:rPr>
          <w:rFonts w:ascii="Times New Roman;serif" w:hAnsi="Times New Roman;serif"/>
          <w:b/>
          <w:i/>
          <w:sz w:val="20"/>
        </w:rPr>
        <w:t>We may find it difficult to enroll patients in our clinical trials, which could delay or prevent us from proceeding with clinical trials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resumed, there could be additional pauses in the future as a result of the COVID-19 pandemic or other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identify, recruit and enroll a sufficient number of patients, or those with required or desired characteristics, to complete our clinical trials in a timely manner or at all. Although we currently expect to have enrolled up to a total of ten patients by the end of 2023 in our Company-sponsored clinical trial of AVR-RD-02 for Gaucher disease type 1, which we refer to as the Guard1 clinical trial, there can be no assurances we will achieve that goal or any of our other patient enrollment goals.</w:t>
      </w:r>
    </w:p>
    <w:p>
      <w:pPr>
        <w:pStyle w:val="TextBody"/>
        <w:bidi w:val="0"/>
        <w:spacing w:before="120" w:after="0"/>
        <w:jc w:val="left"/>
        <w:rPr>
          <w:rFonts w:ascii="Times New Roman" w:hAnsi="Times New Roman"/>
          <w:sz w:val="20"/>
        </w:rPr>
      </w:pPr>
      <w:r>
        <w:rPr>
          <w:rFonts w:ascii="Times New Roman;serif" w:hAnsi="Times New Roman;serif"/>
          <w:b w:val="false"/>
          <w:sz w:val="20"/>
        </w:rPr>
        <w:t>Patient enrollment and trial completion is affected by factors including the: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ability to enroll patients and conduct studies as a result of the COVID-19 pandemic;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size of the patient population and process for identifying patients;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design of the trial protocol;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eligibility and exclusion criteria;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perceived risks and benefits of the product candidate under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perceived risks and benefits of gene therapy-based approaches to treatment of diseases, including any required pretreatment conditioning regimens;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competing therapies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severity of the disease under investigation;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genetic testing for potential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proximity and availability of clinical trial sites for prospective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ability to obtain and maintain subject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 that enrolled patients will drop out before completion of the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 referral practices of physicians;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ability to monitor patients adequately during and after treatment.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in establishing or managing relationships with contract research organizations, or CROs, clinical study sites and physicians;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different standards for the conduct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absence in some countries of established groups with sufficient regulatory expertise for review of gene therapy protocols;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inability to locate qualified local consultants, physicians and partners;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potential burden of complying with a variety of foreign laws, medical standards and regulatory requirements, including the regulation of pharmaceutical and biotechnology products and treatment. </w:t>
      </w:r>
    </w:p>
    <w:p>
      <w:pPr>
        <w:pStyle w:val="TextBody"/>
        <w:bidi w:val="0"/>
        <w:spacing w:before="120" w:after="0"/>
        <w:jc w:val="left"/>
        <w:rPr>
          <w:rFonts w:ascii="Times New Roman" w:hAnsi="Times New Roman"/>
          <w:sz w:val="20"/>
        </w:rPr>
      </w:pPr>
      <w:r>
        <w:rPr>
          <w:rFonts w:ascii="Times New Roman;serif" w:hAnsi="Times New Roman;serif"/>
          <w:b w:val="false"/>
          <w:sz w:val="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encounter substantial delays in our clinical trials or we may fail to demonstrate safety and efficacy to the satisfaction of applicable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delays as a result of the COVID-19 pandemic;</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study design;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agreement on acceptable terms with prospective CROs and clinical study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obtaining required IRB approval at each clinical study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recruiting suitable patients to participate in our 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imposition of a clinical hold by regulatory agencies, after an inspection of our clinical study operations or study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our CROs, other third parties or us to adhere to clinical study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to perform in accordance with the FDA’s good clinical practices, or GCP, or applicable regulatory guidelines in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the testing, validation, manufacturing and delivery of our product candidates to the clinical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having patients complete participation in a study or return for post-treatment follow-up;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study sites or patients dropping out of a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occurrence of serious adverse events associated with the product candidate that are viewed to outweigh its potential benefits;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regulatory requirements and guidance that require amending or submitting new clinical protocols. </w:t>
      </w:r>
    </w:p>
    <w:p>
      <w:pPr>
        <w:pStyle w:val="TextBody"/>
        <w:bidi w:val="0"/>
        <w:spacing w:before="120" w:after="0"/>
        <w:jc w:val="left"/>
        <w:rPr>
          <w:rFonts w:ascii="Times New Roman" w:hAnsi="Times New Roman"/>
          <w:sz w:val="20"/>
        </w:rPr>
      </w:pPr>
      <w:r>
        <w:rPr>
          <w:rFonts w:ascii="Times New Roman;serif" w:hAnsi="Times New Roman;serif"/>
          <w:b w:val="false"/>
          <w:sz w:val="20"/>
        </w:rPr>
        <w:t>Any inability to successfully complete preclinical and clinical development could result in additional costs to us or impair our ability to generate revenues. In addition, if we make changes to our product candidates, or if collaborator-sponsored trials utilize different materials or manufacturing processes from ours to generate data, we may need to conduct additional studies to compare or 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CTAs, to demonstrate analytic comparability between LV1 and LV2. Our CTA (including amendments) and IND for our Guard1 clinical study of AVR-RD-02 for Gaucher disease type 1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collaborator-sponsored clinical study of AVR-RD-05 for Hunter syndrome is not manufactured using our plato platform, and neither the automated, closed manufacturing system nor LV2 is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the results of our clinical studies are inconclusive or if there are safety concerns or adverse events associated with our product candidates, we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delayed in obtaining marketing approval for our product candidates, if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approval for indications or patient populations that are not as broad as intended or desired;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approval with labeling or a REMS that includes significant use or distribution restrictions or safety warnings;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subject to changes with the way the product is administered;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be required to perform additional clinical studies to support approval or be subject to additional post-marketing testing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have regulatory authorities withdraw their approval of the product or impose restrictions on its distribution in the form of a REMS;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subject to the addition of labeling statements, such as warnings or contraindications;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sued;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experience damage to our reputation.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from achieving or maintaining market acceptance of our product candidates and impair our ability to commercialize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we complete the necessary preclinical and clinical studies, we cannot predict when or if we will obtain regulatory approval to commercialize a product candidate and the approval may be for a narrower indication than we seek.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or labeling claims, our business, prospects, financial condition and results of operations would be materially and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Only one of our ongoing clinical trials utilizes our commercially-scalable plato platform.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have submitted and intend to continue to submit comparability studies to the FDA and other regulatory agencies, as needed, with respect to our implementation of our scalable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scalable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platforms with improved solutions for delivering our gene therapy candidates to patients in multiple disease indications. We believe improvements to our plato platform may lead to better patient outcomes with our gene therapy candidates. In order to implement this transition, we have been and will be required to conduct additional studies to bridge our modified product candidates to earlier versions, including earlier versions utilized in collaborator-sponsored clinical studies,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pStyle w:val="TextBody"/>
        <w:bidi w:val="0"/>
        <w:spacing w:before="120" w:after="0"/>
        <w:jc w:val="left"/>
        <w:rPr>
          <w:rFonts w:ascii="Times New Roman" w:hAnsi="Times New Roman"/>
          <w:sz w:val="20"/>
        </w:rPr>
      </w:pPr>
      <w:r>
        <w:rPr>
          <w:rFonts w:ascii="Times New Roman;serif" w:hAnsi="Times New Roman;serif"/>
          <w:b/>
          <w:i/>
          <w:sz w:val="20"/>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anticipate competing with biotechnology and pharmaceutical companies, many of which may have significantly greater resources than we do. For example, for Gaucher disease, Sanofi, Pfizer, and Takeda market existing enzyme replacement therapies, or ERTs, that represent the standard of care for Gaucher patients. For Gaucher disease we also expect to compete with oral therapies marketed by Johnson &amp; Johnson and Sanofi. Sanofi also markets an enzyme replacement therapy for Pompe disease, and Takeda markets an enzyme replacement therapy for Hunter syndrome. Denali Therapeutics has an ERT in late-stage clinical development for Hunter syndrome. Cystinosis is currently treated by therapies marketed by Horizon Orphan, Mylan, Chiesi, Recordati, Orphan Europe and Leadiant Biosciences. In addition, we may compete with other gene therapy companies in our industry such as Freeline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Therapeutics, Generation Bio, Eli Lilly and Company or Graphite Bio. Freeline Therapeutics, for example, is developing an adeno-associated virus, or AAV based gene therapy for Gaucher disease type 1. Moreover, a number of gene therapy companies have announced preclinical or clinical non-viral and adeno-associated viral based gene therapy programs that, if successful in obtaining regulatory approval, could compete with our gene therapies. For example, Gene Cradle has announced a pre-clinical program for infantile onset Pompe disease and late onset Pompe disease.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an accelerated approval pathway for one or more of our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seeking accelerated approval, we will seek feedback from the FDA or comparable foreign regulatory authorities and will otherwise evaluate our ability to seek and receive such accelerated approval. There can be no assurance that after our evaluation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of the feedback and other factors we will decide to pursue or submit a BLA for accelerated approval or any other form of expedited development, review or approval. Similarly, there can be no assurance that after subsequent feedback from the FDA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FDA to withdraw our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The first step in the ILAP is receipt of an Innovation Passport, which allows for enhanced engagement with the MHRA and its partner agencies. In October 2022, we announced that the MHRA had granted an Innovation Passport to AVR-RD-02, which we are evaluating for the treatment of Gaucher disease. However, although the goal of ILAP and the Innovation Passport is to reduce the time to market and enable earlier patient access, receipt of this designation does not accelerate conduct of clinical trials or mean that the regulatory requirements are less stringent, nor does it ensure that any future application for marketing authorization will be approved or that any approval will be granted within a particular timeframe.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December 2021, we received Fast Track Designation from the FDA for AVR-RD-02 for the treatment of Gaucher disease, and in July 2021 we received Fast Track Designation from the FDA for AVR-RD-04 for the treatment of cystinosis to improve renal function. However, the FDA has broad discretion whether or not to grant Fast Track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unable to obtain orphan drug designation for our product candidates and, even if we obtain such designation, we may not be able to realize the benefits of such designation, including potential marketing exclusivity of our product candidates,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200,000 in the United States where there is no reasonable expectation that the cost of developing the drug will be recovered from sales in the United States. In the European Union, the EMA’s Committee for Orphan Medicinal Products may designate a medicinal product as an orphan medicinal product if it is intended for the diagnosis, prevention or treatment of a life-threatening or chronically debilitating condition affecting not more than 5 in 10,000 persons in the European Union. Additionally, orphan designation may be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will be of significant benefit to those affected by the condition.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2019 and March 2020, the FDA granted our requests for orphan drug designation for AVR-RD-02 for the treatment of Gaucher disease and AVR-RD-04 for the treatment of cystinosis, respectively. Additionally, in July 2022, we announced that the FDA granted our request for orphan drug designation for AVR-RD-05 for the treatment of Hunter syndrome.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applicable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at any time if: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second applicant can establish in its application that its medicinal product, although similar to the orphan medicinal product already authorized, is safer, more effective or otherwise clinically superior;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holder of the marketing authorization for the original orphan medicinal product consents to a second orphan medicinal product application;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holder of the marketing authorization for the original orphan medicinal product cannot supply sufficient quantities of orphan medicinal product.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have received rare pediatric disease designation, or RPDD, for several of our product candidates. However, a marketing application for a product candidate with RPDD, if approved, may not meet the eligibility criteria for a Priority Review Voucher, or PRV, or the RPDD program may sunset before the FDA is able to consider us for a voucher.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received rare pediatric disease designation, or RPDD, for AVR-RD-02 for the treatment of Gaucher disease, AVR-RD-04 for the treatment of cystinosis, and AVR-RD-05 for the treatment of Hunter syndrome. 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we will need to request a rare pediatric disease PRV in our original BLA for AVR-RD-05. The FDA may determine that a BLA for AVR-RD-05, if approved, does not meet the eligibility criteria for a PRV, including for the following reasons: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disease indication no longer meets the definition of a rare pediatric disease;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BLA contains an active ingredient that has been previously approved in a BLA;</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is not deemed eligible for priority review;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BLA is approved for a different adult indication than the rare pediatric disease for which the product candidate is designated.</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sz w:val="20"/>
        </w:rPr>
        <w:t>The</w:t>
      </w:r>
      <w:r>
        <w:rPr/>
        <w:t xml:space="preserve"> </w:t>
      </w:r>
      <w:r>
        <w:rPr>
          <w:rFonts w:ascii="Times New Roman;serif" w:hAnsi="Times New Roman;serif"/>
          <w:b w:val="false"/>
          <w:sz w:val="20"/>
        </w:rPr>
        <w:t>authority for the FDA to award rare pediatric disease PRVs for drugs that have received rare pediatric disease designation prior to September 30, 2024 currently expires on September 30, 2026. If the BLA for any of our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pStyle w:val="TextBody"/>
        <w:bidi w:val="0"/>
        <w:spacing w:before="120" w:after="0"/>
        <w:jc w:val="left"/>
        <w:rPr>
          <w:rFonts w:ascii="Times New Roman" w:hAnsi="Times New Roman"/>
          <w:sz w:val="20"/>
        </w:rPr>
      </w:pPr>
      <w:r>
        <w:rPr>
          <w:rFonts w:ascii="Times New Roman;serif" w:hAnsi="Times New Roman;serif"/>
          <w:b/>
          <w:i/>
          <w:sz w:val="20"/>
        </w:rPr>
        <w:t>Even if we obtain regulatory approval for a product candidate, our products will remain subject to regulatory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fail to comply with applicable regulatory requirements following approval of any of our product candidates, a regulatory authority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 a warning letter asserting that we are in violation of the law;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an injunction or impose administrative, civil or criminal penalties or monetary fines;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suspend or withdraw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suspend any ongoing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refuse to approve a pending BLA or comparable foreign marketing application (or any supplements thereto) submitted by us or our strategic partners;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 the marketing or manufacturing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seize or detain the product or otherwise require the withdrawal of the product from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refuse to permit the import or export of products;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refuse to allow us to enter into supply contracts, including government contracts. </w:t>
      </w:r>
    </w:p>
    <w:p>
      <w:pPr>
        <w:pStyle w:val="TextBody"/>
        <w:bidi w:val="0"/>
        <w:spacing w:before="120" w:after="0"/>
        <w:jc w:val="left"/>
        <w:rPr>
          <w:rFonts w:ascii="Times New Roman" w:hAnsi="Times New Roman"/>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FDA’s policies, and those of equivalent foreign regulatory agencies, may change and additional government regulations may be enacted that could prevent, limit or delay regulatory approval of our product candidates. We cannot predict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focus on developing our current product candidates may not yield any commercially viable products, and our failure to successfully identify and develop additional product candidates could impair our ability to grow.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we initially pursued a growth strategy to identify, develop and market additional product candidates, we are not currently actively seeking additional product candidates beyond our existing product candidates. We may spend several years completing our development of any particular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unsuccessful in our development efforts, we may not be able to advance the development of our product candidates, commercialize products, raise capital, expand our business or continue our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Risks related to manufacturing</w:t>
      </w:r>
    </w:p>
    <w:p>
      <w:pPr>
        <w:pStyle w:val="TextBody"/>
        <w:bidi w:val="0"/>
        <w:spacing w:before="120" w:after="0"/>
        <w:jc w:val="left"/>
        <w:rPr>
          <w:rFonts w:ascii="Times New Roman" w:hAnsi="Times New Roman"/>
          <w:sz w:val="20"/>
        </w:rPr>
      </w:pPr>
      <w:r>
        <w:rPr>
          <w:rFonts w:ascii="Times New Roman;serif" w:hAnsi="Times New Roman;serif"/>
          <w:b w:val="false"/>
          <w:sz w:val="20"/>
        </w:rPr>
        <w:t>Gene therapies are novel, complex and difficult to manufacture. We could experience production problems that result in delays in our development or commercialization programs or otherwise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 Our manufacturing process relies on a platform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structure, which we refer to as our plato platform, and, if we experience delays, deviations or failures that impact that platform, such delays, deviations or failures could have an adverse impact on our development products or future commercialization programs.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bidi w:val="0"/>
        <w:spacing w:before="120" w:after="0"/>
        <w:jc w:val="left"/>
        <w:rPr>
          <w:rFonts w:ascii="Times New Roman" w:hAnsi="Times New Roman"/>
          <w:sz w:val="20"/>
        </w:rPr>
      </w:pPr>
      <w:r>
        <w:rPr>
          <w:rFonts w:ascii="Times New Roman;serif" w:hAnsi="Times New Roman;serif"/>
          <w:b/>
          <w:i/>
          <w:sz w:val="20"/>
        </w:rPr>
        <w:t>We expect to rely on third parties to conduct some or all aspects of our vector production, product manufacturing, protocol development, research and preclinical and clinical testing, and these third parties may not perform satisfactorily.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expect to independently conduct all aspects of our vector production, product manufacturing, protocol development, research and 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We cannot make any assurances that these difficulties will not occur in the future, or that we will be able to resolve or address them in a timely manner or at all as problems arise.</w:t>
      </w:r>
    </w:p>
    <w:p>
      <w:pPr>
        <w:pStyle w:val="TextBody"/>
        <w:bidi w:val="0"/>
        <w:spacing w:before="120" w:after="0"/>
        <w:jc w:val="left"/>
        <w:rPr>
          <w:rFonts w:ascii="Times New Roman" w:hAnsi="Times New Roman"/>
          <w:sz w:val="20"/>
        </w:rPr>
      </w:pPr>
      <w:r>
        <w:rPr>
          <w:rFonts w:ascii="Times New Roman;serif" w:hAnsi="Times New Roman;serif"/>
          <w:b w:val="false"/>
          <w:sz w:val="20"/>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Reliance on third-party manufacturers entails risks to which we would not be subject if we manufactured the product candidates ourselves,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negotiate manufacturing agreements with third parties under commercially reasonable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control as a result of using third-party manufacturers for all aspects of manufacturing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termination or nonrenewal of manufacturing agreements with third parties in a manner or at a time that is costly or damaging to us;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disruptions to the operations of our third-party manufacturers or suppliers caused by conditions unrelated to our business or operations, including the impact of the COVID-19 pandemic or the bankruptcy of the manufacturer or supplier.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moved our cell processing to an automated, closed system with a sole source supplier. In addition, we currently rely, and expect to continue to rely, on sole source suppliers for vector supply, plasmid supply and cell culture media, as well as drug product manufacturing for our Company-sponsored clinical trials. Our sole source suppliers may be unwilling or unable to supply product to us reliably, continuously or at the levels we anticipate or are required by our clinical trial activities. Such suppliers could still delay, suspend, or terminate supply of product to us for a number of reasons, including manufacturing or quality issues, payment disputes with us, intellectual property disputes with third parties, bankruptcy or insolvency, earthquakes or other natural disasters or other occurrences.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reliance on suppliers subjects us to a number of risks that could materially harm our reputation, business, and financial condition, including,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production, supply, shipment or delivery as a result of the COVID-19 pandemic or trade sanctions, embargoes, and heightened export requirements resulting from the war in Ukraine;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interruption of supply resulting from modifications to or discontinuation of a supplier’s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product shipments resulting from uncorrected defects, reliability issues, or a supplier’s variation in a component;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lack of long-term supply arrangements for key components with our suppliers;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obtain adequate supply in a timely manner, or to obtain adequate supply on commercially reasonable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and cost associated with locating and qualifying alternative suppliers for our components in a timely manner;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production delays related to the evaluation and testing of products from alternative suppliers, and corresponding regulatory qualifications;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delay in delivery due to our suppliers prioritizing other customer orders over ours;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damage to our reputation caused by defective components produced by our suppliers;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cost of our warranty program due to product repair or replacement based upon defects in components produced by our suppliers;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fluctuation in delivery by our suppliers due to changes in demand from us or their other customers.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these risks materialize, our costs could significantly increase and our ability to conduct our clinical trials and, if our product candidates are approved, to meet demand for our products could be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and our contract manufacturers are subject to significant regulation with respect to manufacturing our products. The manufacturing facilities on which we rely may not continue to meet regulatory requirements and have limited capacity.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on sole source suppliers of our automated, closed cell processing system; vector supply; plasmid supply; cell culture media; as well as drug product manufacturing for our Company-sponsored clinical trials. In addition, we currently depend on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the FDA may issue a complete response letter or defer action on our applications, and approval of the products may be delayed or may not be granted.</w:t>
      </w:r>
    </w:p>
    <w:p>
      <w:pPr>
        <w:pStyle w:val="TextBody"/>
        <w:bidi w:val="0"/>
        <w:spacing w:before="120" w:after="0"/>
        <w:jc w:val="left"/>
        <w:rPr>
          <w:rFonts w:ascii="Times New Roman" w:hAnsi="Times New Roman"/>
          <w:sz w:val="20"/>
        </w:rPr>
      </w:pPr>
      <w:r>
        <w:rPr>
          <w:rFonts w:ascii="Times New Roman;serif" w:hAnsi="Times New Roman;serif"/>
          <w:b w:val="false"/>
          <w:sz w:val="20"/>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reliance on third parties requires us to share our trade secrets, which increases the possibility that a competitor will discover them or that our trade secrets will be misappropriated or disclosed.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Risks related to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establish sales, distribution and marketing capabilities or enter into agreements with third parties to market and sell our product candidates, we will be unable to generate any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successfully commercialize any of our product candidates, if approved, we will need to develop our commercial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the market opportunities for our product candidates are smaller than we believe they are, our product revenues may be adversely affected and our business may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commercial success of any current or future product candidate will depend upon the degree of market acceptance by physicians, patients, third-party payors and others in the medical community.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efficacy and potential advantages over alternative treatments, including any similar generic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efficacy and safety as demonstrated in pivotal clinical trials and published in peer-reviewed journals;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prevalence and severity of any adverse events or side effects, including any limitations or warnings contained in a product’s approved labeling or that are later found to be associated with a product, including in findings from long-term follow-up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resulting from the conditioning regimen for the administration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offer the products for sale at competitive prices;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the products are approved by the FDA or comparable regulatory agencies;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relative convenience and ease of dosing and administration compared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and of physicians to prescribe these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of marketing and distribution support and timing of market introduction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how the product is distributed;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accessible and skilled healthcare centers capable of administering our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publicity concerning our products or competing products and treatments;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favorable third-party insurance coverage and sufficient reimbursement.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obtain approval to commercialize our product candidates outside of the United States, a variety of risks associated with international operations could materially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different regulatory requirements for approval of drugs and biologics in foreign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protection for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unexpected changes in tariffs, trade barriers and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economic weakness, including inflation, fluctuating interest rates, or political instability in particular foreign economies and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production shortages resulting from any events affecting raw material supply or manufacturing capabilities abroad;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or natural disasters including earthquakes, typhoons, floods and fires. </w:t>
      </w:r>
    </w:p>
    <w:p>
      <w:pPr>
        <w:pStyle w:val="TextBody"/>
        <w:bidi w:val="0"/>
        <w:spacing w:before="120" w:after="0"/>
        <w:jc w:val="left"/>
        <w:rPr>
          <w:rFonts w:ascii="Times New Roman" w:hAnsi="Times New Roman"/>
          <w:sz w:val="20"/>
        </w:rPr>
      </w:pPr>
      <w:r>
        <w:rPr>
          <w:rFonts w:ascii="Times New Roman;serif" w:hAnsi="Times New Roman;serif"/>
          <w:b/>
          <w:i/>
          <w:sz w:val="20"/>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 in our Annual Report on Form 10-K for the year ended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significant uncertainty related to the insurance coverage and reimbursement of newly approved products. In the United States, the principal decisions about reimbursement for new medicines are typically made by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Due to the novel nature of our technology and the potential for our product candidates to offer therapeutic benefit in a single administration, we face uncertainty related to pricing and reimbursement for these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 Moreover, if approved for marketing, because our product candidates are designed to provide their intended therapeutic benefit from a single administration, treatment with our product candidates may result in a decrease in the available pool of target patients.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Healthcare legislative reform measures and constraints on national budget social security systems may have a material adverse effect on our business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levels directed at broadening the availability of healthcare and containing or lowering the cost of healthcare. See Section entitled “Business - Government Regulation – Healthcare Reform in our Annual Report on Form 10-K for the year ended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demand for any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set a price that we believe is fair for any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generate revenues and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level of taxes that we are required to pay;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availability of capital.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Legislative and regulatory proposals have been made to expand post-approval requirements and restrict sales and promotional activities for pharmaceutical and biologic products. We cannot be sure whether additional legislative changes will be enacted, or whether existing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business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future success depends on our ability to retain key employees, consultants and advisors and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Our former President and Chief Executive Officer, Geoff MacKay, resigned on May 1, 2023, and we have appointed our current Chief Financial Officer,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Erik Ostrowski, as our interim President and Chief Executive Officer. We are actively conducting a search for a permanent Chief Executive Officer, which may involve significant time and costs and may impact our business, operating results and financial condition. Additionally, no assurance can be made as to when we will hire a permanent Chief Executive Officer. We do not maintain “key person” insurance policies on the lives of these individuals or the lives of any of our other employees. The loss of the services of one or more of our current executive or key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through the first half of 2022 we continued to streamline employee headcount including senior management. Reductions in force, management changes and program reprioritizations can have an adverse impact on employee morale. While we believe our relations with our continuing employees to be good, there can be no assurance that we can avoid hiring and retention challenges for skilled personnel in the future.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COVID-19 pandemic, which could impact employees’ productivity and morale, as well as any failure to succeed in preclinical or clinical trials.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or the loss of the services of any executive, key employee, skilled personnel, consultant or advisor may impede the progress of our research, development and commercialization objectives.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need to expand or streamline our operations and we may experience difficulties in managing any such changes, which could disrupt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we mature, we may need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Conversely, headwinds in the overall economy and limited availability of suitable financing to meet our needs could constrain our ability to achieve our growth objectives, and could in turn lead to reductions in force or scaling back of business operations, that could impact employee morale and adversely impact our ability to manage ongoing operations.</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manage expected growth in the scale and complexity of our operations, our performance may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not be successful in identifying and pursuing any strategic opportunities for our programs, our technology or our plato platform, and any strategic transactions that we may consummate in the future could have negative consequences.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our research and development efforts for our pipeline candidates, as part of our business strategy, from time to time, we evaluate and intend to continue to evaluate opportunities to collaborate, partner, enter into joint ventures or undertake other strategic initiatives with third parties with respect to one or more of our programs, our technology or our plato platform. However, there can be no assurance that we will be able to successfully consummate any particular strategic transaction. These efforts may be costly, time-consuming and complex and we may incur significant legal, accounting and advisory fees and other expenses, some of which may be incurred regardless of whether we successfully enter into a transaction.</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any strategic transactions that we may pursue could have a variety of negative consequences and we may enter into a transaction that yields unexpected results that adversely affects our business and decreases the remaining cash available for use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our business. There can be no assurances that any particular course of action, business arrangement or transaction, or series of transactions, will be pursued, successfully consummated, lead to increased stockholder value, or achieve the anticipated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not realize any additional value in a strategic transaction.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market capitalization of our company is below the value of our cash and cash equivalents. Potential counterparties in a strategic transaction involving our company may place minimal or no value on our assets, including the programs in our pipeline.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our company may choose not to spend additional resources and continue development of our product candidates and may attribute little or no value, in such a transaction, to those product candidates.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ability to pursue strategic transactions depends on our ability to retain our employees.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pursue strategic transactions depends upon our ability to retain our employees, the loss of whose services may adversely impact the ability to identify, negotiate and consummate such transaction. In January 2022, we restructured our organization, which significantly reduced our workforce in order to conserve our capital resources. Our cash conservation activities may yield unintended consequences, such as attrition beyond our planned reduction in workforce and reduced employee morale, which may cause remaining employees to seek alternative employment. If we are unable to successfully retain our remaining personnel, we are at risk of a disruption to our exploration and consummation of one or more strategic transactions as well as business operations.</w:t>
      </w:r>
    </w:p>
    <w:p>
      <w:pPr>
        <w:pStyle w:val="TextBody"/>
        <w:bidi w:val="0"/>
        <w:spacing w:before="120" w:after="0"/>
        <w:jc w:val="left"/>
        <w:rPr>
          <w:rFonts w:ascii="Times New Roman" w:hAnsi="Times New Roman"/>
          <w:sz w:val="20"/>
        </w:rPr>
      </w:pPr>
      <w:r>
        <w:rPr>
          <w:rFonts w:ascii="Times New Roman;serif" w:hAnsi="Times New Roman;serif"/>
          <w:b/>
          <w:i/>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and may be increasingly subject if we obtain FDA approval for any of our product candidates , to various federal and state fraud and abuse laws and regulations, including, without limitation, the federal Health Care Program Anti-Kickback Statute, the federal civil and criminal False Claims Act and Physician Payments Sunshine Act and regulations. See Section entitled “Business - Government Regulation - Other Healthcare Laws and Compliance Requirements in our Annual Report on Form 10-K for the year ended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laws will impact, among other things, our clinical trial programs, healthcare professional interactions, grant making activities, and our anticipated sales, marketing and medical educational programs. In addition, we may be subject to patient privacy laws by both the federal government and the states in which we conduct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or breached our contractual obligations, even if we are not found liable, could be expensive and time-consuming to defend and could result in adverse publicity that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European data collection is governed by restrictive regulations governing the use, processing and cross-border transfer of personal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plan to conduct clinical trials in the European Union, or EU, and the United Kingdom, or UK, and as a result will be subject to additional privacy restrictions. The collection, use, disclosure, transfer or other processing of personal health data in the EU and the UK is governed by the provisions of the GDPR (references to the GDPR include the “UK GDPR” unless specified otherwise).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 or the UK. Its definition of personal data includes coded data, requires changes to informed consent practices and detailed notices for clinical trial subjects and investigators. In addition, the GDPR imposes strict rules on the transfer of personal data out of the EU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 member states or the UK may make their own further laws and regulations limiting the processing of personal data, including genetic, biometric, or health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It is possible that over time the GDPR and the UK GDPR will diverge further. The UK government has announced plans to reform the data protection legal framework in the UK in its Data Reform Bill but this is not yet in final form. This lack of clarity on future UK laws and regulations and their interaction with EU laws and regulations could add legal risk, uncertainty, complexity and cost to our handling of personal information and our privacy and data security compliance programs and could require us to implement different compliance measures for the UK and the EU.</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enable the transfer of personal data outside of the EU or the UK, adequate safeguards must be implemented in compliance with the GDPR laws. On June 4, 2021, the EC issued new forms of standard contractual clauses for data transfers from controllers or processors in the EU (or otherwise subject to the GDPR) to controllers or processors established outside the EU (and not subject to the GDPR). As of December 27, 2022 the new standard contractual clauses replace the standard contractual clauses that were adopted previously under the EU Data Protection Directive. The UK is not subject to the EC’s new standard contractual clauses but has published the UK International Data Transfer Agreement and the International Data Transfer Addendum to the new standard contractual clauses (the “IDTA”), which enable transfers from the UK. For new transfers, the IDTA already needs to be in place, and it must be in place for all existing transfers from the UK from March 21, 2024. Companies relying on standard contractual clauses of IDTA to govern transfers of personal data to third countries (in particular the United States) will also need to assess whether the data importer can ensure sufficient guarantees for safeguarding the personal data under GDPR, including an analysis of the laws in the recipient’s country. We are required to implement these new safeguards when conducting restricted data transfers under the EU and UK GDPR and doing so will require significant effort and cost.</w:t>
      </w:r>
    </w:p>
    <w:p>
      <w:pPr>
        <w:pStyle w:val="TextBody"/>
        <w:bidi w:val="0"/>
        <w:spacing w:before="120" w:after="0"/>
        <w:jc w:val="left"/>
        <w:rPr>
          <w:rFonts w:ascii="Times New Roman" w:hAnsi="Times New Roman"/>
          <w:sz w:val="20"/>
        </w:rPr>
      </w:pPr>
      <w:r>
        <w:rPr>
          <w:rFonts w:ascii="Times New Roman;serif" w:hAnsi="Times New Roman;serif"/>
          <w:b w:val="false"/>
          <w:sz w:val="20"/>
        </w:rPr>
        <w:t>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challenges we face in Europe will likely also arise in other jurisdictions that adopt laws similar in construction to the GDPR or regulatory frameworks of equivalent complexity.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the UK is regarded as a third country under the EU GDPR, the EC has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w:t>
      </w:r>
    </w:p>
    <w:p>
      <w:pPr>
        <w:pStyle w:val="TextBody"/>
        <w:bidi w:val="0"/>
        <w:spacing w:before="120" w:after="0"/>
        <w:jc w:val="left"/>
        <w:rPr>
          <w:rFonts w:ascii="Times New Roman" w:hAnsi="Times New Roman"/>
          <w:sz w:val="20"/>
        </w:rPr>
      </w:pPr>
      <w:r>
        <w:rPr>
          <w:rFonts w:ascii="Times New Roman;serif" w:hAnsi="Times New Roman;serif"/>
          <w:b/>
          <w:i/>
          <w:sz w:val="20"/>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4"/>
        </w:rPr>
        <w:t>T</w:t>
      </w:r>
      <w:r>
        <w:rPr>
          <w:rFonts w:ascii="Times New Roman;serif" w:hAnsi="Times New Roman;serif"/>
          <w:b w:val="false"/>
          <w:sz w:val="20"/>
        </w:rPr>
        <w:t>he use of our product candidates including in clinical studies and the future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impairment of our business reputation;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withdrawal of clinical study participants;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due to related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distraction of management’s attention from our primary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awards to patients or other claimants;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commercialize our product candidates;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decreased demand for our product candidates, if approved for commercial sale. </w:t>
      </w:r>
    </w:p>
    <w:p>
      <w:pPr>
        <w:pStyle w:val="TextBody"/>
        <w:bidi w:val="0"/>
        <w:spacing w:before="120" w:after="0"/>
        <w:jc w:val="left"/>
        <w:rPr>
          <w:rFonts w:ascii="Times New Roman" w:hAnsi="Times New Roman"/>
          <w:sz w:val="20"/>
        </w:rPr>
      </w:pPr>
      <w:r>
        <w:rPr>
          <w:rFonts w:ascii="Times New Roman;serif" w:hAnsi="Times New Roman;serif"/>
          <w:b w:val="false"/>
          <w:sz w:val="20"/>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might not be able to utilize a significant portion of our net operating loss carryforwards and research and development tax credit carryforwards.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and 2021, we had federal and state net operating loss carryforwards of $340.4 million and $313.0 million, respectively, and federal research and development tax credit carryforwards of approximately $6.8 million and $6.2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Third-party claims of intellectual property infringement may prevent or delay our development and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manufacturing process or any final product itself, the holders of any such patents may be able to block our ability to commercialize such product candidate unless we obtained a license under the applicable patents, or until such patents expire.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rights to develop and commercialize our product candidates are subject, in part, to the terms and conditions of licenses granted to us by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and type 3 programs). In addition, we have in-licensed patents and patent applications from BioMarin Pharmaceutical Inc., or BioMarin (relevant to AVR-RD-03 and our Pompe program), GenStem Therapeutics, Inc., which was subsequently assigned to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necessary license agreement or if the agreement is terminated, we may be unable to successfully develop and commercialize the affected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and AVR-RD-05, we currently have no owned or in-licensed patents or patent applications covering AVR-RD-01, or AVR-RD-02, and the patent applications that we in-licensed related to AVR-RD-04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Issued patents covering our product candidates could be found invalid or unenforceable if challenged in court. We may not be able to protect our trade secrets in court.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partes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challenging the inventorship or ownership of the patents and other intellectual property that we own or 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to UCSD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Changes in U.S. patent law could diminish the value of patents in general, thereby impairing our ability to protect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do not obtain patent term extension and data exclusivity for our product candidates, our business may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Intellectual property rights and regulatory exclusivity rights do not necessarily address all potential threats.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gene therapy products that are similar to our product candidates but that are not covered by the claims of the patents that we license or may own or license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our license partners or current or future collaborators, might not have been the first to make the inventions covered by the issued patents or pending patent applications that we license or may own or license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our license partners or current or future collaborators, might not have been the first to file patent applications covering certain of our or their inventions;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it is possible that our pending licensed patent applications or those that we may own or license in the future will not lead to issued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hold rights to or may hold rights to in the future may be held invalid or unenforceable, including as a result of legal challenges by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one or more of our product candidates may never be protected by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additional proprietary technologies that are patentable;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patents of others may have an adverse effect on our business;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choose not to file a patent application for certain trade secrets or know-how, and a third party may subsequently file a patent application or obtain a patent covering such intellectual property. </w:t>
      </w:r>
    </w:p>
    <w:p>
      <w:pPr>
        <w:pStyle w:val="TextBody"/>
        <w:bidi w:val="0"/>
        <w:spacing w:before="120" w:after="0"/>
        <w:jc w:val="left"/>
        <w:rPr>
          <w:rFonts w:ascii="Times New Roman" w:hAnsi="Times New Roman"/>
          <w:sz w:val="20"/>
        </w:rPr>
      </w:pPr>
      <w:r>
        <w:rPr>
          <w:rFonts w:ascii="Times New Roman;serif" w:hAnsi="Times New Roman;serif"/>
          <w:b w:val="false"/>
          <w:sz w:val="20"/>
        </w:rPr>
        <w:t>Should any of these events occur, they could significantly harm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ownership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market price of our common stock may be highly volatile, and you may not be able to resell your shares at or above the price at which you purchased our shares.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stock price is likely to be volatile. Since our initial public offering, or IPO, in June 2018, through May 1, 2023,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COVID-19 pandemic;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results or delays in ongoing or planned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reports of adverse events in other gene therapy products or clinical studies of such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inability to obtain additional funding;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failure by us to comply with the terms of our Term Loan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successfully develop and commercialize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maintain our existing strategic collaborations or enter into new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or our licensors and strategic partners to prosecute, maintain or enforce our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laws or regulations applicable to future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inability to obtain adequate product supply for our product candidates or the inability to do so at acceptable prices;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regulatory decisions;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introduction of new products, services or technologies by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meet or exceed financial projections we may provide to the public;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meet or exceed the financial projections of the investment community;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perception of the pharmaceutical industry by the public, legislatures, regulators and the investment community;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of significant acquisitions, strategic partnerships, joint ventures or capital commitments by us, our strategic partners or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or other developments relating to proprietary rights, including patents, litigation matters and our ability to obtain patent protection for our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scientific or management personnel, or other skilled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lawsuits, including patent or stockholder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market valuations of similar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our common stock by us or our stockholders in the future;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trading volume of our common stock.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4"/>
        </w:rPr>
        <w:t>W</w:t>
      </w:r>
      <w:r>
        <w:rPr>
          <w:rFonts w:ascii="Times New Roman;serif" w:hAnsi="Times New Roman;serif"/>
          <w:b/>
          <w:i/>
          <w:sz w:val="20"/>
        </w:rPr>
        <w:t>e could be subject to securities class 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 active trading market for our common stock may not be sustained.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our IPO in June 2018, there had been no public market for our common stock. Although our common stock is listed on Nasdaq , an active trading market for our shares may never be sustained. If an active market for our common stock is not sustained, it may be difficult for you to sell shares you purchased without depressing the market price for the shares,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 inactive trading market may also impair our ability to raise capital to continue to fund operations by selling additional shares and may impair our ability to acquire other companies or technologies by using our shares as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securities or industry analysts do not publish research or publish inaccurate or unfavorable research about our business, our share price and trading volume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4"/>
        </w:rPr>
        <w:t>C</w:t>
      </w:r>
      <w:r>
        <w:rPr>
          <w:rFonts w:ascii="Times New Roman;serif" w:hAnsi="Times New Roman;serif"/>
          <w:b/>
          <w:i/>
          <w:sz w:val="20"/>
        </w:rPr>
        <w:t>oncentration of ownership of our common stock among our existing executive officers, directors and principal stockholders may prevent new investors from influencing significant corporate decisions.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Based on shares outstanding as of May 2, 2023, our executive officers, directors, five percent stockholders and their affiliates beneficially owned approximately 29%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an “emerging growth company,” and the reduced disclosure requirements applicable to emerging growth companies may make our common stock less attractive to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or EGC, as defined in the JOBS Act. We will remain an EGC until the earliest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not being required to comply with the auditor attestation requirements of Section 404 of the Sarbanes-Oxley Act, or Section 404;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disclosure obligations regarding executive compensation;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 exemption from the requirement to seek nonbinding advisory votes on executive compensation or golden parachute arrangements.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choose to take advantage of some, but not all, of the available exemptions. We have taken advantage of reduced reporting burdens in this Quarterly Report, or our Annual Report or 2023 Proxy Statement. In particular, we have not included in this Quarterly Report, and do not intend to include in our 2023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expect to continue to incur increased costs as a result of operating as a public company, and our management is required to devote substantial time to new compliance initiatives.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disclosure controls and procedures are designed to reasonably assure that information required to be disclosed by us in reports we file or submit under the Exchange Act is accumulated and communicated to management, recorded, processed, summarized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 significant portion of our total outstanding shares are restricted from immediate resale but may be sold into the market in the near future, which could cause the market price of our common stock to drop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1, 2023,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do not intend to pay dividends on our common stock, so any returns will be limited to the value of our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create a classified board of directors whose members serve staggered three-year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specify that special meetings of our stockholders can be called only by our board of directors, the chairperson of our board of directors, our chief executive officer or our president;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prohibit stockholder action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our directors may be removed only for cause;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vacancies on our board of directors may be filled only by a majority of directors then in office, even though less than a quorum;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specify that no stockholder is permitted to cumulate votes at any election of directors;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These provisions, alone or together, could delay or prevent hostile takeovers and changes in control or changes in our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failure to meet Nasdaq’s continued listing requirements could result in a delisting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On February 23, 2023, we received a written notice from the Staff notifying us that for 10 consecutive business days, from February 8, 2023 to February 22, 2023, the closing bid price of our common stock was at $1.00 per share or greater, and accordingly, the Staff advised us that we had regained compliance with the Minimum Bid Price Requirement.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11, 2023, we received a written notice from the Staff notifying us that, for the 30 consecutive business day period between March 29, 2023 through May 10, 2023, our common stock had not complied with the Minimum Bid Price Requirement.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accordance with Nasdaq Listing Rule 5810(c)(3)(A), the Company has 180 calendar days, or until November 7, 2023, or the Compliance Date, to regain compliance with the Minimum Bid Price Requirement. According to the written notice, if, at any time during this 180-day period, the closing bid price for the common stock is at least $1.00 per share for a minimum of ten consecutive business days, the Staff will provide written confirmation of compliance and the common stock will remain listed on Nasdaq.</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do not regain compliance with the Minimum Bid Price Requirement by the Compliance Date, we may be eligible for an additional 180 calendar day compliance period. To qualify, we would be required to transfer our listing to The Nasdaq Capital Market and meet the continued listing requirement for the market value of publicly held shares and all other applicable initial listing standards for The Nasdaq Capital Market, with the exception of the Minimum Bid Price Requirement, and we would need to provide written notice to Nasdaq of our intention to cure the deficiency during the additional 180-day compliance period, such as by effecting a reverse stock split, if necessary. If the Staff determines that we will not be able to cure the deficiency, then the Staff will provide us written notice that our common stock will be subject to delisting. At that time, we may appeal the Staff’s delisting determination to a Nasdaq Hearing Panel. There can be no assurance that, if we receive a delisting notice and appeal the delisting determination by the Staff to the Nasdaq Hearing Panel, such appeal would be successful.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monitor the closing bid price of our common stock and may, if appropriate, consider available options to regain compliance with the Minimum Bid Price Requirement. However, we can provide no assurance that actions taken or not taken by us will restore compliance with Nasdaq’s listing requirements, stabilize the market price of our common stock, improve the liquidity of our common stock or prevent future non-compliance with Nasdaq’s listing requirements.</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br/>
        <w:br/>
      </w:r>
      <w:r>
        <w:rPr>
          <w:rFonts w:ascii="Times New Roman" w:hAnsi="Times New Roman"/>
          <w:sz w:val="20"/>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rFonts w:ascii="Times New Roman" w:hAnsi="Times New Roman"/>
          <w:sz w:val="20"/>
        </w:rPr>
      </w:pPr>
      <w:r>
        <w:rPr>
          <w:rFonts w:ascii="Times New Roman;serif" w:hAnsi="Times New Roman;serif"/>
          <w:b/>
          <w:i/>
          <w:sz w:val="20"/>
        </w:rPr>
        <w:t>Unfavorable global economic conditions could adversely affect our business, financial condition or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internal computer systems, or those of our collaborators or other contractors or consultants, may fail or suffer security breaches, which could result in a material disruption of our product development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tax law could adversely affect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May 11, 2023, we received a written notice from the Staff of Nasdaq’s Listing Qualifications Department, notifying us that, for the 30 consecutive business day period between March 29, 2023 through May 10, 2023, the Company’s common stock had not maintained a minimum bid price of $1.00 per share, required for continued listing on The Nasdaq Global Select Market pursuant to the Minimum Bid Price Requirement. The Nasdaq’s written notice does not result in the immediate delisting of our common stock from The Nasdaq Global Select Market; however, an indicator of the Company’s non-compliance will be displayed with quotation information related to our common stock on NASDAQ.com and NASDAQTrader.com. We intend to monitor the closing bid price of our common stock and may, if appropriate, consider available options to regain compliance with the Minimum Bid Price Requirement. See section entitled “Risk Factors – Risks related to ownership of our common stock – Our failure to meet Nasdaq’s continued listing requirements could result in a delisting of our common stock” in this Quarterly Report on Form 10-Q.</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146"/>
        <w:gridCol w:w="9280"/>
      </w:tblGrid>
      <w:tr>
        <w:trPr/>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0"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Fourth Amended and Restated Certificate of Incorporation of the Registrant (filed as Exhibit 3.1 to our Current Report on Form 8-K filed on J</w:t>
              </w:r>
            </w:hyperlink>
            <w:hyperlink r:id="rId3">
              <w:r>
                <w:rPr>
                  <w:rStyle w:val="InternetLink"/>
                  <w:rFonts w:ascii="Times New Roman;serif" w:hAnsi="Times New Roman;serif"/>
                  <w:b w:val="false"/>
                  <w:sz w:val="24"/>
                  <w:u w:val="single"/>
                </w:rPr>
                <w:t>une</w:t>
              </w:r>
            </w:hyperlink>
            <w:hyperlink r:id="rId4">
              <w:r>
                <w:rPr>
                  <w:rStyle w:val="InternetLink"/>
                  <w:rFonts w:ascii="Times New Roman" w:hAnsi="Times New Roman"/>
                  <w:sz w:val="24"/>
                  <w:u w:val="single"/>
                </w:rPr>
                <w:t xml:space="preserve"> </w:t>
              </w:r>
            </w:hyperlink>
            <w:hyperlink r:id="rId5">
              <w:r>
                <w:rPr>
                  <w:rStyle w:val="InternetLink"/>
                  <w:rFonts w:ascii="Times New Roman;serif" w:hAnsi="Times New Roman;serif"/>
                  <w:b w:val="false"/>
                  <w:sz w:val="20"/>
                  <w:u w:val="single"/>
                </w:rPr>
                <w:t>25, 2018 and incorporated herein by reference).</w:t>
              </w:r>
            </w:hyperlink>
            <w:hyperlink r:id="rId6">
              <w:r>
                <w:rPr>
                  <w:rStyle w:val="InternetLink"/>
                  <w:rFonts w:ascii="Times New Roman" w:hAnsi="Times New Roman"/>
                  <w:sz w:val="24"/>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Certificate of Change of Registered Agent and/or Registered Office of the Registrant (filed as Exhibit 3.2 to our Quarterly Report on Form 10-Q filed on November 5, 2020 (File No. 001-38537) and incorporated herein by reference).</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Amended and Restated By-laws of the Registrant (filed as Exhibit 3.2 to our Current Report on Form 8-K filed on June 25, 2018 and incorporated herein by reference).</w:t>
              </w:r>
            </w:hyperlink>
            <w:hyperlink r:id="rId9">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31_1.htm">
              <w:r>
                <w:rPr>
                  <w:rStyle w:val="InternetLink"/>
                  <w:rFonts w:ascii="Times New Roman;serif" w:hAnsi="Times New Roman;serif"/>
                  <w:b w:val="false"/>
                  <w:sz w:val="20"/>
                  <w:u w:val="single"/>
                </w:rPr>
                <w:t>Certification of Principal Executive Officer and Principal Financial Officer Pursuant to Rules 13a-14(a) and 15d-14(a) under the Securities Exchange Act of 1934, as Adopted Pursuant to Section 302 of the Sarbanes-Oxley Act of 2002.</w:t>
              </w:r>
            </w:hyperlink>
            <w:hyperlink w:anchor="avro-ex31_1.htm">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hyperlink w:anchor="avro-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hyperlink w:anchor="avro-ex32_1.htm">
              <w:r>
                <w:rPr>
                  <w:rStyle w:val="InternetLink"/>
                  <w:rFonts w:ascii="Times New Roman" w:hAnsi="Times New Roman"/>
                  <w:sz w:val="20"/>
                </w:rPr>
                <w:t xml:space="preserve"> </w:t>
              </w:r>
            </w:hyperlink>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Interactive Data Files pursuant to Rule 405 of Regulation S-T formatted in Inline Extensible Business Reporting Language (“Inline XBRL”).</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Indicates a management contract or any compensatory plan, contract or arrangement.</w:t>
      </w:r>
    </w:p>
    <w:p>
      <w:pPr>
        <w:pStyle w:val="TextBody"/>
        <w:bidi w:val="0"/>
        <w:spacing w:before="40" w:after="0"/>
        <w:jc w:val="left"/>
        <w:rPr>
          <w:rFonts w:ascii="Times New Roman" w:hAnsi="Times New Roman"/>
          <w:sz w:val="20"/>
        </w:rPr>
      </w:pPr>
      <w:r>
        <w:rPr>
          <w:rFonts w:ascii="Times New Roman;serif" w:hAnsi="Times New Roman;serif"/>
          <w:b w:val="false"/>
          <w:sz w:val="20"/>
        </w:rPr>
        <w:t>* Indicates the exhibit is being furnished, not filed, with this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9314" w:type="dxa"/>
        <w:jc w:val="left"/>
        <w:tblInd w:w="0" w:type="dxa"/>
        <w:tblLayout w:type="fixed"/>
        <w:tblCellMar>
          <w:top w:w="28" w:type="dxa"/>
          <w:left w:w="28" w:type="dxa"/>
          <w:bottom w:w="28" w:type="dxa"/>
          <w:right w:w="28" w:type="dxa"/>
        </w:tblCellMar>
      </w:tblPr>
      <w:tblGrid>
        <w:gridCol w:w="1741"/>
        <w:gridCol w:w="406"/>
        <w:gridCol w:w="146"/>
        <w:gridCol w:w="702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7573"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AVROBIO, INC.</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2" w:name="avro-ex31_1.htm"/>
      <w:bookmarkStart w:id="23" w:name="ksavroex31_1"/>
      <w:bookmarkEnd w:id="22"/>
      <w:bookmarkEnd w:id="23"/>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Erik Ostrowski,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AVROBIO,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9314" w:type="dxa"/>
        <w:jc w:val="left"/>
        <w:tblInd w:w="0" w:type="dxa"/>
        <w:tblLayout w:type="fixed"/>
        <w:tblCellMar>
          <w:top w:w="28" w:type="dxa"/>
          <w:left w:w="28" w:type="dxa"/>
          <w:bottom w:w="28" w:type="dxa"/>
          <w:right w:w="28" w:type="dxa"/>
        </w:tblCellMar>
      </w:tblPr>
      <w:tblGrid>
        <w:gridCol w:w="1741"/>
        <w:gridCol w:w="406"/>
        <w:gridCol w:w="146"/>
        <w:gridCol w:w="702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741"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7021"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741"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avro-ex32_1.htm"/>
      <w:bookmarkStart w:id="25" w:name="ksavroex32_1"/>
      <w:bookmarkEnd w:id="24"/>
      <w:bookmarkEnd w:id="25"/>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AVROBIO, Inc. (the “Company”) on Form 10-Q for the period ending March 31, 2023 as filed with the Securities and Exchange Commission on the date hereof (the “Report”), the undersigned officer of the Company certifies, pursuant to 18 U.S.C. § 1350, as adopted pursuant to § 906 of the Sarbanes-Oxley Act of 2002, to the best of his knowledge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9314" w:type="dxa"/>
        <w:jc w:val="left"/>
        <w:tblInd w:w="0" w:type="dxa"/>
        <w:tblLayout w:type="fixed"/>
        <w:tblCellMar>
          <w:top w:w="28" w:type="dxa"/>
          <w:left w:w="28" w:type="dxa"/>
          <w:bottom w:w="28" w:type="dxa"/>
          <w:right w:w="28" w:type="dxa"/>
        </w:tblCellMar>
      </w:tblPr>
      <w:tblGrid>
        <w:gridCol w:w="1741"/>
        <w:gridCol w:w="406"/>
        <w:gridCol w:w="146"/>
        <w:gridCol w:w="702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Erik Ostrowski</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Erik Ostrowski</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Interim Chief Executive Officer, Chief Financial Officer and Treasurer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Financial, and Accounting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167" w:type="dxa"/>
            <w:gridSpan w:val="2"/>
            <w:tcBorders/>
            <w:vAlign w:val="center"/>
          </w:tcPr>
          <w:p>
            <w:pPr>
              <w:pStyle w:val="TableContents"/>
              <w:bidi w:val="0"/>
              <w:spacing w:before="0" w:after="0"/>
              <w:ind w:left="0" w:right="0" w:hanging="0"/>
              <w:jc w:val="center"/>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21"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18202460/d153924dex31.htm" TargetMode="External"/><Relationship Id="rId3" Type="http://schemas.openxmlformats.org/officeDocument/2006/relationships/hyperlink" Target="https://www.sec.gov/Archives/edgar/data/1681087/000119312518202460/d153924dex31.htm" TargetMode="External"/><Relationship Id="rId4" Type="http://schemas.openxmlformats.org/officeDocument/2006/relationships/hyperlink" Target="https://www.sec.gov/Archives/edgar/data/1681087/000119312518202460/d153924dex31.htm" TargetMode="External"/><Relationship Id="rId5" Type="http://schemas.openxmlformats.org/officeDocument/2006/relationships/hyperlink" Target="https://www.sec.gov/Archives/edgar/data/1681087/000119312518202460/d153924dex31.htm" TargetMode="External"/><Relationship Id="rId6" Type="http://schemas.openxmlformats.org/officeDocument/2006/relationships/hyperlink" Target="https://www.sec.gov/Archives/edgar/data/1681087/000119312518202460/d153924dex31.htm" TargetMode="External"/><Relationship Id="rId7" Type="http://schemas.openxmlformats.org/officeDocument/2006/relationships/hyperlink" Target="https://www.sec.gov/Archives/edgar/data/1681087/000156459020051456/avro-ex32_90.htm" TargetMode="External"/><Relationship Id="rId8" Type="http://schemas.openxmlformats.org/officeDocument/2006/relationships/hyperlink" Target="https://www.sec.gov/Archives/edgar/data/1681087/000119312518202460/d153924dex32.htm" TargetMode="External"/><Relationship Id="rId9" Type="http://schemas.openxmlformats.org/officeDocument/2006/relationships/hyperlink" Target="https://www.sec.gov/Archives/edgar/data/1681087/000119312518202460/d153924dex3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58799</Words>
  <Characters>326004</Characters>
  <CharactersWithSpaces>384821</CharactersWithSpaces>
  <Paragraphs>3756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