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4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450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Ruddy Marcella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26,500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79,747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24,250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27.41</w:t>
            </w: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03/04/2026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24,250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03/03/2036</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24,250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March 4, 2027, March 4, 2028 and March 4, 2029, subject to the Reporting Person's continued service to the Issuer on each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April 4, 2026, subject to the Reporting Person's continued service to the Issuer on each such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03/05/2026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3849"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2026-03-05T16:43:11Z</dcterms:created>
  <dcterms:modified xsi:type="dcterms:W3CDTF">2026-03-05T16:43:11Z</dcterms:modified>
</cp:coreProperties>
</file>