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 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333-288539</w:t>
      </w:r>
    </w:p>
    <w:p>
      <w:pPr>
        <w:spacing w:after="0" w:line="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(To Prospectus dated July 15, 2025)</w:t>
      </w:r>
    </w:p>
    <w:p>
      <w:pPr>
        <w:spacing w:after="0" w:line="200" w:lineRule="exact"/>
        <w:rPr>
          <w:sz w:val="24"/>
          <w:szCs w:val="24"/>
          <w:color w:val="auto"/>
        </w:rPr>
      </w:pPr>
    </w:p>
    <w:p>
      <w:pPr>
        <w:spacing w:after="0" w:line="2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178435</wp:posOffset>
            </wp:positionV>
            <wp:extent cx="2040255"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25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7"/>
          <w:szCs w:val="17"/>
          <w:color w:val="auto"/>
        </w:rPr>
        <w:t>We have entered into a sales agreement with TD Securities (USA) LLC (“TD Cowen”), dated as of July 7, 2025 (the “sales agreement”), relating to the sale of shares of our common stock, par value $0.0001 per share (the “common stock”), offered by this prospectus supplement. In accordance with the terms of the sales agreement, we may offer and sell shares of our common stock under this prospectus supplement having an aggregate gross sales price of up to $100,000,000 from time to time through TD Cowen acting as our sales agent or principal.</w:t>
      </w:r>
    </w:p>
    <w:p>
      <w:pPr>
        <w:spacing w:after="0" w:line="182" w:lineRule="exact"/>
        <w:rPr>
          <w:sz w:val="24"/>
          <w:szCs w:val="24"/>
          <w:color w:val="auto"/>
        </w:rPr>
      </w:pPr>
    </w:p>
    <w:p>
      <w:pPr>
        <w:ind w:left="120" w:right="360" w:firstLine="440"/>
        <w:spacing w:after="0" w:line="281" w:lineRule="auto"/>
        <w:rPr>
          <w:sz w:val="20"/>
          <w:szCs w:val="20"/>
          <w:color w:val="auto"/>
        </w:rPr>
      </w:pPr>
      <w:r>
        <w:rPr>
          <w:rFonts w:ascii="Times New Roman" w:cs="Times New Roman" w:eastAsia="Times New Roman" w:hAnsi="Times New Roman"/>
          <w:sz w:val="17"/>
          <w:szCs w:val="17"/>
          <w:color w:val="auto"/>
        </w:rPr>
        <w:t>Our common stock is listed on the Nasdaq Global Market (“Nasdaq”) under the symbol “TECX.” On July 14, 2025, the last reported sale price of our common stock on Nasdaq was $23.12 per share.</w:t>
      </w:r>
    </w:p>
    <w:p>
      <w:pPr>
        <w:spacing w:after="0" w:line="163" w:lineRule="exact"/>
        <w:rPr>
          <w:sz w:val="24"/>
          <w:szCs w:val="24"/>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7"/>
          <w:szCs w:val="17"/>
          <w:color w:val="auto"/>
        </w:rPr>
        <w:t>Sales of our common stock, if any, under this prospectus supplement will be made in negotiated transactions, including block trades or block sales, or at market prices by any method that is deemed to be an “at the market offering” as defined in Rule 415(a)(4) promulgated under the Securities Act of 1933, as amended (the “Securities Act”), including without limitation sales made through Nasdaq or on any other trading market for our common stock, or by any other method permitted by law. TD Cowen is not required to sell any specific amount of securities, but will act as our sales agent using commercially reasonable efforts consistent with its normal trading and sales practices, on mutually agreed terms between TD Cowen and us. There is no arrangement for funds to be received in any escrow, trust or similar arrangement.</w:t>
      </w:r>
    </w:p>
    <w:p>
      <w:pPr>
        <w:spacing w:after="0" w:line="185" w:lineRule="exact"/>
        <w:rPr>
          <w:sz w:val="24"/>
          <w:szCs w:val="24"/>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7"/>
          <w:szCs w:val="17"/>
          <w:color w:val="auto"/>
        </w:rPr>
        <w:t>The compensation to TD Cowen for sales of common stock pursuant to the sales agreement will be an amount up to 3.0% of the gross proceeds of any shares of common stock sold under the sales agreement. In connection with the sale of the common stock on our behalf, TD Cowen will be deemed to be an “underwriter” within the meaning of the Securities Act and the compensation of TD Cowen will be deemed to be underwriting commissions or discounts. We have also agreed to provide indemnification and contribution to TD Cowen with respect to certain liabilities, including liabilities under the Securities Act or the Securities Exchange Act of 1934, as amended (the “Exchange Act”).</w:t>
      </w:r>
    </w:p>
    <w:p>
      <w:pPr>
        <w:spacing w:after="0" w:line="186" w:lineRule="exact"/>
        <w:rPr>
          <w:sz w:val="24"/>
          <w:szCs w:val="24"/>
          <w:color w:val="auto"/>
        </w:rPr>
      </w:pPr>
    </w:p>
    <w:p>
      <w:pPr>
        <w:ind w:left="120" w:right="80" w:firstLine="440"/>
        <w:spacing w:after="0" w:line="265" w:lineRule="auto"/>
        <w:rPr>
          <w:sz w:val="20"/>
          <w:szCs w:val="20"/>
          <w:color w:val="auto"/>
        </w:rPr>
      </w:pPr>
      <w:r>
        <w:rPr>
          <w:rFonts w:ascii="Times New Roman" w:cs="Times New Roman" w:eastAsia="Times New Roman" w:hAnsi="Times New Roman"/>
          <w:sz w:val="17"/>
          <w:szCs w:val="17"/>
          <w:color w:val="auto"/>
        </w:rPr>
        <w:t>We are a “smaller reporting company” under the federal securities laws and, as such, we have elected to comply with certain reduced public company reporting requirements for this prospectus supplement and for future filings. See ‘‘Prospectus Summary—Implications of Being a Smaller Reporting Company” on page S-2 of this prospectus supplement.</w:t>
      </w:r>
    </w:p>
    <w:p>
      <w:pPr>
        <w:spacing w:after="0" w:line="172" w:lineRule="exact"/>
        <w:rPr>
          <w:sz w:val="24"/>
          <w:szCs w:val="24"/>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a high degree of risk. Before making an investment decision, you should carefully review the risks and uncertainties described under the heading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S-4 of this prospectus supplement and under similar headings in the documents that we have filed or that are filed after the date hereof and are incorporated by reference into this prospectus supplement.</w:t>
      </w:r>
    </w:p>
    <w:p>
      <w:pPr>
        <w:spacing w:after="0" w:line="171" w:lineRule="exact"/>
        <w:rPr>
          <w:sz w:val="24"/>
          <w:szCs w:val="24"/>
          <w:color w:val="auto"/>
        </w:rPr>
      </w:pPr>
    </w:p>
    <w:p>
      <w:pPr>
        <w:ind w:left="120" w:right="680" w:firstLine="440"/>
        <w:spacing w:after="0" w:line="286"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200660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2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July 15, 2025</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4"/>
            <w:vMerge w:val="restart"/>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4"/>
            <w:vMerge w:val="continue"/>
          </w:tcPr>
          <w:p>
            <w:pPr>
              <w:spacing w:after="0"/>
              <w:rPr>
                <w:sz w:val="14"/>
                <w:szCs w:val="14"/>
                <w:color w:val="auto"/>
              </w:rPr>
            </w:pPr>
          </w:p>
        </w:tc>
        <w:tc>
          <w:tcPr>
            <w:tcW w:w="7120" w:type="dxa"/>
            <w:vAlign w:val="bottom"/>
            <w:gridSpan w:val="4"/>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28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2"/>
          </w:tcPr>
          <w:p>
            <w:pPr>
              <w:spacing w:after="0"/>
              <w:rPr>
                <w:sz w:val="17"/>
                <w:szCs w:val="17"/>
                <w:color w:val="auto"/>
              </w:rPr>
            </w:pPr>
          </w:p>
        </w:tc>
        <w:tc>
          <w:tcPr>
            <w:tcW w:w="5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70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1580" w:type="dxa"/>
            <w:vAlign w:val="bottom"/>
            <w:gridSpan w:val="5"/>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45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6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1056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34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8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2"/>
          </w:tcPr>
          <w:p>
            <w:pPr>
              <w:spacing w:after="0"/>
              <w:rPr>
                <w:sz w:val="17"/>
                <w:szCs w:val="17"/>
                <w:color w:val="auto"/>
              </w:rPr>
            </w:pPr>
          </w:p>
        </w:tc>
        <w:tc>
          <w:tcPr>
            <w:tcW w:w="5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480" w:type="dxa"/>
            <w:vAlign w:val="bottom"/>
            <w:gridSpan w:val="9"/>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2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754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9800" w:type="dxa"/>
            <w:vAlign w:val="bottom"/>
            <w:gridSpan w:val="1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800" w:type="dxa"/>
            <w:vAlign w:val="bottom"/>
            <w:gridSpan w:val="15"/>
            <w:shd w:val="clear" w:color="auto" w:fill="0000EE"/>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are part of a registration statement that we have filed with the U.S. Securities and Exchange Commission (the “SEC”), utilizing a “shelf” registration process. Under the shelf registration statement, we may offer shares of our common stock, preferred stock, debt securities and warrants, including common stock or preferred stock upon conversion of debt securities, common stock upon conversion of preferred stock, or common stock, preferred stock or debt securities upon the exercise of warrants. Under this prospectus supplement, we may offer shares of our common stock having an aggregate gross proceeds of up to $100,000,000 from time to time at prices and on terms to be determined by market conditions at the time of offering.</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relate to the offering of our common stock. Before buying any of the common stock that we are offering, we urge you to carefully read this prospectus supplement and the accompanying base prospectus, together with the information incorporated by reference herein and therein as described under the headings “Where You Can Find More Information” and “Incorporation of Certain Information by Reference” in this prospectus supplement and the accompanying base prospectus. These documents contain important information that you should consider when making your investment decision.</w:t>
      </w:r>
    </w:p>
    <w:p>
      <w:pPr>
        <w:spacing w:after="0" w:line="183"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This prospectus supplement describes the terms of this offering of common stock and also adds to and updates information contained in the accompanying base prospectus and the documents incorporated by reference into this prospectus supplement and the accompanying base prospectus. If there is a conflict between the information contained in this prospectus supplement and the information contained in the accompanying base prospectus, you should rely on the information in this prospectus supplement. To the extent there is a conflict between the information contained in this prospectus supplement, on the one hand, and the information contained in any document incorporated by reference into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into this prospectus supplement) the statement in the document having the later date modifies or supersedes the earlier statement.</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and TD Cowen has not, authorized anyone to provide you with information in addition to or different from that contained in or incorporated by reference into this prospectus supplement. We are not, and TD Cowen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supplement, the documents incorporated by reference into this prospectus supplement,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w:t>
      </w:r>
    </w:p>
    <w:p>
      <w:pPr>
        <w:spacing w:after="0" w:line="188"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supplement to the “Company,” “Tectonic,” “we,” “us” and “our” refer to Tectonic Therapeutic, Inc.</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information contained in, or incorporated by reference into, this prospectus supplement relates to or is based on studies, publications, surveys and other data obtained from third-party sources and our own internal estimates and research. While we believe these third-party sources to be reliable as of the date of this prospectus supplement, we have not independently verified the market and industry data contained in this prospectus supplement or the underlying assumptions relied on therein. Finally, while we believe our own internal research is reliable, such research has not been verified by any independent source. Notwithstanding the foregoing, we are liable for the information provided in this prospectus supplement.</w:t>
      </w:r>
    </w:p>
    <w:p>
      <w:pPr>
        <w:spacing w:after="0" w:line="200" w:lineRule="exact"/>
        <w:rPr>
          <w:sz w:val="20"/>
          <w:szCs w:val="20"/>
          <w:color w:val="auto"/>
        </w:rPr>
      </w:pPr>
    </w:p>
    <w:p>
      <w:pPr>
        <w:spacing w:after="0" w:line="2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0960"/>
          </w:cols>
          <w:pgMar w:left="320" w:top="455"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or incorporated by reference into this prospectus supplement.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the accompanying base prospectus, including the information incorporated by reference herein and therein, and the information included in any free writing prospectus that we have authorized for use in connection with this offering, including the information under the heading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i w:val="1"/>
          <w:iCs w:val="1"/>
          <w:color w:val="auto"/>
        </w:rPr>
        <w:t>” in this prospectus supplement beginning on page S-4 and in the documents incorporated by reference into this prospectus supplement.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40" w:firstLine="426"/>
        <w:spacing w:after="0" w:line="236" w:lineRule="auto"/>
        <w:rPr>
          <w:sz w:val="20"/>
          <w:szCs w:val="20"/>
          <w:color w:val="auto"/>
        </w:rPr>
      </w:pPr>
      <w:r>
        <w:rPr>
          <w:rFonts w:ascii="Times New Roman" w:cs="Times New Roman" w:eastAsia="Times New Roman" w:hAnsi="Times New Roman"/>
          <w:sz w:val="18"/>
          <w:szCs w:val="18"/>
          <w:color w:val="auto"/>
        </w:rPr>
        <w:t>We are a clinical-stage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w:t>
      </w:r>
    </w:p>
    <w:p>
      <w:pPr>
        <w:spacing w:after="0" w:line="200"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Our lead asset, TX45, is an Fc-relaxin fusion molecule that activates the RXFP1 receptor, the GPCR target of the hormone, relaxin. In September 2024, we announced favorable results from a Phase 1a trial evaluating safety, tolerability and pharmacokinetic (“PK”) and pharmacodynamic (“PD”) properties for TX45. In this trial, TX45 was well-tolerated with no drug-related severe adverse events, no observed immunogenicity and demonstrated a favorable PK/PD relationship. Renal plasma flow was measured in each patient at several time points as a PD marker. This data was used to develop an exposure-response model which enabled the selection of doses for the APEX Phase 2 trial.</w:t>
      </w:r>
    </w:p>
    <w:p>
      <w:pPr>
        <w:spacing w:after="0" w:line="183"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are currently evaluating TX45 in a Phase 1b Part B hemodynamic clinical trial and in the APEX Phase 2 clinical trial. Part A of the TX45 Phase 1b hemodynamic clinical trial was a single intravenous dose, open-label clinical trial that evaluated the safety, tolerability, and acute hemodynamic effects of TX45 in subjects with Group 2 Pulmonary Hypertension in Heart Failure with preserved Ejection Fraction (“PH-HFpEF”). Part B which is still enrolling has a similar design but is being conducted in subjects with Group 2 Pulmonary Hypertension in Heart Failure with reduced Ejection Fraction (“PH-HFrEF”). APEX is a 24-week, placebo-controlled trial designed to evaluate the safety and efficacy of TX45 administered subcutaneously (“SC”) in subjects with PH-HFpEF. In May 2025, we announced the complete results from Part A of the Phase 1b clinical trial of TX45 in subjects with PH-HFpEF. The complete data from Part A confirmed the tolerability and hemodynamic effects of TX45 in patients with PH-HFpEF previously reported in the interim data. Based on the complete dataset, TX45 was well-tolerated in subjects with PH-HFpEF with no serious or severe adverse events. In the overall study population, TX45 achieved a 19.0% reduction in pulmonary capillary wedge pressure (“PCWP”), an endpoint known to correlate with exercise capacity, morbidity and mortality in patients with heart failure. In the subpopulation with combined pre- and post-capillary pulmonary hypertension who have an elevated Pulmonary Vascular Resistance (“PVR”) and more severe disease, TX45 demonstrated &gt;30% reduction in PVR, which along with PCWP is correlated to exercise capacity and mortality in this patient population. The Phase 1b Part A clinical trial enrolled a patient population and evaluated hemodynamic endpoints which are similar to the ongoing APEX Phase 2 clinical trial. We dosed our first patient in the APEX Phase 2 clinical trial in October 2024. Subjects will be randomized to 300 mg SC once monthly of TX45, 300 mg SC once every other week of TX45, or placebo. We expect topline trial results from the APEX clinical trial in 2026. Part B of the Phase 1b trial,</w:t>
      </w:r>
    </w:p>
    <w:p>
      <w:pPr>
        <w:spacing w:after="0" w:line="3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00"/>
        <w:spacing w:after="0" w:line="282" w:lineRule="auto"/>
        <w:rPr>
          <w:sz w:val="20"/>
          <w:szCs w:val="20"/>
          <w:color w:val="auto"/>
        </w:rPr>
      </w:pPr>
      <w:r>
        <w:rPr>
          <w:rFonts w:ascii="Times New Roman" w:cs="Times New Roman" w:eastAsia="Times New Roman" w:hAnsi="Times New Roman"/>
          <w:sz w:val="18"/>
          <w:szCs w:val="18"/>
          <w:color w:val="auto"/>
        </w:rPr>
        <w:t>which is assessing the acute hemodynamic effects of TX45 in subjects with Group 2 PH-HFrEF enrolled its first patient in the first half of 2025 with data expected to be announced in the second half of 2025.</w:t>
      </w:r>
    </w:p>
    <w:p>
      <w:pPr>
        <w:spacing w:after="0" w:line="162"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are also evaluating TX002100 (“TX2100”) as our second development candidate for the treatment of Hereditary Hemorrhagic Telangiectasia (“HHT”), the second most common genetic bleeding disorder with no current approved therapy. TX2100 is a VHH-Fc fusion antagonist antibody that binds to an undisclosed GPCR target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Both Investigational New Drug (“IND”)-enabling non-human primate good laboratory practices toxicology studies and technical development activities to generate good manufacturing practice drug supply and drug product for TX2100 started in the second quarter of 2025. We expect to initiate a Phase 1 clinical trial for TX2100 in the fourth quarter of 2025 or the first quarter of 2026, subject to the results of IND-enabling studies.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November 2015. Legacy Tectonic (as defined below) was incorporated under the laws of the State of Delaware in June 2019. On January 30, 2024, we entered into the Agreement and Plan of Merger and Reorganization (the “Merger Agreement”) with Tectonic Operating Company, Inc. (previously Tectonic Therapeutic, Inc., referred to as “Legacy Tectonic”) and Alpine Merger Subsidiary, Inc. (“Merger Sub”). Pursuant to the Merger Agreement, on June 20, 2024, Merger Sub merged with and into Legacy Tectonic, with Legacy Tectonic surviving as our wholly owned subsidiary (the “Merger”). In connection with the completion of the Merger, we changed our name from “AVROBIO, Inc.” to “Tectonic Therapeutic, Inc.” Our principal executive office is located at 490 Arsenal Way, Suite 210, Watertown, Massachusetts 02472, and our telephone number is (339) 666-3320. Our website address is www.tectonictx.com. We do not incorporate the information on or accessible through our website into this prospectus supplement, and you should not consider any information on, or that can be accessed through, our website as part of this prospectus supplement. Our common stock is listed on Nasdaq under the symbol “TECX.”</w:t>
      </w:r>
    </w:p>
    <w:p>
      <w:pPr>
        <w:spacing w:after="0" w:line="194" w:lineRule="exact"/>
        <w:rPr>
          <w:sz w:val="20"/>
          <w:szCs w:val="20"/>
          <w:color w:val="auto"/>
        </w:rPr>
      </w:pPr>
    </w:p>
    <w:p>
      <w:pPr>
        <w:ind w:left="300" w:firstLine="426"/>
        <w:spacing w:after="0" w:line="233" w:lineRule="auto"/>
        <w:rPr>
          <w:sz w:val="20"/>
          <w:szCs w:val="20"/>
          <w:color w:val="auto"/>
        </w:rPr>
      </w:pPr>
      <w:r>
        <w:rPr>
          <w:rFonts w:ascii="Times New Roman" w:cs="Times New Roman" w:eastAsia="Times New Roman" w:hAnsi="Times New Roman"/>
          <w:sz w:val="18"/>
          <w:szCs w:val="18"/>
          <w:color w:val="auto"/>
        </w:rPr>
        <w:t xml:space="preserve">This prospectus supplement contains references to our trademarks and to trademarks belonging to other entities. Solely for convenience, trademarks and trade names referred to in this prospectus supplement, including logos, artwork and other visual displays,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Additionally, we are currently a “smaller reporting company” as defined in Item 10(f)(1) of Regulation S-K. Smaller reporting companies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take advantage of certain reduced disclosure obligations, including, among other things, providing only two years of audited financial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statements. We may continue to be a smaller reporting company if either (i) the market value of our stock held by non-affiliates is less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$250.0 million or (ii) our annual revenue was less than $100.0 million during the most recently completed fiscal year and the market value of our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 held by non-affiliates is less than $700.0 million. Specifically, as a smaller reporting company we may choose to present only the two most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recent fiscal years of audited financial statements in our Annual Report on Form 10-K and have reduced disclosure obligations regarding executive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compensation.</w:t>
      </w:r>
    </w:p>
    <w:p>
      <w:pPr>
        <w:spacing w:after="0" w:line="3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67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2673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Common stock offered by us</w:t>
      </w:r>
      <w:r>
        <w:rPr>
          <w:sz w:val="20"/>
          <w:szCs w:val="20"/>
          <w:color w:val="auto"/>
        </w:rPr>
        <w:tab/>
      </w:r>
      <w:r>
        <w:rPr>
          <w:rFonts w:ascii="Times New Roman" w:cs="Times New Roman" w:eastAsia="Times New Roman" w:hAnsi="Times New Roman"/>
          <w:sz w:val="17"/>
          <w:szCs w:val="17"/>
          <w:color w:val="auto"/>
        </w:rPr>
        <w:t>Shares of our common stock having an aggregate offering price of up to $100,000,000.</w:t>
      </w:r>
    </w:p>
    <w:p>
      <w:pPr>
        <w:spacing w:after="0" w:line="266" w:lineRule="exact"/>
        <w:rPr>
          <w:sz w:val="20"/>
          <w:szCs w:val="20"/>
          <w:color w:val="auto"/>
        </w:rPr>
      </w:pPr>
    </w:p>
    <w:p>
      <w:pPr>
        <w:ind w:left="4340" w:right="260" w:hanging="4034"/>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Common stock to be outstanding after this offering </w:t>
      </w:r>
      <w:r>
        <w:rPr>
          <w:rFonts w:ascii="Times New Roman" w:cs="Times New Roman" w:eastAsia="Times New Roman" w:hAnsi="Times New Roman"/>
          <w:sz w:val="17"/>
          <w:szCs w:val="17"/>
          <w:color w:val="auto"/>
        </w:rPr>
        <w:t>Up to 23,357,265 shares (as more fully described in the notes following this table),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assuming sales of $100.0 million of shares of our common stock in this offering at an assumed offering price of $21.34 per share, which was the last reported sale price of our common stock on Nasdaq on July 3, 2025. The actual number of shares issued will vary depending on the prices at which shares of our common stock are sold in this offering.</w:t>
      </w:r>
    </w:p>
    <w:p>
      <w:pPr>
        <w:sectPr>
          <w:pgSz w:w="11900" w:h="16838" w:orient="portrait"/>
          <w:cols w:equalWidth="0" w:num="1">
            <w:col w:w="10940"/>
          </w:cols>
          <w:pgMar w:left="320" w:top="455" w:right="639" w:bottom="1440" w:gutter="0" w:footer="0" w:header="0"/>
        </w:sectPr>
      </w:pP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 TD Cowen. See “Plan of Distribution.”</w:t>
      </w:r>
    </w:p>
    <w:p>
      <w:pPr>
        <w:spacing w:after="0" w:line="185"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220"/>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continued clinical development of pipeline products, working capital and other general corporate purposes. See “Use of Proceeds.”</w:t>
      </w:r>
    </w:p>
    <w:p>
      <w:pPr>
        <w:spacing w:after="0" w:line="199"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significant risks. See “Risk Factors” beginning on page S-4 of this prospectus supplement, and under similar headings in documents incorporated by reference into this prospectus supplement and in the accompanying base prospectus.</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“TECX”</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50"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to be outstanding after this offering is based on 18,671,229 shares of our common stock outstanding as of March 31, 2025, and excludes:</w:t>
      </w:r>
    </w:p>
    <w:p>
      <w:pPr>
        <w:spacing w:after="0" w:line="67" w:lineRule="exact"/>
        <w:rPr>
          <w:sz w:val="20"/>
          <w:szCs w:val="20"/>
          <w:color w:val="auto"/>
        </w:rPr>
      </w:pPr>
    </w:p>
    <w:p>
      <w:pPr>
        <w:ind w:left="1240" w:right="360" w:hanging="523"/>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1,791,232 shares of common stock issuable upon the exercise of outstanding stock options at a weighted average exercise price of $19.32 under our 2019 and 2024 Equity Incentive Plan as of March 31, 2025;</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31,891 shares of common stock issuable upon the exercise of outstanding options at a weighted average exercise price of $40.80 under the AVROBIO, Inc. 2018 Equity Incentive Plan as of March 31, 2025;</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181,987 shares of common stock issuable upon the settlement of outstanding restricted stock units as of March 31, 2025;</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1,227,159 shares of common stock reserved for future issuance under our 2024 Equity Incentive Plan as of March 31, 2025; and</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295,906 shares of common stock reserved for future issuance under our 2024 Employee Stock Purchase Plan as of March 31, 2025.</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review the risks and uncertainties described below and under the section titled “Risk Factors” in our most recent Annual Report on Form 10-K, and any subsequent Quarterly Reports on Form 10-Q or Current Reports on Form 8-K we file after the date of this prospectus supplement, and all other information contained in or incorporated by reference into this prospectus supplement, before deciding whether to purchase any common stock in this offering. Each of the risk factors could adversely affect our business, operating results and financial condition, as well as adversely affect the value of an investment in our common stock, and the occurrence of any of these risks might cause you to lose all or part of your investment. Additional risks not presently known to us or that we currently believe are immaterial may also significantly impair our business operations. Please also carefully read the section below titled “Special Note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Risks Related to This Offering</w:t>
      </w:r>
    </w:p>
    <w:p>
      <w:pPr>
        <w:spacing w:after="0" w:line="11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net proceeds from the shares of common stock we are selling in this offering, and we may not use these proceeds effectively.</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the shares of common stock we are selling in this offering and could spend these proceeds in ways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284"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you purchase shares of our common stock in this offering, you may experience immediate and substantial dilution in the net tangible book value of your shares. In addition, we may issue additional equity or convertible debt securities in the future, which may result in additional dilution to you.</w:t>
      </w:r>
    </w:p>
    <w:p>
      <w:pPr>
        <w:spacing w:after="0" w:line="28"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offering price per share of our common stock in this offering may exceed the net tangible book value per share of our common stock outstanding prior to this offering. The prices at which we sell shares in this offering will vary and these variations may be significant. Purchasers of the shares we sell, as well as our existing stockholders, will experience significant dilution if we sell shares at prices significantly below the price at which they invested.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 See the section titled “Dilution” for an illustration of the dilution you may incur if you participate in this offering.</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to this offering, subject to market conditions and other factors, we may pursue additional equity financings in the future, including future public offerings or future private placements of equity securities or securities convertible into or exchangeable for equity securities. Further, the exercise of outstanding stock options or the exercise of stock options issued in the future could result in further dilution to investors and any additional shares issued in connection with acquisitions, should we choose to pursue any, will result in dilution to investors.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In addition, the market price of our common stock could fall as a result of resales of any of our shares of common stock due to an increased number of shares available for sale in the market.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warrants, or</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perception that such sales may occur, could adversely affect the market price of our common stock.</w:t>
      </w:r>
    </w:p>
    <w:p>
      <w:pPr>
        <w:spacing w:after="0" w:line="31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and the aggregate proceeds resulting therefrom, under the sales agreement, at any one time or in total, is uncertain.</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TD Cowen to sell shares of our common stock at any time throughout the term of the sales agreement. The number of shares that are sold by TD Cowen after delivering a placement notice will fluctuate based on a number of factors, including the market price of our common stock during the sales period and limits we set with TD Cowen in any placement notice to sell shares, and the demand for our common stock during the sales period. Because the price per share of each share sold will fluctuate based on the market price of our common stock during the sales period, it is not possible at this stage to predict the number of shares that will be ultimately issued or the aggregate proceeds to be raised in connection with those sales.</w:t>
      </w:r>
    </w:p>
    <w:p>
      <w:pPr>
        <w:spacing w:after="0" w:line="29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purchase shares at different times will likely pay different prices.</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therefore may experience different levels of dilution and different outcomes in their investment results. We will have discretion, subject to market demand, to vary the timing and price of sales and the number of shares sold. In addition, subject to any restrictions in any applicable placement notice delivered to TD Cowen, there is no minimum or maximum sales price for shares to be sold in this offering. Investors may experience a decline in the value of their shares they purchase in this offering as a result of sales made at prices lower than the prices they paid.</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Statements contained in this prospectus supplement and in the documents incorporated by reference herein that are not strictly historical in nature are forward-looking statements within the meaning of Section 27A of the Securities Act, and within the meaning of Section 21E of the Exchange Act. These forward-looking statements are subject to the “safe harbor” created by Section 27A of the Securities Act and Section 21E of the Exchange Act and may include, but are not limited to, statements about:</w:t>
      </w:r>
    </w:p>
    <w:p>
      <w:pPr>
        <w:spacing w:after="0" w:line="85" w:lineRule="exact"/>
        <w:rPr>
          <w:sz w:val="20"/>
          <w:szCs w:val="20"/>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of management for our future operations;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scope or timing of the development of our product candidates;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potential safety, efficacy, and regulatory and clinical progress of TX45, TX2100 and any other product candidates, and our anticipated milestones and timing therefor;</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may be derived from any of our future products, if approved, or the commercial or market opportunity with respect to any of our future products, if approved;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operations, financial position, ability to raise capital to fund our operations, revenues, costs or expenses;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and geopolitical conditions and unforeseeable events;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offerings of our securities under this prospectus supplement;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set forth in documents filed, or to be filed, with the SEC; and</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regarding our future economic conditions or performance, statements of belief and any statement of assumptions underlying any of the foregoing.</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“anticipates,” “believes,” “could,” “estimates,” “expects,” “goal,” “intends,” “may,” “plans,” “potential,” “predicts,” “projects,” “should,” “will,” “would,” the negative of these words and words or similar expressions intended to identify forward-looking statements.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this prospectus supplement and the documents incorporated by reference herein or any free writing prospectus that we authorize for use in connection with this offering.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supplement and in the documents incorporated by reference herein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common stock in this offering, you should carefully consider the risk factors discussed herein or incorporated by reference, in addition to the other information set forth in this prospectus supplement, any free writing prospectus we authorize for use in connection with this offering and in the documents incorporated by reference.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and sell shares of our common stock under this prospectus supplement having aggregate gross sales proceeds of up to</w:t>
      </w:r>
    </w:p>
    <w:p>
      <w:pPr>
        <w:spacing w:after="0" w:line="27" w:lineRule="exact"/>
        <w:rPr>
          <w:sz w:val="20"/>
          <w:szCs w:val="20"/>
          <w:color w:val="auto"/>
        </w:rPr>
      </w:pPr>
    </w:p>
    <w:p>
      <w:pPr>
        <w:ind w:left="120" w:right="240"/>
        <w:spacing w:after="0" w:line="253" w:lineRule="auto"/>
        <w:rPr>
          <w:sz w:val="20"/>
          <w:szCs w:val="20"/>
          <w:color w:val="auto"/>
        </w:rPr>
      </w:pPr>
      <w:r>
        <w:rPr>
          <w:rFonts w:ascii="Times New Roman" w:cs="Times New Roman" w:eastAsia="Times New Roman" w:hAnsi="Times New Roman"/>
          <w:sz w:val="18"/>
          <w:szCs w:val="18"/>
          <w:color w:val="auto"/>
        </w:rPr>
        <w:t>$100.0 million from time to time. Because we are not required to sell any shares of our common stock under the sales agreement, and any shares that may be sold pursuant to the sales agreement will be sold in “at the market offerings” at fluctuating prices, the actual total public offering amount, commissions and proceeds to us, if any, are not determinable at this time. There can be no assurance that we will sell any shares of our common stock under or fully utilize the sales agreement as a source of financing.</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continued clinical development of pipeline products, working capital and other general corporate purposes. We may also use the net proceeds to in-license, acquire or invest in complementary businesses, technologies, products or assets. However, we have no current commitments or obligations to do so. As of the date of this prospectus supplement, we cannot specify with certainty all of the particular uses of the net proceeds, if any, from this offering. Accordingly, we will retain broad discretion over the use of any such proceeds. Pending the use of the net proceeds from this offering, we intend to invest the net proceeds in investment-grade, interest-bearing instruments.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net tangible book value as of March 31, 2025 was approximately $301.0 million, or $16.12 per share of common stock. Net tangible book value per share is determined by dividing our total tangible assets, less total liabilities, by the number of shares of our common stock outstanding as of March 31, 2025. Dilution with respect to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4,686,036 shares of our common stock in this offering at an assumed public offering price of $21.34 per share, the last reported sale price of our common stock on Nasdaq on July 3, 2025, and after deducting offering commissions and estimated offering expenses payable by us, our as adjusted net tangible book value as of March 31, 2025 would have been approximately $397.7 million, or $17.03 per share. This represents an immediate increase in net tangible book value of $0.91 per share to our existing stockholders and immediate dilution in net tangible book value of $4.31 per share to investors purchasing our common stock in this offering at the assumed public offering price. The following table illustrates this dilution on a per share basis: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March 31, 2025</w:t>
            </w:r>
          </w:p>
        </w:tc>
        <w:tc>
          <w:tcPr>
            <w:tcW w:w="224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color w:val="auto"/>
              </w:rPr>
              <w:t>   $16.12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in this</w:t>
            </w: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offering</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5"/>
        </w:trPr>
        <w:tc>
          <w:tcPr>
            <w:tcW w:w="64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As adjusted net tangible book value per share as of March 31, 2025, after giving</w:t>
            </w:r>
          </w:p>
        </w:tc>
        <w:tc>
          <w:tcPr>
            <w:tcW w:w="5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to this offering</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17.03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our common stock in this offering</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discussion and table are based on 18,671,229 shares of our common stock outstanding as of March 31, 2025, and excludes:</w:t>
      </w:r>
    </w:p>
    <w:p>
      <w:pPr>
        <w:spacing w:after="0" w:line="131" w:lineRule="exact"/>
        <w:rPr>
          <w:sz w:val="20"/>
          <w:szCs w:val="20"/>
          <w:color w:val="auto"/>
        </w:rPr>
      </w:pPr>
    </w:p>
    <w:p>
      <w:pPr>
        <w:ind w:left="1080" w:right="14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1,791,232 shares of common stock issuable upon the exercise of outstanding stock options at a weighted average exercise price of $19.32 under our 2019 and 2024 Equity Incentive Plan as of March 31, 2025;</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31,891 shares of common stock issuable upon the exercise of outstanding options at a weighted average exercise price of $40.80 under the AVROBIO, Inc. 2018 Equity Incentive Plan as of March 31, 2025;</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181,987 shares of common stock issuable upon the settlement of outstanding restricted stock units as of March 31, 2025;</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1,227,159 shares of common stock reserved for future issuance under our 2024 Equity Incentive Plan as of March 31, 2025;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295,906 shares of common stock reserved for future issuance under our 2024 Employee Stock Purchase Plan as of March 31, 2025.</w:t>
      </w:r>
    </w:p>
    <w:p>
      <w:pPr>
        <w:spacing w:after="0" w:line="22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4,686,036 shares of our common stock are sold under this prospectus supplement at a price of $21.34 per share, the last reported sale price of our common stock on Nasdaq on July 3, 2025, for aggregate gross proceeds of $100.0 million. The shares subject to the sales agreement are being sold from time to time at various prices. An increase of $1.00 per share in the price at which the shares are sold from the assumed public offering price of $21.34 per share shown in the table above, assuming all of our common stock in the aggregate amount of $100.0 million under this prospectus supplement is sold at that price, would increase our adjusted net tangible book value per share after the offering to $17.18 per share and would increase the dilution in net tangible book value per share to new investors in this offering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$5.16 per share, after deducting commissions and estimated aggregate offering expenses payable by us. decrease of $1.00 per share in the price at which the shares are sold from the assumed public offering price of $21.34 per share shown in the table above, assuming all of our common stock in the aggregate amount of $100.0 million under this prospectus supplement is sold at that price, would decrease our adjusted net tangible book value per share after the offering to $16.86 per share and would decrease the dilution in net tangible book value per share to new investors in this offering to $3.48 per share, after deducting commissions and estimated aggregate offering expenses payable by us. This information is supplied for illustrative purposes only and assumes no exercise of the options outstanding as of March 31, 2025 and no settlement of the restricted stock units outstanding as of March 31, 2025.</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options are exercised, restricted stock units vest or other shares are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a sales agreement with TD Cowen, under which we may issue and sell from time to time up to $100,000,000 of our common stock through or to TD Cowen as our sales agent or principal. Sales of our common stock, if any, will be made in negotiated transactions, including block trades or block sales, or by any method permitted by law deemed to be an “at the market offering” as defined in Rule 415 under the Securities Act, including without limitation sales made through Nasdaq or on any other existing trading market for our common stock, or by any other method permitted by law. Sales pursuant to the sales agreement may be made through an affiliate of TD Cowen.</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aggregate compensation payable to TD Cowen as sales agent equals up to 3.0% of the gross sales price of the shares sold through it pursuant to the sales agreement. We have also agreed to reimburse TD Cowen up to $75,000 of TD Cowen’s actual outside legal expenses incurred by TD Cowen in connection with the execution of the sales agreement, in addition to certain ongoing disbursements of its legal counsel. We estimate that the total expenses of the offering payable by us, excluding commissions payable to TD Cowen under the sales agreement, will be approximately $350,000.</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TD Cowen will provide written confirmation to us following the close of trading on Nasdaq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TD Cowen under the sales agreement and the net proceeds to us in connection with the sales of common stock.</w:t>
      </w:r>
    </w:p>
    <w:p>
      <w:pPr>
        <w:spacing w:after="0" w:line="162"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stock.</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and trades under the symbol “TECX.” The transfer agent of our common stock is Computershare Trust Company, N.A.</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TD Cowen and/or its affiliates have provided, and may in the future provide, various investment banking and other financial services for us for which services they have received and, may in the future receive, customary fees.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validity of the common stock offered by this prospectus supplement will be passed upon by Cooley LLP, New York, New York. TD Securities (USA) LLC is being represented in connection with this offering by Mintz, Levin, Cohn, Ferris, Glovsky and Popeo, P.C., Boston, Massachusetts.</w:t>
      </w: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Tectonic Therapeutic, Inc. as of December 31, 2024 and 2023, and for the years then ended,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This prospectus supplement does not contain all of the information set forth in the registration statement and the exhibits to the registration statement. For further information with respect to us and the securities we are offering under this prospectus supplement, we refer you to the registration statement, the exhibits and schedules filed as a part of the registration statement, and the documents incorporated by reference in the registration statement. Statements in this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below. Neither we nor any agent, underwriter or dealer has authorized any person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supplement or any sale of the securities offered by this prospectus supplement.</w:t>
      </w:r>
    </w:p>
    <w:p>
      <w:pPr>
        <w:spacing w:after="0" w:line="19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that contains reports, proxy statements and other information regarding issuers that file electronically with the SEC, including Tectonic. The address of the SEC website is www.sec.gov.</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maintain a website at www.tectonictx.com. The information contained in, or that can be accessed through, our website is not incorporated by reference herein and is not part of this prospectus supplement.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which means that we can disclose important information to you by referring you to those documents. The information incorporated by reference is an important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also incorporate by reference into this prospectus supplement the documents listed below and any future filings made by us with the SEC (other than Current Reports on Form 8-K or portions thereof furnished under Item 2.02 or Item 7.01 and exhibits filed pursuant to Item 9.01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supplement is a part and prior to effectiveness of the registration statement, and (ii) after the effectiveness of the registration statement but prior to the termination of the offering of securities covered by this prospectus supplement:</w:t>
      </w:r>
    </w:p>
    <w:p>
      <w:pPr>
        <w:spacing w:after="0" w:line="97" w:lineRule="exact"/>
        <w:rPr>
          <w:sz w:val="20"/>
          <w:szCs w:val="20"/>
          <w:color w:val="auto"/>
        </w:rPr>
      </w:pPr>
    </w:p>
    <w:p>
      <w:pPr>
        <w:ind w:left="1080" w:right="1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29">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information specifically incorporated by reference into our Annual Report on Form 10-K for the year ended December 31, 2024 from our Definitive Proxy Statement on Schedule 14A, filed with the SEC on </w:t>
      </w:r>
      <w:hyperlink r:id="rId30">
        <w:r>
          <w:rPr>
            <w:rFonts w:ascii="Times New Roman" w:cs="Times New Roman" w:eastAsia="Times New Roman" w:hAnsi="Times New Roman"/>
            <w:sz w:val="18"/>
            <w:szCs w:val="18"/>
            <w:u w:val="single" w:color="auto"/>
            <w:color w:val="0000EE"/>
          </w:rPr>
          <w:t>April 25, 2025</w:t>
        </w:r>
      </w:hyperlink>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2025, filed with the SEC on </w:t>
      </w:r>
      <w:hyperlink r:id="rId31">
        <w:r>
          <w:rPr>
            <w:rFonts w:ascii="Times New Roman" w:cs="Times New Roman" w:eastAsia="Times New Roman" w:hAnsi="Times New Roman"/>
            <w:sz w:val="18"/>
            <w:szCs w:val="18"/>
            <w:u w:val="single" w:color="auto"/>
            <w:color w:val="0000EE"/>
          </w:rPr>
          <w:t>May 8,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auto"/>
          </w:rPr>
          <w:t xml:space="preserve">our Current Reports on Form 8-K (other than information furnished rather than filed), filed with the SEC on </w:t>
        </w:r>
        <w:r>
          <w:rPr>
            <w:rFonts w:ascii="Times New Roman" w:cs="Times New Roman" w:eastAsia="Times New Roman" w:hAnsi="Times New Roman"/>
            <w:sz w:val="18"/>
            <w:szCs w:val="18"/>
            <w:u w:val="single" w:color="auto"/>
            <w:color w:val="0000EE"/>
          </w:rPr>
          <w:t>January 30,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3, 2025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 xml:space="preserve">May 19, 2025 </w:t>
        </w:r>
      </w:hyperlink>
      <w:hyperlink r:id="rId32">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June 6, 2025</w:t>
        </w:r>
      </w:hyperlink>
      <w:hyperlink r:id="rId32">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2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registered under Section 12 of the Exchange Act, described in </w:t>
      </w:r>
      <w:hyperlink r:id="rId35">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Form 10-K for the year ended December 31, 2024, filed with the SEC on </w:t>
      </w:r>
      <w:hyperlink r:id="rId29">
        <w:r>
          <w:rPr>
            <w:rFonts w:ascii="Times New Roman" w:cs="Times New Roman" w:eastAsia="Times New Roman" w:hAnsi="Times New Roman"/>
            <w:sz w:val="18"/>
            <w:szCs w:val="18"/>
            <w:u w:val="single" w:color="auto"/>
            <w:color w:val="0000EE"/>
          </w:rPr>
          <w:t>March 20, 2025</w:t>
        </w:r>
      </w:hyperlink>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supplement is delivered, without charge upon written or oral request, a copy of any or all of the documents that are incorporated by reference into this prospectus supplement but not delivered with the prospectus supplement, including exhibits which are specifically incorporated by reference into such documents. You should direct any requests for documents by writing or by telephoning us at the following address or phone number:</w:t>
      </w:r>
    </w:p>
    <w:p>
      <w:pPr>
        <w:spacing w:after="0" w:line="180"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490 Arsenal Way, Suite 210,</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Watertown, Massachusetts</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(339) 666-3320</w:t>
      </w:r>
    </w:p>
    <w:p>
      <w:pPr>
        <w:spacing w:after="0" w:line="207" w:lineRule="exact"/>
        <w:rPr>
          <w:rFonts w:ascii="Times New Roman" w:cs="Times New Roman" w:eastAsia="Times New Roman" w:hAnsi="Times New Roman"/>
          <w:sz w:val="18"/>
          <w:szCs w:val="18"/>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173990</wp:posOffset>
            </wp:positionV>
            <wp:extent cx="2040255" cy="5657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20402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$400,000,000</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offer and sell up to an aggregate amount of $400,000,000 of any combination of shares of our common stock, shares of our preferred stock, debt securities and warrants to purchase any of such securities in one or more offerings as described in this prospectus. We may also offer securities as may be issuable upon conversion, redemption, repurchase, exchange or exercise of any securities registered hereunder, including any applicable antidilution provisions.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offer securities, we will specify in an accompanying prospectus supplement the terms of the securities being offered.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accompanied by a prospectus supplement.</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“TECX.” On July 3, 2025, the last reported sale price of our common stock was $21.34 per share. The applicable prospectus supplement will contain information, where applicable, as to any other listing on the Nasdaq Global Market or any securities market or other exchange of the securities, if any, covered by the prospectus supplement.</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may offer and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170" w:lineRule="exact"/>
        <w:rPr>
          <w:sz w:val="20"/>
          <w:szCs w:val="20"/>
          <w:color w:val="auto"/>
        </w:rPr>
      </w:pPr>
    </w:p>
    <w:p>
      <w:pPr>
        <w:ind w:left="120" w:right="28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carefully review the risks and uncertainties described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4 of this prospectus as well as those contained in the applicable prospectus supplement and any related free writing prospectus, and under similar headings in the other documents that are incorporated by reference into this prospectus.</w:t>
      </w:r>
    </w:p>
    <w:p>
      <w:pPr>
        <w:spacing w:after="0" w:line="18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15, 2025.</w:t>
      </w:r>
    </w:p>
    <w:p>
      <w:pPr>
        <w:sectPr>
          <w:pgSz w:w="11900" w:h="16838" w:orient="portrait"/>
          <w:cols w:equalWidth="0" w:num="1">
            <w:col w:w="11100"/>
          </w:cols>
          <w:pgMar w:left="320" w:top="455" w:right="4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6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4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120" w:type="dxa"/>
            <w:vAlign w:val="bottom"/>
          </w:tcPr>
          <w:p>
            <w:pPr>
              <w:spacing w:after="0"/>
              <w:rPr>
                <w:sz w:val="16"/>
                <w:szCs w:val="16"/>
                <w:color w:val="auto"/>
              </w:rPr>
            </w:pPr>
          </w:p>
        </w:tc>
        <w:tc>
          <w:tcPr>
            <w:tcW w:w="852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300" w:type="dxa"/>
            <w:vAlign w:val="bottom"/>
            <w:gridSpan w:val="8"/>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40" w:type="dxa"/>
            <w:vAlign w:val="bottom"/>
            <w:gridSpan w:val="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0"/>
          </w:tcPr>
          <w:p>
            <w:pPr>
              <w:spacing w:after="0"/>
              <w:rPr>
                <w:sz w:val="17"/>
                <w:szCs w:val="17"/>
                <w:color w:val="auto"/>
              </w:rPr>
            </w:pPr>
          </w:p>
        </w:tc>
        <w:tc>
          <w:tcPr>
            <w:tcW w:w="320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8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480" w:type="dxa"/>
            <w:vAlign w:val="bottom"/>
            <w:gridSpan w:val="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040" w:type="dxa"/>
            <w:vAlign w:val="bottom"/>
            <w:gridSpan w:val="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5500" w:type="dxa"/>
            <w:vAlign w:val="bottom"/>
            <w:gridSpan w:val="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8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480" w:type="dxa"/>
            <w:vAlign w:val="bottom"/>
            <w:gridSpan w:val="10"/>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8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3800" w:type="dxa"/>
            <w:vAlign w:val="bottom"/>
            <w:gridSpan w:val="1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40" w:type="dxa"/>
            <w:vAlign w:val="bottom"/>
            <w:gridSpan w:val="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U.S. Securities and Exchange Commission (“SEC”) utilizing a “shelf” registration process under the Securities Act of 1933, as amended (the “Securities Act”). Under this shelf registration process, we may offer and sell from time to time in one or more offerings the securities described in this prospectus up to a total dollar amount of $400,000,000.</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securities under this prospectus, we will provide a prospectus supplement that will contain specific information about the terms of these securities and offerings.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8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We take no responsibility for, and can provide no assurance as to the reliability of, any other information that others may give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9" w:lineRule="exact"/>
        <w:rPr>
          <w:sz w:val="20"/>
          <w:szCs w:val="20"/>
          <w:color w:val="auto"/>
        </w:rPr>
      </w:pPr>
    </w:p>
    <w:p>
      <w:pPr>
        <w:ind w:left="120" w:right="600" w:firstLine="44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information contained in this document relates to or is based on studies, publications, surveys and other data obtained from third-party sources and our own internal estimates and research. While we believe these third-party sources to be reliable as of the date of this prospectus, we have not independently verified the market and industry data contained in this prospectus or the underlying assumptions relied on therein. Finally, while we believe our own internal research is reliable, such research has not been verified by any independent source. Notwithstanding the foregoing, we are liable for the information provided in this prospectus.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00"/>
          </w:cols>
          <w:pgMar w:left="320" w:top="455" w:right="5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7"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the “Company,” “Tectonic,” “we,” “us” and “our” refer to Tectonic Therapeutic, Inc.</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40" w:firstLine="426"/>
        <w:spacing w:after="0" w:line="236" w:lineRule="auto"/>
        <w:rPr>
          <w:sz w:val="20"/>
          <w:szCs w:val="20"/>
          <w:color w:val="auto"/>
        </w:rPr>
      </w:pPr>
      <w:r>
        <w:rPr>
          <w:rFonts w:ascii="Times New Roman" w:cs="Times New Roman" w:eastAsia="Times New Roman" w:hAnsi="Times New Roman"/>
          <w:sz w:val="18"/>
          <w:szCs w:val="18"/>
          <w:color w:val="auto"/>
        </w:rPr>
        <w:t>We are a clinical-stage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w:t>
      </w:r>
    </w:p>
    <w:p>
      <w:pPr>
        <w:spacing w:after="0" w:line="200"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Our lead asset, TX45, is an Fc-relaxin fusion molecule that activates the RXFP1 receptor, the GPCR target of the hormone, relaxin. In September 2024, we announced favorable results from a Phase 1a trial evaluating safety, tolerability and pharmacokinetic (“PK”) and pharmacodynamic (“PD”) properties for TX45. In this trial, TX45 was well-tolerated with no drug-related severe adverse events, no observed immunogenicity and demonstrated a favorable PK/PD relationship. Renal plasma flow was measured in each patient at several time points as a PD marker. This data was used to develop an exposure-response model which enabled the selection of doses for the APEX Phase 2 trial.</w:t>
      </w:r>
    </w:p>
    <w:p>
      <w:pPr>
        <w:spacing w:after="0" w:line="18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are currently evaluating TX45 in a Phase 1b Part B hemodynamic clinical trial and in the APEX Phase 2 clinical trial. Part A of the TX45 Phase 1b hemodynamic clinical trial was a single intravenous dose, open-label clinical trial that evaluated the safety, tolerability, and acute hemodynamic effects of TX45 in subjects with Group 2 Pulmonary Hypertension in Heart Failure with preserved Ejection Fraction (“PH-HFpEF”). Part B which is still enrolling has a similar design but is being conducted in subjects with Group 2 Pulmonary Hypertension in Heart Failure with reduced Ejection Fraction (“PH-HFrEF”). APEX is a 24-week, placebo-controlled trial designed to evaluate the safety and efficacy of TX45 administered subcutaneously (“SC”) in subjects with PH-HFpEF.</w:t>
      </w:r>
    </w:p>
    <w:p>
      <w:pPr>
        <w:spacing w:after="0" w:line="187" w:lineRule="exact"/>
        <w:rPr>
          <w:sz w:val="20"/>
          <w:szCs w:val="20"/>
          <w:color w:val="auto"/>
        </w:rPr>
      </w:pPr>
    </w:p>
    <w:p>
      <w:pPr>
        <w:ind w:left="300" w:right="140" w:firstLine="426"/>
        <w:spacing w:after="0" w:line="255" w:lineRule="auto"/>
        <w:rPr>
          <w:sz w:val="20"/>
          <w:szCs w:val="20"/>
          <w:color w:val="auto"/>
        </w:rPr>
      </w:pPr>
      <w:r>
        <w:rPr>
          <w:rFonts w:ascii="Times New Roman" w:cs="Times New Roman" w:eastAsia="Times New Roman" w:hAnsi="Times New Roman"/>
          <w:sz w:val="18"/>
          <w:szCs w:val="18"/>
          <w:color w:val="auto"/>
        </w:rPr>
        <w:t>In May 2025, we announced the complete results from Part A of the Phase 1b clinical trial of TX45 in subjects with PH-HFpEF. The complete data from Part A confirmed the tolerability and hemodynamic effects of TX45 in patients with PH-HFpEF previously reported in the interim data. Based on the complete dataset, TX45 was well-tolerated in subjects with PH-HFpEF with no serious or severe adverse events. In the overall study population, TX45 achieved a 19.0% reduction in pulmonary capillary wedge pressure (“PCWP”), an endpoint known to correlate with exercise capacity, morbidity and mortality in patients with heart failure. In the subpopulation with combined pre- and post-capillary pulmonary hypertension who have an elevated Pulmonary Vascular Resistance (“PVR”) and more severe disease, TX45 demonstrated &gt;30% reduction in PVR, which along with PCWP is correlated to exercise capacity and mortality in this patient population. The Phase 1b</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140"/>
        <w:spacing w:after="0" w:line="258" w:lineRule="auto"/>
        <w:rPr>
          <w:sz w:val="20"/>
          <w:szCs w:val="20"/>
          <w:color w:val="auto"/>
        </w:rPr>
      </w:pPr>
      <w:r>
        <w:rPr>
          <w:rFonts w:ascii="Times New Roman" w:cs="Times New Roman" w:eastAsia="Times New Roman" w:hAnsi="Times New Roman"/>
          <w:sz w:val="18"/>
          <w:szCs w:val="18"/>
          <w:color w:val="auto"/>
        </w:rPr>
        <w:t>Part A clinical trial enrolled a patient population and evaluated hemodynamic endpoints which are similar to the ongoing APEX Phase 2 clinical trial. We dosed our first patient in the APEX Phase 2 clinical trial in October 2024. Subjects will be randomized to 300 mg SC once monthly of TX45, 300 mg SC once every other week of TX45, or placebo. We expect topline trial results from the APEX clinical trial in 2026. Part B of the Phase 1b trial, which is assessing the acute hemodynamic effects of TX45 in subjects with Group 2 PH-HFrEF enrolled its first patient in the first half of 2025 with data expected to be announced in the second half of 2025.</w:t>
      </w:r>
    </w:p>
    <w:p>
      <w:pPr>
        <w:spacing w:after="0" w:line="183"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are also evaluating TX002100 (“TX2100”) as our second development candidate for the treatment of Hereditary Hemorrhagic Telangiectasia (“HHT”), the second most common genetic bleeding disorder with no current approved therapy. TX2100 is a VHH-Fc fusion antagonist antibody that binds to an undisclosed GPCR target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Both Investigational New Drug (“IND”)-enabling non-human primate good laboratory practices toxicology studies and technical development activities to generate good manufacturing practice drug supply and drug product for TX2100 started in the second quarter of 2025. We expect to initiate a Phase 1 clinical trial for TX2100 in the fourth quarter of 2025 or the first quarter of 2026, subject to the results of IND enabling studies.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November 2015. Legacy Tectonic (as defined below) was incorporated under the laws of the State of Delaware in June 2019. On January 30, 2024, we entered into the Agreement and Plan of Merger and Reorganization (the “Merger Agreement”) with Tectonic Operating Company, Inc. (previously Tectonic Therapeutic, Inc., referred to as “Legacy Tectonic”) and Alpine Merger Subsidiary, Inc. (“Merger Sub”). Pursuant to the Merger Agreement, on June 20, 2024, Merger Sub merged with and into Legacy Tectonic, with Legacy Tectonic surviving as our wholly owned subsidiary (the “Merger”). In connection with the completion of the Merger, we changed our name from “AVROBIO, Inc.” to “Tectonic Therapeutic, Inc.” Our principal executive office is located at 490 Arsenal Way, Suite 210, Watertown, Massachusetts 02472, and our telephone number is (339) 666-3320. Our website address is www.tectonictx.com. We do not incorporate the information on or accessible through our website into this prospectus, and you should not consider any information on, or that can be accessed through, our website as part of this prospectus. Our common stock is listed on Nasdaq under the symbol “TECX.”</w:t>
      </w:r>
    </w:p>
    <w:p>
      <w:pPr>
        <w:spacing w:after="0" w:line="188" w:lineRule="exact"/>
        <w:rPr>
          <w:sz w:val="20"/>
          <w:szCs w:val="20"/>
          <w:color w:val="auto"/>
        </w:rPr>
      </w:pPr>
    </w:p>
    <w:p>
      <w:pPr>
        <w:ind w:left="300" w:firstLine="426"/>
        <w:spacing w:after="0" w:line="233" w:lineRule="auto"/>
        <w:rPr>
          <w:sz w:val="20"/>
          <w:szCs w:val="20"/>
          <w:color w:val="auto"/>
        </w:rPr>
      </w:pPr>
      <w:r>
        <w:rPr>
          <w:rFonts w:ascii="Times New Roman" w:cs="Times New Roman" w:eastAsia="Times New Roman" w:hAnsi="Times New Roman"/>
          <w:sz w:val="18"/>
          <w:szCs w:val="18"/>
          <w:color w:val="auto"/>
        </w:rPr>
        <w:t xml:space="preserve">This prospectus contains references to our trademarks and to trademarks belonging to other entities. Solely for convenience, trademarks and trade names referred to in this prospectus, including logos, artwork and other visual displays,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right="220" w:firstLine="426"/>
        <w:spacing w:after="0" w:line="272" w:lineRule="auto"/>
        <w:rPr>
          <w:sz w:val="20"/>
          <w:szCs w:val="20"/>
          <w:color w:val="auto"/>
        </w:rPr>
      </w:pPr>
      <w:r>
        <w:rPr>
          <w:rFonts w:ascii="Times New Roman" w:cs="Times New Roman" w:eastAsia="Times New Roman" w:hAnsi="Times New Roman"/>
          <w:sz w:val="17"/>
          <w:szCs w:val="17"/>
          <w:color w:val="auto"/>
        </w:rPr>
        <w:t>We are currently a “smaller reporting company” as defined in Item 10(f)(1) of Regulation S-K. Smaller reporting companies may take advantage of certain reduced disclosure obligations, including, among other things, providing only two years of audited financial statements. We may continue to be a smaller reporting company if either (i) the market value of our stock held by non-affiliates is less than $250.0 million or</w:t>
      </w:r>
    </w:p>
    <w:p>
      <w:pPr>
        <w:spacing w:after="0" w:line="2" w:lineRule="exact"/>
        <w:rPr>
          <w:sz w:val="20"/>
          <w:szCs w:val="20"/>
          <w:color w:val="auto"/>
        </w:rPr>
      </w:pPr>
    </w:p>
    <w:p>
      <w:pPr>
        <w:ind w:left="300" w:right="280" w:hanging="2"/>
        <w:spacing w:after="0" w:line="253" w:lineRule="auto"/>
        <w:tabs>
          <w:tab w:leader="none" w:pos="5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revenue was less than $100.0 million during the most recently completed fiscal year and the market value of our stock held by non-affiliates is less than $700.0 million. Specifically, as a smaller reporting company we may choose to present only the two most recent fiscal years of audited financial statements in our Annual Report on Form 10-K and have reduced disclosure obligations regarding executive compensation.</w:t>
      </w:r>
    </w:p>
    <w:p>
      <w:pPr>
        <w:spacing w:after="0" w:line="3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24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may offer shares of our common stock, shares of our preferred stock, debt securities and warrants to purchase any of such securities, up to a total aggregate amount of $400,000,000,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93" w:lineRule="exact"/>
        <w:rPr>
          <w:sz w:val="20"/>
          <w:szCs w:val="20"/>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or sinking fund terms, if any;</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or agents;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and any subsequent Quarterly Reports on Form 10-Q or Current Reports on Form 8-K we file after the date of this prospectus, and all other information contained in or incorporated by reference into this prospectus and the applicable prospectus supplement and any related free writing prospectus,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Statements contained in this prospectus, the applicable prospectus supplement and in the documents incorporated by reference herein and therein that are not strictly historical in nature are forward-looking statements within the meaning of Section 27A of the Securities Act, and within the meaning of Section 21E of the Securities Exchange Act of 1934, as amended (the “Exchange Act”). These forward-looking statements are subject to the “safe harbor” created by Section 27A of the Securities Act and Section 21E of the Exchange Act and may include, but are not limited to, statements about:</w:t>
      </w:r>
    </w:p>
    <w:p>
      <w:pPr>
        <w:spacing w:after="0" w:line="70"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of management for our future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scope or timing of the development of our product candidates;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potential safety, efficacy, and regulatory and clinical progress of TX45, TX2100 and any other product candidates, and our anticipated milestones and timing therefor;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may be derived from any of our future products, if approved, or the commercial or market opportunity with respect to any of our future products, if approved;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operations, financial position, ability to raise capital to fund our operations, revenues, costs or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and geopolitical conditions and unforeseeable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offerings of our securities under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set forth in documents filed, or to be filed, with the SEC;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regarding our future economic conditions or performance, statements of belief and any statement of assumptions underlying any of the foregoing.</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“anticipates,” “believes,” “could,” “estimates,” “expects,” “goal,” “intends,” “may,” “plans,” “potential,” “predicts,” “projects,” “should,” “will,” “would,” the negative of these words and words or similar expressions intended to identify forward-looking statements.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in the documents incorporated by reference herein and in any prospectus supplement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you should carefully consider the risk factors discussed in this prospectus, any accompanying prospectus supplement or free writing prospectus and in the documents incorporated by reference, in addition to the other information set forth in this prospectus, any accompanying prospectus supplement or free writing prospectus and in the documents incorporated by reference.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Except as described in any prospectus supplement or in any related free writing prospectus that we may authorize to be provided to you, we currently intend to use the net proceeds from the sale of securities under this prospectus for continued clinical development of pipeline products, working capital and other general corporate purposes. We may also use the net proceeds to in-license, acquire or invest in complementary businesses, technologies, products or assets. However, we have no current commitments or obligations to do so. As of the date of this prospectus, we cannot specify with certainty all of the particular uses of the net proceeds, if any, from the sale of securities under this prospectus. Accordingly, we will retain broad discretion over the use of any such proceeds. We will set forth in the prospectus supplement our intended use for the net proceeds to be received from the sale of any securities. Pending the use of the net proceeds from the sale of securities under this prospectus as described above, we intend to invest the net proceeds in investment-grade, interest-bearing instruments.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fourth amended and restated certificate of incorporation (the “charter”) and amended and restated by-laws (the “by-laws”) are summaries and are qualified by reference to such charter and by-laws and applicable provisions of the General Corporation Law of the State of Delaware (the “DGCL”). Copies of these documents are filed as exhibits to the registration statement of which this prospectus forms a part.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150,000,000 shares of common stock, par value $0.0001 per share (the “common stock”), and 10,000,000 shares of preferred stock, par value $0.0001 per share (the “preferred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receive dividends ratably, if any, as may be declared by our board of directors out of legally available funds, subject to any preferential dividend rights of any our preferred stock then outstanding.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jc w:val="both"/>
        <w:ind w:left="120" w:right="580" w:firstLine="440"/>
        <w:spacing w:after="0" w:line="312" w:lineRule="auto"/>
        <w:rPr>
          <w:sz w:val="20"/>
          <w:szCs w:val="20"/>
          <w:color w:val="auto"/>
        </w:rPr>
      </w:pPr>
      <w:r>
        <w:rPr>
          <w:rFonts w:ascii="Times New Roman" w:cs="Times New Roman" w:eastAsia="Times New Roman" w:hAnsi="Times New Roman"/>
          <w:sz w:val="17"/>
          <w:szCs w:val="17"/>
          <w:color w:val="auto"/>
        </w:rPr>
        <w:t>Holders of our common stock are entitled to one vote for each share of our common stock held of record for the election of directors of the Company and on all matters submitted to a vote of the stockholders. The holders of our common stock do not have any cumulative voting rights.</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on Liquidation</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dissolution, liquidation or winding up, holders of our common stock are entitled to share ratably in all assets remaining after payment of all debts and other liabilities and any liquidation preference of any outstanding preferred stock. All outstanding shares are fully paid and non-assessable.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Holders of our common stock are not entitled to preemptive, subscription, redemption or conversion rights, and no sinking fund provisions are applicable to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charter provides for 10,000,000 authorized shares of preferred stock. The existence of authorized but unissued shares of preferred stock may enable our board of directors to discourage an attempt to obtain control of the Company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Provisions of Our Charter and By-laws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Certain provisions of the DGCL and of our charter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hold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Delaware Anti-Takeover Statute</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(“Section 203”).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right="5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or any direct or indirect majority-owned subsidiary of the corporation and the interested stockholder;</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 one or more transactions) involving the interested stockholder of 10% or more of either the aggregate market value of all (i) the assets of the corporation or (ii) the outstanding capital stock of the corporation, involving the interested stockholder;</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or by any direct or indirect majority-owned subsidiary of the corporation of any stock of the corporation or any subsidiary to the interested stockholder;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or any direct or indirect majority-owned subsidiary of the corporation that has the effect of increasing the proportionate share of the stock of any class or series of the corporation or of any subsidiary beneficially owned by the interested stockholder;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 or any direct or indirect majority-owned subsidiary.</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that is an affiliate or associate of the corporation and who beneficially owned 15% or more of the outstanding voting stock of the corporation at any time within the three year period immediately prior to the date of determining whether such entity or person is an interested stockholder, and any affiliate or associate of that entity or person.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Composition and Filling Vacancies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charter provides for the division of our board of directors into three classes serving staggered three-year terms, with one class being elected each year. Our charter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of directors, may only be filled by the affirmative vote of a majority of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Written Consent of Stockholders</w:t>
      </w:r>
    </w:p>
    <w:p>
      <w:pPr>
        <w:spacing w:after="0" w:line="119"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Our charter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stockholders without holding a meeting of stockholders.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Meetings of Stockholders</w:t>
      </w:r>
    </w:p>
    <w:p>
      <w:pPr>
        <w:spacing w:after="0" w:line="119"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Our charter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Requirements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 new business to be brought before meetings of Company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The provision would not apply to suits brought to enforce a duty or liability created by the Securities Act, the Exchange Act or any other claim for which the federal courts have exclusive jurisdiction. Our by-laws also provide that any person or entity purchasing or otherwise acquiring any interest in shares of our capital stock will be deemed to have notice of and to have consented to this choice of forum provision.</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our by-laws contain a provision by virtue of which unless we consent in writing to the selection of an alternative forum, the United States District Court for the District of Massachusetts will be the exclusive forum for resolving any complaint asserting a cause of action arising under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150 Royall Street, Canton, MA 02021, and its telephone number is (800) 962-4284.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the Nasdaq Global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“TECX.”</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12</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30" w:lineRule="exact"/>
        <w:rPr>
          <w:rFonts w:ascii="Times New Roman" w:cs="Times New Roman" w:eastAsia="Times New Roman" w:hAnsi="Times New Roman"/>
          <w:sz w:val="18"/>
          <w:szCs w:val="18"/>
          <w:color w:val="auto"/>
        </w:rPr>
      </w:pPr>
    </w:p>
    <w:p>
      <w:pPr>
        <w:ind w:left="5540" w:right="1420" w:hanging="4884"/>
        <w:spacing w:after="0" w:line="454" w:lineRule="auto"/>
        <w:tabs>
          <w:tab w:leader="none" w:pos="10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 14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to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the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or ACH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have filed forms of the warrant agreements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relating to a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or prices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force the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global security may be terminated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DTC will be the depositary for all securities issued in book-entry form.</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recognize an indirect holder as a holder of securities and instead deal only with the depositary that holds the global security.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67" w:lineRule="exact"/>
        <w:rPr>
          <w:sz w:val="20"/>
          <w:szCs w:val="20"/>
          <w:color w:val="auto"/>
        </w:rPr>
      </w:pPr>
    </w:p>
    <w:p>
      <w:pPr>
        <w:ind w:left="1080" w:right="2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sell the securities offered by this prospectus from time to time pursuant to underwritten public offerings, negotiated transactions, block trades or a combination of these methods. We may sell the securities offered by this prospectus to or through underwriters or dealers, through agents, or directly to one or more purchasers. We may distribute securities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also sell equity securities offered by this prospectus in an “at the market offering” as defined in Rule 415(a)(4) under the Securities 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offering may be made into an existing trading market for such securities in transactions at other than a fixed price, either:</w:t>
      </w:r>
    </w:p>
    <w:p>
      <w:pPr>
        <w:spacing w:after="0" w:line="112" w:lineRule="exact"/>
        <w:rPr>
          <w:sz w:val="20"/>
          <w:szCs w:val="20"/>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the Nasdaq Global Market or any other securities exchange or quotation or trading service on which such securities may be listed, quoted or traded at the time of sale; and/or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Nasdaq Global Market or such other securities exchanges or quotation or trading services.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“at the market offerings,” if any, may be conducted by underwriters acting as principal or agent.</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Only underwriters named in a prospectus supplement are underwriters of the securities offered by such prospectus supplement.</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320" w:top="455" w:right="5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0"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Other than common stock, all securities we offer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agents and underwriters who are qualified market makers on the Nasdaq Global Market may engage in passive market making transactions in the securities on the Nasdaq Global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89" w:lineRule="exact"/>
        <w:rPr>
          <w:sz w:val="20"/>
          <w:szCs w:val="20"/>
          <w:color w:val="auto"/>
        </w:rPr>
      </w:pPr>
    </w:p>
    <w:p>
      <w:pPr>
        <w:jc w:val="center"/>
        <w:ind w:right="80"/>
        <w:spacing w:after="0" w:line="454" w:lineRule="auto"/>
        <w:rPr>
          <w:sz w:val="20"/>
          <w:szCs w:val="20"/>
          <w:color w:val="auto"/>
        </w:rPr>
      </w:pPr>
      <w:r>
        <w:rPr>
          <w:rFonts w:ascii="Times New Roman" w:cs="Times New Roman" w:eastAsia="Times New Roman" w:hAnsi="Times New Roman"/>
          <w:sz w:val="18"/>
          <w:szCs w:val="18"/>
          <w:color w:val="auto"/>
        </w:rPr>
        <w:t>The specific terms of any lock-up provisions with respect to any given offering will be described in the applicable prospectus supplement. 25</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supplement hereto, will be passed upon by Cooley LLP.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financial statements of Tectonic Therapeutic, Inc. as of December 31, 2024 and 2023, and for the years then ended,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Statements in this prospectus or any prospectus supplement about these documents are summaries and each statement is qualified in all respects by reference to the document to which it refers.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that contains reports, proxy statements and other information regarding issuers that file electronically with the SEC, including us. The address of the SEC website is www.sec.gov.</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maintain a website at www.tectonictx.com. The information contained in, or that can be accessed through, our website is not incorporated by reference herein and is not part of this prospectus.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60"/>
          </w:cols>
          <w:pgMar w:left="320" w:top="455"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on Form 8-K or portions thereof furnished under Item 2.02 or Item 7.01 and exhibits filed pursuant to Item 9.01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the effectiveness of the registration statement, and (ii) after the effectiveness of the registration statement but prior to the termination of all offerings of securities covered by this prospectus:</w:t>
      </w:r>
    </w:p>
    <w:p>
      <w:pPr>
        <w:spacing w:after="0" w:line="100" w:lineRule="exact"/>
        <w:rPr>
          <w:sz w:val="20"/>
          <w:szCs w:val="20"/>
          <w:color w:val="auto"/>
        </w:rPr>
      </w:pPr>
    </w:p>
    <w:p>
      <w:pPr>
        <w:ind w:left="1080" w:right="20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29">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information specifically incorporated by reference into our Annual Report on Form 10-K for the year ended December 31, 2024 from our Definitive Proxy Statement on Schedule 14A, filed with the SEC on </w:t>
      </w:r>
      <w:hyperlink r:id="rId30">
        <w:r>
          <w:rPr>
            <w:rFonts w:ascii="Times New Roman" w:cs="Times New Roman" w:eastAsia="Times New Roman" w:hAnsi="Times New Roman"/>
            <w:sz w:val="18"/>
            <w:szCs w:val="18"/>
            <w:u w:val="single" w:color="auto"/>
            <w:color w:val="0000EE"/>
          </w:rPr>
          <w:t>April 25, 2025</w:t>
        </w:r>
      </w:hyperlink>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2025, filed with the SEC on </w:t>
      </w:r>
      <w:hyperlink r:id="rId31">
        <w:r>
          <w:rPr>
            <w:rFonts w:ascii="Times New Roman" w:cs="Times New Roman" w:eastAsia="Times New Roman" w:hAnsi="Times New Roman"/>
            <w:sz w:val="18"/>
            <w:szCs w:val="18"/>
            <w:u w:val="single" w:color="auto"/>
            <w:color w:val="0000EE"/>
          </w:rPr>
          <w:t>May 8,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2"/>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auto"/>
          </w:rPr>
          <w:t xml:space="preserve">our Current Reports on Form 8-K (other than information furnished rather than filed), filed with the SEC on </w:t>
        </w:r>
        <w:r>
          <w:rPr>
            <w:rFonts w:ascii="Times New Roman" w:cs="Times New Roman" w:eastAsia="Times New Roman" w:hAnsi="Times New Roman"/>
            <w:sz w:val="18"/>
            <w:szCs w:val="18"/>
            <w:u w:val="single" w:color="auto"/>
            <w:color w:val="0000EE"/>
          </w:rPr>
          <w:t>January 30,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3, 2025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 xml:space="preserve">May 19, 2025 </w:t>
        </w:r>
      </w:hyperlink>
      <w:hyperlink r:id="rId32">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June 6, 2025</w:t>
        </w:r>
      </w:hyperlink>
      <w:hyperlink r:id="rId32">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2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registered under Section 12 of the Exchange Act, described in </w:t>
      </w:r>
      <w:hyperlink r:id="rId35">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Form 10-K for the year ended December 31, 2024, filed with the SEC on </w:t>
      </w:r>
      <w:hyperlink r:id="rId29">
        <w:r>
          <w:rPr>
            <w:rFonts w:ascii="Times New Roman" w:cs="Times New Roman" w:eastAsia="Times New Roman" w:hAnsi="Times New Roman"/>
            <w:sz w:val="18"/>
            <w:szCs w:val="18"/>
            <w:u w:val="single" w:color="auto"/>
            <w:color w:val="0000EE"/>
          </w:rPr>
          <w:t>March 20, 2025</w:t>
        </w:r>
      </w:hyperlink>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or by telephoning us at the following address or phone number:</w:t>
      </w:r>
    </w:p>
    <w:p>
      <w:pPr>
        <w:spacing w:after="0" w:line="180"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490 Arsenal Way, Suite 210</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Watertown, Massachusetts 02472</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(339) 666-3320</w:t>
      </w:r>
    </w:p>
    <w:p>
      <w:pPr>
        <w:spacing w:after="0" w:line="207" w:lineRule="exact"/>
        <w:rPr>
          <w:rFonts w:ascii="Times New Roman" w:cs="Times New Roman" w:eastAsia="Times New Roman" w:hAnsi="Times New Roman"/>
          <w:sz w:val="18"/>
          <w:szCs w:val="18"/>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5"/>
          <w:szCs w:val="25"/>
          <w:b w:val="1"/>
          <w:bCs w:val="1"/>
          <w:color w:val="auto"/>
        </w:rPr>
        <w:t>Up to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341630</wp:posOffset>
            </wp:positionV>
            <wp:extent cx="2040255" cy="5657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20402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1421765</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883920</wp:posOffset>
            </wp:positionV>
            <wp:extent cx="1474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July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748665</wp:posOffset>
            </wp:positionV>
            <wp:extent cx="6995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817245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lowerRoman"/>
      <w:start w:val="2"/>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jpe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jpe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29" Type="http://schemas.openxmlformats.org/officeDocument/2006/relationships/hyperlink" Target="http://www.sec.gov/ix?doc=/Archives/edgar/data/0001681087/000095017025042648/tecx-20241231.htm" TargetMode="External"/><Relationship Id="rId30" Type="http://schemas.openxmlformats.org/officeDocument/2006/relationships/hyperlink" Target="http://www.sec.gov/ix?doc=/Archives/edgar/data/0001681087/000119312525096764/d949345ddef14a.htm" TargetMode="External"/><Relationship Id="rId31" Type="http://schemas.openxmlformats.org/officeDocument/2006/relationships/hyperlink" Target="http://www.sec.gov/ix?doc=/Archives/edgar/data/0001681087/000095017025067037/tecx-20250331.htm" TargetMode="External"/><Relationship Id="rId32" Type="http://schemas.openxmlformats.org/officeDocument/2006/relationships/hyperlink" Target="http://www.sec.gov/ix?doc=/Archives/edgar/data/0001681087/000119312525018840/d843684d8k.htm" TargetMode="External"/><Relationship Id="rId33" Type="http://schemas.openxmlformats.org/officeDocument/2006/relationships/hyperlink" Target="http://www.sec.gov/ix?doc=/Archives/edgar/data/0001681087/000119312525122511/d939029d8k.htm" TargetMode="External"/><Relationship Id="rId34" Type="http://schemas.openxmlformats.org/officeDocument/2006/relationships/hyperlink" Target="http://www.sec.gov/ix?doc=/Archives/edgar/data/0001681087/000119312525137149/d31142d8k.htm" TargetMode="External"/><Relationship Id="rId35" Type="http://schemas.openxmlformats.org/officeDocument/2006/relationships/hyperlink" Target="http://www.sec.gov/Archives/edgar/data/1681087/000095017025042648/tecx-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2025-07-15T16:06:58Z</dcterms:created>
  <dcterms:modified xsi:type="dcterms:W3CDTF">2025-07-15T16:06:58Z</dcterms:modified>
</cp:coreProperties>
</file>