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85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8563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407"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MACKAY GEOFFREY</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AVROBIO,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AVRO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200" w:type="dxa"/>
            <w:vAlign w:val="bottom"/>
          </w:tcPr>
          <w:p>
            <w:pPr>
              <w:spacing w:after="0"/>
              <w:rPr>
                <w:sz w:val="18"/>
                <w:szCs w:val="18"/>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12/28/2022</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TECHNOLOGY SQUARE,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397" w:lineRule="exact"/>
        <w:rPr>
          <w:sz w:val="20"/>
          <w:szCs w:val="20"/>
          <w:color w:val="auto"/>
        </w:rPr>
      </w:pPr>
    </w:p>
    <w:p>
      <w:pPr>
        <w:sectPr>
          <w:pgSz w:w="11900" w:h="16838" w:orient="portrait"/>
          <w:cols w:equalWidth="0" w:num="2">
            <w:col w:w="7680" w:space="60"/>
            <w:col w:w="3340"/>
          </w:cols>
          <w:pgMar w:left="460" w:top="217" w:right="359" w:bottom="407" w:gutter="0" w:footer="0" w:header="0"/>
          <w:type w:val="continuous"/>
        </w:sect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53" w:lineRule="exact"/>
        <w:rPr>
          <w:sz w:val="20"/>
          <w:szCs w:val="20"/>
          <w:color w:val="auto"/>
        </w:rPr>
      </w:pPr>
    </w:p>
    <w:p>
      <w:pPr>
        <w:sectPr>
          <w:pgSz w:w="11900" w:h="16838" w:orient="portrait"/>
          <w:cols w:equalWidth="0" w:num="2">
            <w:col w:w="3760" w:space="160"/>
            <w:col w:w="7160"/>
          </w:cols>
          <w:pgMar w:left="460" w:top="217" w:right="359" w:bottom="40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12/28/2022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245,123</w:t>
            </w:r>
            <w:r>
              <w:rPr>
                <w:rFonts w:ascii="Times New Roman" w:cs="Times New Roman" w:eastAsia="Times New Roman" w:hAnsi="Times New Roman"/>
                <w:sz w:val="21"/>
                <w:szCs w:val="21"/>
                <w:color w:val="008000"/>
                <w:w w:val="9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142,013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Geoff 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12/28/2022</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245,123</w:t>
            </w:r>
            <w:r>
              <w:rPr>
                <w:rFonts w:ascii="Times New Roman" w:cs="Times New Roman" w:eastAsia="Times New Roman" w:hAnsi="Times New Roman"/>
                <w:sz w:val="21"/>
                <w:szCs w:val="21"/>
                <w:color w:val="008000"/>
                <w:w w:val="94"/>
                <w:vertAlign w:val="superscript"/>
              </w:rPr>
              <w:t>(1)</w:t>
            </w:r>
          </w:p>
        </w:tc>
        <w:tc>
          <w:tcPr>
            <w:tcW w:w="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445,123</w:t>
            </w:r>
          </w:p>
        </w:tc>
        <w:tc>
          <w:tcPr>
            <w:tcW w:w="340" w:type="dxa"/>
            <w:vAlign w:val="bottom"/>
          </w:tcPr>
          <w:p>
            <w:pPr>
              <w:spacing w:after="0"/>
              <w:rPr>
                <w:sz w:val="17"/>
                <w:szCs w:val="17"/>
                <w:color w:val="auto"/>
              </w:rPr>
            </w:pPr>
          </w:p>
        </w:tc>
        <w:tc>
          <w:tcPr>
            <w:tcW w:w="520" w:type="dxa"/>
            <w:vAlign w:val="bottom"/>
          </w:tcPr>
          <w:p>
            <w:pPr>
              <w:jc w:val="center"/>
              <w:ind w:right="35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MacKay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01/24/2023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2"/>
                <w:szCs w:val="22"/>
                <w:color w:val="auto"/>
              </w:rPr>
            </w:pPr>
          </w:p>
        </w:tc>
        <w:tc>
          <w:tcPr>
            <w:tcW w:w="7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w w:val="98"/>
              </w:rPr>
              <w:t>45,999</w:t>
            </w:r>
          </w:p>
        </w:tc>
        <w:tc>
          <w:tcPr>
            <w:tcW w:w="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0.91</w:t>
            </w:r>
          </w:p>
        </w:tc>
        <w:tc>
          <w:tcPr>
            <w:tcW w:w="2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188,012</w:t>
            </w:r>
          </w:p>
        </w:tc>
        <w:tc>
          <w:tcPr>
            <w:tcW w:w="340" w:type="dxa"/>
            <w:vAlign w:val="bottom"/>
          </w:tcPr>
          <w:p>
            <w:pPr>
              <w:spacing w:after="0"/>
              <w:rPr>
                <w:sz w:val="22"/>
                <w:szCs w:val="22"/>
                <w:color w:val="auto"/>
              </w:rPr>
            </w:pPr>
          </w:p>
        </w:tc>
        <w:tc>
          <w:tcPr>
            <w:tcW w:w="52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72,604</w:t>
            </w:r>
          </w:p>
        </w:tc>
        <w:tc>
          <w:tcPr>
            <w:tcW w:w="340" w:type="dxa"/>
            <w:vAlign w:val="bottom"/>
          </w:tcPr>
          <w:p>
            <w:pPr>
              <w:spacing w:after="0"/>
              <w:rPr>
                <w:sz w:val="17"/>
                <w:szCs w:val="17"/>
                <w:color w:val="auto"/>
              </w:rPr>
            </w:pPr>
          </w:p>
        </w:tc>
        <w:tc>
          <w:tcPr>
            <w:tcW w:w="520" w:type="dxa"/>
            <w:vAlign w:val="bottom"/>
            <w:vMerge w:val="restart"/>
          </w:tcPr>
          <w:p>
            <w:pPr>
              <w:jc w:val="center"/>
              <w:ind w:right="35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daughter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son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72,604</w:t>
            </w:r>
          </w:p>
        </w:tc>
        <w:tc>
          <w:tcPr>
            <w:tcW w:w="340" w:type="dxa"/>
            <w:vAlign w:val="bottom"/>
          </w:tcPr>
          <w:p>
            <w:pPr>
              <w:spacing w:after="0"/>
              <w:rPr>
                <w:sz w:val="17"/>
                <w:szCs w:val="17"/>
                <w:color w:val="auto"/>
              </w:rPr>
            </w:pPr>
          </w:p>
        </w:tc>
        <w:tc>
          <w:tcPr>
            <w:tcW w:w="520" w:type="dxa"/>
            <w:vAlign w:val="bottom"/>
          </w:tcPr>
          <w:p>
            <w:pPr>
              <w:jc w:val="center"/>
              <w:ind w:right="35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person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01/24/2023</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45,999</w:t>
            </w:r>
          </w:p>
        </w:tc>
        <w:tc>
          <w:tcPr>
            <w:tcW w:w="4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30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06/12/2027</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45,999</w:t>
            </w:r>
          </w:p>
        </w:tc>
        <w:tc>
          <w:tcPr>
            <w:tcW w:w="2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a bona fide gift of common stock to The Geoff R. MacKay Irrevocable Trust. The reporting person disclaims beneficial ownership of the securities reported herein except to the extent of his pecuniary interest therein, if any, and this report shall not be deemed an admission that the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previously held in a custodial account for the Reporting Person's son, established pursuant to the Uniform Transfers to Minors Act ("UTMA"), for which the Reporting Person served as custodian. The shares have since been distributed to the Reporting Person's son, as required by the terms of the account upon the son attaining the age of 21. 54,453 shares were subsequently transferred to the Mac C. MacKay Irrevocable Trust on December 30, 2022.</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vested on June 13, 2018, and the remaining 75% vested in equal monthly installments thereafter over a three-year period.</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Steven Avruch, Attorney-in- </w:t>
      </w:r>
      <w:r>
        <w:rPr>
          <w:rFonts w:ascii="Times New Roman" w:cs="Times New Roman" w:eastAsia="Times New Roman" w:hAnsi="Times New Roman"/>
          <w:sz w:val="33"/>
          <w:szCs w:val="33"/>
          <w:color w:val="0000FF"/>
          <w:vertAlign w:val="subscript"/>
        </w:rPr>
        <w:t>01/26/2023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Geoffrey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36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2023-01-26T17:05:25Z</dcterms:created>
  <dcterms:modified xsi:type="dcterms:W3CDTF">2023-01-26T17:05:25Z</dcterms:modified>
</cp:coreProperties>
</file>