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3818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12, 2024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Technology Square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Sixth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AVROBIO,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333-277048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Erik Ostrowski: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comments.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5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 Filed February 14, 2024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to be sold in the Tectonic pre-closing private financings 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the shares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registered in this registration statement. The investors in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pre-closing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made their investment decision in a private offering and,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the sale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close privately. Please remove the Tectonic pre-closing financing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from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are the private financings?, page 2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this Q&amp;A,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summary risks and risk factors, and elsewhere</w:t>
            </w: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appropriate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closing of the merger is not conditioned upon the</w:t>
            </w:r>
          </w:p>
        </w:tc>
        <w:tc>
          <w:tcPr>
            <w:tcW w:w="310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highlight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closing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financings in the anticipated aggregate amount of</w:t>
            </w:r>
          </w:p>
        </w:tc>
        <w:tc>
          <w:tcPr>
            <w:tcW w:w="3100" w:type="dxa"/>
            <w:vAlign w:val="bottom"/>
          </w:tcPr>
          <w:p>
            <w:pPr>
              <w:ind w:left="6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Tectonic private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$130.7 million.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note your disclosure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40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effect on page 27. Discuss risks and uncertainties if Erik Ostrowski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AVROBIO,LastNameErik</w:t>
        <w:tab/>
        <w:t>Ostrowski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NameAVROBIO,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12,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are asked to make voting decisions without knowing whether the private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financings will close in timely manner, or at all. Discuss the combined company 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position and related risks in the event that the merger closes without the private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financings in place.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are the two companies proposing to merge?, page 2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clarify the combined company's plans with respect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AVROBIO's legacy business. In this regard, we note your disclosure on page 13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throughout that on July 12, 2023, AVROBIO halted development of its clinical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research programs to explore strategic alternatives which may include, but are not</w:t>
      </w:r>
    </w:p>
    <w:p>
      <w:pPr>
        <w:ind w:right="401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limited to, a divestiture of its legacy business. What are contingent value rights (CVRs)?, page 5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disclose here and elsewhere that AVROBIO stockholders of record "as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immediately prior to the effective time" will receive one non-transferable CVR for each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outstanding share of AVROBIO common stock held by such stockholder 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date. However, disclosure following the first bullet on page 190 states that a record date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agreed to by AVROBIO and Tectonic prior to the effective time, and disclosure on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237 states that the record date for the CVR distribution will be the "close of business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business day immediately prior to the day on which the effective time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occurs." Please revise throughout to reconcile your disclosures and clarify the record date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issuance of CVRs to AVROBIO stockholders.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the common stock of the combined company trade on an exchange?, page 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AVROBIO intends to file an initial listing application for the combined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  s common stock with Nasdaq and that it is expected that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stock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 trade on the exchange. We also note Section 6.10 of the Merger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 provides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that the approval of the listing of the additional shares of AVROBIO's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common stock on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Time.</w:t>
            </w:r>
          </w:p>
        </w:tc>
        <w:tc>
          <w:tcPr>
            <w:tcW w:w="74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Nasdaq shall have been conditionally approved prior to the Effective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the Letter to Stockholders, Q&amp;A, and elsewhere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throughout as</w:t>
            </w:r>
          </w:p>
        </w:tc>
        <w:tc>
          <w:tcPr>
            <w:tcW w:w="5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clarify that the closing of the merger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appropriate</w:t>
            </w:r>
          </w:p>
        </w:tc>
        <w:tc>
          <w:tcPr>
            <w:tcW w:w="5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conditioned upon Nasdaq</w:t>
            </w:r>
          </w:p>
        </w:tc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gridSpan w:val="3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approval of the listing application.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whether this condition is waivable and if so, by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party or parties.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 determination will be known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Indicate whether or not Nasdaq</w:t>
            </w: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time that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stockholders are asked to vote to approve the merger.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also include a cross-reference to risk factor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stating that the potential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7460" w:type="dxa"/>
            <w:vAlign w:val="bottom"/>
            <w:gridSpan w:val="4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reverse stock split may not result in an increase in the combined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stock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initial or continued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gridSpan w:val="3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price necessary to satisfy Nasdaq</w:t>
            </w:r>
          </w:p>
        </w:tc>
        <w:tc>
          <w:tcPr>
            <w:tcW w:w="3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listing requirements for the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combined company.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are the material U.S. federal income tax consequences of the merger to U.S. Holders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common stock?, page 11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AVROBIO,LastNameErik</w:t>
        <w:tab/>
        <w:t>Ostrowski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NameAVROBIO,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12, 2024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representation here and beginning on page 219 that the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partiesintend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to qualify as a reorganization within the meaning of Section 368(a) of the U.S.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86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Internal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Revenue Code of 1986,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amended (the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).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your disclosure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 sections addressing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here and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throughout, including</w:t>
            </w:r>
          </w:p>
        </w:tc>
        <w:tc>
          <w:tcPr>
            <w:tcW w:w="2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consequences of the</w:t>
            </w:r>
          </w:p>
        </w:tc>
        <w:tc>
          <w:tcPr>
            <w:tcW w:w="4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firm opinion for each material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CVRs, to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counsel</w:t>
            </w:r>
          </w:p>
        </w:tc>
        <w:tc>
          <w:tcPr>
            <w:tcW w:w="4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consequence, including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merger will qualify as a reorganization, or to explain why such opinion cannot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given. If the opinion is subject to uncertainty, please: (1)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80" w:type="dxa"/>
            <w:vAlign w:val="bottom"/>
            <w:gridSpan w:val="2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provide an opinion that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reflects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degree of uncertainty (e.g.,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likely than not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and</w:t>
            </w: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facts or circumstances giving rise to the uncertainty; and (2)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disclosure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alternative tax consequences including risk factor and/or other appropriate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setting forth the risks of uncertain tax treatment to investors. Also, please file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tax opinion as an exhibit to the registration statement. Please refer to Item 601(b)(8)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and Section III.A. of Staff Legal Bulletin 19, Legality and Tax Opinions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Registered Offerings.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 page 13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pages 13 and 17, please revise the Summary and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Q&amp;A to highlight, if true, that if the merger is completed, the combined company will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focus on developing Tectonic's product candidates, and it is anticipated that the combined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will not continue to develop AVROBIO's legacy product candidates. Also,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the Q&amp;A on page 5 to provide context for the discussion of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CVRs.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Tectonic, page 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Summary and Tectonic's Business section to provide context and balance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discussion of Tectonic's proprietary technology platform, GEODe. To the extent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highlight the capabilities of the platform and Tectonic's belief that it can "overcome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existing challenges of GPCR-targeted drug discovery" when engineering product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candidates, please also explain that Tectonic has limited experience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 discovery and development and that the platform may never result in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approval of a product candidate.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Interests of AVROBIO's Directors and Executive Officers in the Merger, page 20</w:t>
      </w:r>
    </w:p>
    <w:p>
      <w:pPr>
        <w:spacing w:after="0" w:line="19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in the parallel sections of the registration statement regarding the interests of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Tectonic's directors and executive officers in the merger, please revise to quantify 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the interests of such parties. For example only, please disclose on an aggregate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basis: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value of options to purchase AVROBIO common stock that will be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accelerated vesting, and the value of RSUs that will be subject to accelerated vesting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settlement into shares of AVROBIO common stock, including any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</w:t>
      </w:r>
    </w:p>
    <w:p>
      <w:pPr>
        <w:ind w:right="6759" w:firstLine="105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 FirstName AVROBIO,LastNameErik Ostrowski</w:t>
      </w:r>
    </w:p>
    <w:p>
      <w:pPr>
        <w:spacing w:after="0" w:line="19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NameAVROBIO,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March4 12, 2024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assumptions; and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additional cash payments or "golden parachute"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to be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in connection with the merger due to change in control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employment contract terminations, consulting fees, etc.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elsewhere as appropriate, please revise to explain whether any material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to AVROBIO's executives, such as "golden parachute"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that is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or otherwise relates to the merger, will be excluded from the calculation of "net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cash" at the determination time, and if so, disclose the types and aggregate amounts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payments and explain the impact to other AVROBIO stockholders. In this regard, we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disclosure regarding the calculation of AVROBIO's net cash beginning on page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216 and your disclosures throughout that under certain circumstances the ownership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percentages in the combined company may be adjusted up or down depending on the</w:t>
      </w:r>
    </w:p>
    <w:p>
      <w:pPr>
        <w:ind w:left="96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AVROBIO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net cash as of closing.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Proposed Reverse Stock Split, page 38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principal purpose of the reverse stock split is to increase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AVROBIO's common stock price so that the combined company is able to meet initial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 listing requirements and the shares of AVROBIO common stock being issued in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 will be approved for listing. In your risk factors and elsewhere as appropriate: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minimum size of the reverse split that will be necessary for listing.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indicate the criteria, if any, for the ratio to be used for the reverse stock split.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indicate whether you intend to use the minimum ratio or a larger ratio</w:t>
      </w:r>
    </w:p>
    <w:p>
      <w:pPr>
        <w:ind w:right="24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 attempt for a higher price per share subsequent to the reverse stock split.</w:t>
      </w:r>
    </w:p>
    <w:p>
      <w:pPr>
        <w:ind w:right="26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effects on the proposed transaction and/or the combined company of a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failure to comply with the initial listing requirements of Nasdaq. If the Nasdaq listing</w:t>
      </w:r>
    </w:p>
    <w:p>
      <w:pPr>
        <w:ind w:right="25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of the combined company is a condition that can be waived, please include a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the potential consequences to investors, including the ability of</w:t>
      </w:r>
    </w:p>
    <w:p>
      <w:pPr>
        <w:ind w:right="21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to buy and sell shares of common stock, if the Nasdaq does not approve the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 application of the combined company, but the election is made to waive the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condition and proceed with the merger.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state on page 39 that there can be no assurance that the stock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the</w:t>
      </w:r>
    </w:p>
    <w:p>
      <w:pPr>
        <w:ind w:right="25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will meet the listing requirements for any meaningful period of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time. Please enhance your disclosure to explain the effects on the combined company</w:t>
      </w:r>
    </w:p>
    <w:p>
      <w:pPr>
        <w:ind w:right="22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its shareholders of a failure to comply with the continued listing requirements of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Nasdaq, including the potential delisting of its common stock and its impact. Please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 revise your summary risk factor on page 30 to explain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effect on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combined company if the reverse stock split does not increase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s stock price over both the short- or long-term so as to qualify for Nasdaq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AVROBIO,LastNameErik</w:t>
        <w:tab/>
        <w:t>Ostrowski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2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NameAVROBIO,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March5 12,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AVROBIO, page 43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state in the risk factor on page 89 that: "In particular, AVROBIO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had in-</w:t>
      </w:r>
    </w:p>
    <w:p>
      <w:pPr>
        <w:ind w:right="2119" w:firstLine="948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licensed certain intellectual property rights and know-how from the University Health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ind w:left="960"/>
        <w:spacing w:after="0"/>
        <w:tabs>
          <w:tab w:leader="none" w:pos="2200" w:val="left"/>
          <w:tab w:leader="none" w:pos="2840" w:val="left"/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Network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UHN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) (relevant to AVR-RD-01 and AVROBIO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Fabry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program, which</w:t>
      </w: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 deprioritized in January 2022) and affiliates of Lund University (relevant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AVR-RD-02 and AVROBIO s Gaucher type 1 and type 3 programs), which license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 was terminated as of January 4, 2024." Please revise herein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as applicable</w:t>
            </w: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license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agreement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more</w:t>
            </w: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clearly disclose, if true, that the termination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</w:t>
            </w: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only with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disease program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with Lund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UHN,</w:t>
            </w:r>
          </w:p>
        </w:tc>
        <w:tc>
          <w:tcPr>
            <w:tcW w:w="5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as we note the development of AVROBIO's Gaucher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University appears to remain in effect, as indicated on page 321 and elsewhere.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AVROBIO's HSC lentiviral-based gene therapy product candidates are based on a novel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technology..., page 53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remove or revise conclusory statements regarding AVROBIO product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candidates' performance. In this regard, we note your reference to "favorable preliminary</w:t>
      </w:r>
    </w:p>
    <w:p>
      <w:pPr>
        <w:jc w:val="both"/>
        <w:ind w:right="643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results observed to date." Risks Related to Tectonic, page 102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risk factor on page 105, you disclose that Tectonic concluded that its recurring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losses from operations and need for additional financing to fund future operations raise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doubt about its ability to continue as a going concern in its financial statements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year ended December 31, 2022 and the nine months ended September 30, 2023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"Similarly, Tectonic s independent registered public accounting firm included 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explanatory paragraph in its report on Tectonic s financial statements for the year ended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2022 and the nine months ended September 30, 2023 with respect to this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uncertainty." Please revise this sentence to remove the implication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a report was issued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Tectonic's auditor for the nine months ended September 30, 2023.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bylaws of the combined company will provide that..., page 160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15.</w:t>
            </w:r>
          </w:p>
        </w:tc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Consistent with your risk factor disclosure on page 101, please revise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state that there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uncertainty as to whether a court would enforce the Federal Forum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provision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combined company's bylaws. In this regard, we note that Section 22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Securities Act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creates concurrent jurisdiction for federal and state courts over 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suits brought to enforce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any duty or liability created by the Securities Act or the rules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regulations thereunder.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Merger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Background of the Merger, page 171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16.</w:t>
            </w:r>
          </w:p>
        </w:tc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You disclose that at the July 6, 2023 meeting, the AVROBIO Board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identified certain reverse merger candidate criteria ("Critera"),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such Critera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"continued to be discussed, expanded and/or refined at subsequent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meetings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jc w:val="right"/>
              <w:ind w:right="6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AVROBIO,LastNameErik   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NameAVROBIO,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7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jc w:val="right"/>
              <w:ind w:right="6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March6 12, 2024 Page 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7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Transaction Committee." Please revise your background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explain how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why the Criteria evolved subsequent to the July 6, 2023 meeting, and identify who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any expansion, refinement or revision of the Criteria and any material resulting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in this regard.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With respect to the various starting pools of potential reverse merger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 w:line="230" w:lineRule="auto"/>
        <w:tabs>
          <w:tab w:leader="none" w:pos="940" w:val="left"/>
        </w:tabs>
        <w:framePr w:w="940" w:h="349" w:wrap="auto" w:vAnchor="page" w:hAnchor="page" w:x="280" w:y="1371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spacing w:after="0" w:line="2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candidates: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page 174 to explain how advisor TD Cowen identified and selected the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85 companies to which it began distributing process letters on July 18, 2023,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with respect to the Criteria identified by the AVROBIO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at the July 6, 2023 meeting.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page 179 to explain how AVROBIO management and its advisors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the</w:t>
      </w:r>
    </w:p>
    <w:p>
      <w:pPr>
        <w:ind w:right="27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with which to engage or re-engage following the termination of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9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discussions with Party O, including with respect to the discussions of initial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impressions of quality and actionability across the Critera at the October 23, 2023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page 178 to explain Party O's relative strengths in relation to the Criteria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led the Transaction Committe to determine to proceed to a term sheet with Party O.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November 10, 2023 and November 17, 2023 entries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180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181, respectively, to:</w:t>
      </w:r>
    </w:p>
    <w:p>
      <w:pPr>
        <w:ind w:right="26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Summarize the Transaction Committee's discussions of their impressions of the</w:t>
      </w:r>
    </w:p>
    <w:p>
      <w:pPr>
        <w:ind w:right="24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quality and actionability of Tectonic and Party R across the Criteria as reverse merger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counterparties.</w:t>
      </w:r>
    </w:p>
    <w:p>
      <w:pPr>
        <w:ind w:right="27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revise pages 180-182 to describe the "uncertainties" and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540" w:type="dxa"/>
            <w:vAlign w:val="bottom"/>
            <w:gridSpan w:val="2"/>
          </w:tcPr>
          <w:p>
            <w:pPr>
              <w:ind w:left="13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"continued" concerns</w:t>
            </w:r>
          </w:p>
        </w:tc>
        <w:tc>
          <w:tcPr>
            <w:tcW w:w="158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about Party R</w:t>
            </w:r>
          </w:p>
        </w:tc>
        <w:tc>
          <w:tcPr>
            <w:tcW w:w="320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ability to meet one or more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the Criteria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</w:t>
            </w:r>
          </w:p>
        </w:tc>
        <w:tc>
          <w:tcPr>
            <w:tcW w:w="4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were discussed at various meetings.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ind w:left="1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compared to Tectonic</w:t>
            </w:r>
          </w:p>
        </w:tc>
        <w:tc>
          <w:tcPr>
            <w:tcW w:w="4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ind w:left="1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Further with respect</w:t>
            </w:r>
          </w:p>
        </w:tc>
        <w:tc>
          <w:tcPr>
            <w:tcW w:w="47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 November 17, 2023 entry, explain why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 Transaction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continue to evaluate and negotiate terms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ind w:left="1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Committee determined</w:t>
            </w:r>
          </w:p>
        </w:tc>
        <w:tc>
          <w:tcPr>
            <w:tcW w:w="4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Company R</w:t>
            </w:r>
          </w:p>
        </w:tc>
        <w:tc>
          <w:tcPr>
            <w:tcW w:w="6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light of the Committee's decision the same day to decline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ind w:left="1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</w:t>
            </w:r>
          </w:p>
        </w:tc>
        <w:tc>
          <w:tcPr>
            <w:tcW w:w="6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advance other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 term sheet phase due to weaknesses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540" w:type="dxa"/>
            <w:vAlign w:val="bottom"/>
            <w:gridSpan w:val="2"/>
          </w:tcPr>
          <w:p>
            <w:pPr>
              <w:ind w:left="1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companies' proposals</w:t>
            </w:r>
          </w:p>
        </w:tc>
        <w:tc>
          <w:tcPr>
            <w:tcW w:w="4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with respect to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least one of the Criteria.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the interactions between the representatives and advisors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 and Party R from and after the November 17, 2023 meeting of the AVROBIO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Committee until the November 27, 2023 meeting, at which time it appears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said Committee authorized AVROBIO management to communicate to Party R that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 would be ending its engagement with Party R toward a strategic transaction.</w:t>
      </w:r>
    </w:p>
    <w:p>
      <w:pPr>
        <w:ind w:right="307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page 183 to disclose any interaction between representatives of AVROBIO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Party GGG from and after submission of the Party GGG December 7, 2023 Proposal.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Transaction Committee's consideration of this proposal, and when and why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GGG was eliminated from consideration as a potential reverse merger candidate.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negotiations between AVROBIO and Tectonic: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AVROBIO,LastNameErik</w:t>
        <w:tab/>
        <w:t>Ostrowski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NameAVROBIO,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March7 12, 2024 Page 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throughout this section to provide greater detail as to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material terms of the transaction structure and consideration evolved during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negotiations through proposals and counter-proposals. For example, please revise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explain the reason(s) for the inclusion of, and any revisions to, the material terms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spacing w:after="0" w:line="230" w:lineRule="auto"/>
        <w:framePr w:w="940" w:h="349" w:wrap="auto" w:vAnchor="page" w:hAnchor="page" w:x="280" w:y="1249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initial non-binding indication of interest AVROBIO received from Tectonic</w:t>
      </w: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October 23, 2023 through the Tectonic Term Sheet dated December 13, 2023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final Merger Agreement executed January 30, 2024. Explain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party</w:t>
      </w:r>
    </w:p>
    <w:p>
      <w:pPr>
        <w:ind w:right="243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initial terms and requested revised terms, and the reason(s) they did so.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revisions, please specifically include a materially complete description of the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discussions and/or "negotiations on the economics of a potential reverse merger with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Tectonic," particularly the structure, types, and amount of the merger consideration,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but not limited to: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acceleration of AVROBIO options and RSUs;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contingent value rights to be issued to pre-merger AVROBIO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valuations of the parties, including the additional $12.5 million ascribed by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 w:right="2119" w:firstLine="10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to AVROBIO in excess of its ending net cash position; the Exchange Ratio;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concurrent private financings with Tectonic;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minimum closing cash condition. In this regard, we note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18 and 189 that Tectonic s obligation to complete the merger is conditioned on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 having at least $50.0 million closing net cash.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Avrobio's Reasons for the Merger, page 187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among the factors the AVROBIO Board viewed as supporting its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 to approve the Merger Agreement as the Board's belief that Tectonic constituted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"most compelling" reverse merger counterparty as it pertains to each of the Criteria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enumerated by the Avrobio board. Please revise in the appropriate place to explain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this belief.</w:t>
      </w:r>
    </w:p>
    <w:p>
      <w:pPr>
        <w:ind w:right="527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Houlihan Lokey to the AVROBIO Board Material Financial Analyses, page 202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as follows:</w:t>
      </w:r>
    </w:p>
    <w:p>
      <w:pPr>
        <w:spacing w:after="0" w:line="3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in more detail the underlying methodology and selection criteria the advisor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to select the public companies, M&amp;A transactions, IPO transactions, and private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transactions it deemed relevant. If any companies or transactions otherwise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 the criteria were excluded, please briefly explain why.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conclusions of the advisor's various analyses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relative to Tectonic,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how the results of each analysis formed the basis for selecting an implied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enterprise value reference range for Tectonic.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- Selected Companies Analysis, page 203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AVROBIO,LastNameErik</w:t>
        <w:tab/>
        <w:t>Ostrowski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NameAVROBIO,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March8 12, 2024 Page 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table on page 203 to include the number of products in the development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 for the selected companies. In this regard, we note your disclosure that the</w:t>
      </w:r>
    </w:p>
    <w:p>
      <w:pPr>
        <w:ind w:right="46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 reviewed this data in its analysis. Nasdaq Stock Market Listing, page 222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tabs>
          <w:tab w:leader="none" w:pos="940" w:val="left"/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disclose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certain period of time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the proposed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reverse stock split wherein the combined company must maintain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bid price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$4.00 in order for the Nasdaq listing application to be accepted.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the Completion of the Merger, page 243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7" w:name="page8"/>
    <w:bookmarkEnd w:id="7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clarify which conditions are waivable and by which party 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parties. As appropriate, please revise your risk factors to address material risks associated</w:t>
      </w:r>
    </w:p>
    <w:p>
      <w:pPr>
        <w:ind w:right="65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waivable conditions. Tectonic's Business, page 342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section to discuss the development history of Tectonic's GEODe platform. For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instance, discuss whether it was developed internally and whether current Tectonic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employees were responsible for such development. Clarify whether the platform is fully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developed. Additionally, explain how Tectonic has utilized and plans to utilize this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to execute its product development strategy. In light of Tectonic's early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stage, provide the basis for the following statements, or revise as appropriate</w:t>
      </w:r>
    </w:p>
    <w:p>
      <w:pPr>
        <w:ind w:left="1380" w:right="255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indicate if such statements are currently aspirational: Tectonic "uses its proprietary GEODe technology platform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overcome the existing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challenges of GPCR-targeted drug discovery..." (pages 14, 342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391).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Tectonic "believes that its GEODe platform holds the potential to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consistently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 compelling pipeline assets..." (page 343).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descriptions of Tectonic's identified and potential product candidates and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related preclinical and clinical trials include conclusory statements that such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are, or are likely to be, effective. You may present a balanced summary of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objective pre-clinical and clinical data, including whether clinical trials trial met primary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secondary endpoints without including your conclusions related to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efficacy.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please remove or revise all statements throughout that present speculation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conclusions regarding the efficacy of Tectonic's product candidates,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these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determinations are solely within the authority of the FDA and comparable regulatory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bodies. By way of example only: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350 that TX45 "demonstrated efficacy" in a rat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 of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pulmonary hypertension, and the statement beginning on page 354 that Tectonic's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GPCR3 antagonist "provides efficacy in a mouse model of HHT."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Numerous other statements imply the efficacy of Tectonic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candidates, such as those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drawing comparison between your product candidates or their mechanisms of action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other unapproved medicinal agents that have been tested for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AVROBIO,LastNameErik</w:t>
        <w:tab/>
        <w:t>Ostrowski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NameAVROBIO,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March9 12, 2024 Page 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indications. You state on page 347 that PDE5 inhibitors have "shown some benefit"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"shown some efficacy" in HFrEF patients with CpcPH, and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conclude that</w:t>
      </w: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"the efficacy shown with PDE5 inhibitors in CpcPH suggests the potential of success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engineered Fc-relaxin-fusions such as TX45 in CpCPH, because relaxin activates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nitric oxide signaling pathway by which PDE5 inhibitors exert their action."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references to companion diagnostic tests on pages 131, 136 and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material, please revise your description of Tectonic's business to explain whether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is currently developing, or plans to develop, any companion diagnostic test(s) for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8" w:name="page9"/>
    <w:bookmarkEnd w:id="8"/>
    <w:p>
      <w:pPr>
        <w:spacing w:after="0" w:line="230" w:lineRule="auto"/>
        <w:framePr w:w="940" w:h="349" w:wrap="auto" w:vAnchor="page" w:hAnchor="page" w:x="280" w:y="12697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with its therapeutic product candidates. If so, please address the following or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 advise: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in the Summary and Business sections how Tectonic plans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 and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companion diagnostics in its development strategy. Further explain how, if at all,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use may relate to the patient enrichment strategy you reference with respect to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Tectonic's planned Phase 1b trial of TX45 on page 353. Include balancing disclosure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any material risks or challenges that the development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use of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companion diagnostics might pose to Tectonic's business and/or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strategy.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whether Tectonic currently anticipates that any or all of its programs will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 it to develop and obtain FDA or other regulatory approval of a companion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diagnostic.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appropriate, include summary risk and corresponding risk factor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addressing the risks and challenges related to any proposed use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companion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diagnostic tools.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appropriate, revise your discussion of government regulation to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 regulation of companion diagnostics.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it appears that part of Tectonic's business strategy is to perform preclinical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clinical trials in various countries to generate data to be used to seek FDA approval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United States, please revise your disclosure to clarify your development strategy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regard.</w:t>
      </w:r>
    </w:p>
    <w:p>
      <w:pPr>
        <w:ind w:right="23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Depending on clinical trial results, explain whether Tectonic intends to seek approval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any product candidates in the United States before, or concurrently with, seeking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in other jurisdictions.</w:t>
      </w:r>
    </w:p>
    <w:p>
      <w:pPr>
        <w:ind w:right="29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TX45 and any other product candidate in development, please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location of completed, ongoing, and planned preclinical and clinical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trials.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known or planned, disclose at what point in the development process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intends to seek the FDA's input or involvement in the product development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regulatory approval processes for TX45.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that before Tectonic can commence clinical trials for any product candidate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United States, it must be able to support a future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540" w:type="dxa"/>
            <w:vAlign w:val="bottom"/>
            <w:gridSpan w:val="2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Investigational New Drug</w:t>
            </w:r>
          </w:p>
        </w:tc>
        <w:tc>
          <w:tcPr>
            <w:tcW w:w="5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) applications in the United States. Disclose, as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</w:t>
            </w:r>
          </w:p>
        </w:tc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 on page 113,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jc w:val="right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AVROBIO,LastNameErik</w:t>
            </w:r>
          </w:p>
        </w:tc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NameAVROBIO, Inc.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March1012, 2024 Page 10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Tectonic has not interacted with or submitted any IND to the FDA and all of its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have, to date, been conducted in Australia.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Further, disclose as you do</w:t>
      </w: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364, that when a foreign clinical trial is not conducted under an IND, the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 must ensure that the trial complies with certain regulatory requirements of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FDA in order to use the trial as support for an IND or application for marketing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 Also highlight that the clinical data Tectonic generates abroad may not be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accepted by the FDA or comparable foreign regulatory authorities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9" w:name="page10"/>
    <w:bookmarkEnd w:id="9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if so, may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in the need to conduct additional trials.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your disclosure that Tectonic is very early in its development efforts, and that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currently has only identified lead asset TX45 for clinical development and that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 is still in Phase 1 clinical trials, please review this section and revise statements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as those in the non-exhaustive list below to provide context for your beliefs and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expectations regarding Tectonic's business and the potential performance of the Tectonic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 under development. Where appropriate, qualify such statements,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those that are currently aspirational.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has elected to prioritize development of TX45 in Group 2 PH/HfpEF in part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because the physiological actions of relaxin "will likely address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key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pathophysiology of the disease" (page 343).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Tectonic's single-chain engineering "streamlines the scale-up manufacturing process"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(page 345).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has also identified an indication, Group 2 PH / HFpEF, that "appears to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ideal setting in which to fully realize the therapeutic potential of relaxin" (page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345).</w:t>
      </w:r>
    </w:p>
    <w:p>
      <w:pPr>
        <w:ind w:right="31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"GEODeTM has overcome the challenges of GPCR targeted biologics..." (page 356).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Testing of Group 1 PH (PAH) Drugs as Treatments for Group 2 PH - Implications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PDE5i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Results, page 347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review and revise throughout where appropriate to remove premature conclusory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references, such as to results that "should" or "would" occur in prelinical or clinical testing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Tectonic product candidates. In this regard, refer to the following non-exhaustive list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examples:</w:t>
      </w:r>
    </w:p>
    <w:p>
      <w:pPr>
        <w:ind w:right="26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TX45, a single-chain relaxin-Fc fusion protein, "should be compatible with chronic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administration via intermitted subcutaneous injection" (page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345).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Relaxin's pulmonary and systemic vasodilatory activity "should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12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unload the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while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relaxin</w:t>
            </w:r>
          </w:p>
        </w:tc>
        <w:tc>
          <w:tcPr>
            <w:tcW w:w="3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anti-fibrotic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left ventricle,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anti-inflammatory activities should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ind w:left="14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promote reverse</w:t>
            </w:r>
          </w:p>
        </w:tc>
        <w:tc>
          <w:tcPr>
            <w:tcW w:w="510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remodeling of the left ventricle in HFpEF" (page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347).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relax the heart muscle "should improve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7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Relaxin   s ability to</w:t>
            </w:r>
          </w:p>
        </w:tc>
        <w:tc>
          <w:tcPr>
            <w:tcW w:w="4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diastolic filling in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347);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HFpEf..." (page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benefits would also extend to IpcPH patients and thus to the entire Group 2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PH/HFpEF population" (page 347).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34.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We note that Figure 3 on page 347, as well as numerous other figures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throughout the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Tectonic Business section, includes text that is too small to be read.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review and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AVROBIO,LastNameErik</w:t>
            </w: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NameAVROBIO,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</w:t>
            </w: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March1112,</w:t>
            </w: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11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jc w:val="both"/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figures and graphics throughout to ensure that the text in each, including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 or other notations, are clearly legible.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on TX45, page 349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179" w:firstLine="8"/>
        <w:spacing w:after="0" w:line="257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Figure 5 on page 349 purports to compare the pharmacokinetic profile of</w:t>
      </w:r>
    </w:p>
    <w:p>
      <w:pPr>
        <w:ind w:right="21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TX45 with an earlier TX parent compound and a "different Fc-relaxin fusion described in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10" w:name="page11"/>
    <w:bookmarkEnd w:id="10"/>
    <w:p>
      <w:pPr>
        <w:ind w:right="21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literature." Please revise to clarify whether the comparison of Tectonic compounds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comparator was conducted on a head-to-head basis. If you did not conduct a head-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to-head trial, please revise to clearly disclose that fact. If you intend to retain disclosure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comparator relaxin therapeutic, please expand your disclosure to include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citation or citations to the scientific literature to which you refer, and provide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data regarding the comparator.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all claims or conclusions related to efficacy and focus your disclosure on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objective data resulting from preclinical studies and clinical trials. With respect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trials with TX45, you may compare the objective results without concluding the trials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demonstrated your candidate is "superior." In this regard, please remove or revise your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to TX45's "superior PK profile" and "superior tissue penetration" in Figure 5</w:t>
      </w:r>
    </w:p>
    <w:p>
      <w:pPr>
        <w:ind w:right="633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Figure 7, respectively. TX45 Pharmacology Studies, page 350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of your preclinical animal studies as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follows: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Briefly describe the number of animal models used, the number of tests conducted,</w:t>
      </w:r>
    </w:p>
    <w:p>
      <w:pPr>
        <w:ind w:right="23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animals tested, the range of results or effects observed in these tests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how such results were measured.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whether or not the data from any preclinical model was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 to be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statistically significant. Include the p-value, and at first use, please provide a brief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regarding how p-values are used to measure statistical significance and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p-value that you have to achieve to conclude a statistically significant result.</w:t>
      </w:r>
    </w:p>
    <w:p>
      <w:pPr>
        <w:ind w:right="2759" w:firstLine="136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whether you have published the data for any of your preclinical studies.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TX45 Clinical Development Studies and Plans, page 352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38.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respect to the Phase 1 study of TX45 in healthy volunteers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currently ongoing in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Australia and the planned Phase 1b trials of TX45 expected to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conducted in Moldova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and the Netherlands in 1H 2024, please disclose additional information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regarding the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scope and design of such studies, including: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number of volunteers or patients being studied, including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in each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cohort;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duration of treatment;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dosage information, including the expected timing of participant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dosing as well as the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and frequency;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jc w:val="right"/>
              <w:ind w:right="8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AVROBIO,LastNameErik</w:t>
            </w: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NameAVROBIO,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7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jc w:val="right"/>
              <w:ind w:right="8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12, 2024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March1212, 2024 Page 12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 enrichment strategies or criteria, as applicable. In this regard, we note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353 that the planned Phase 1b trial is "designed to enrich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CpcPH population subgroup during enrollment."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TX45 Non-clinical Toxicology Studies, page 352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define the acronym "NOAEL" at first use, and explain the relevance of the</w:t>
      </w:r>
    </w:p>
    <w:p>
      <w:pPr>
        <w:ind w:right="25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NOAEL to the toxicology study findings discussed on page 352. Phase 2 6-month Proof of Concept Study in Group 2 PH and HFpEF, page 353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11" w:name="page12"/>
    <w:bookmarkEnd w:id="11"/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40.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that Tectonic   s TX45 Phase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proof-of-concept clinical trial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patients with Group 2 PH and HFpEF is expected to begin in the second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half of 2024. If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true, please revise to clarify that the commencement of such Phase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study is dependent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upon the results of Tectonic's Phase 1 trials.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2 PH Anticipated Pivotal Development Pathway, page 353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41.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qualify the first sentence of this paragraph.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Collaboration, License and Services Agreements, page 356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42.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revise your disclosure regarding the Harvard License Agreement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follows: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Quantify all material payment terms, including quantification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upfront license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fee and any installments thereof, amounts paid to date in cash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 of common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stock, and aggregate potential milestone payments segregated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development and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commercial milestone payments.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With respect to applicable royalty rates to be paid, disclose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rates within a range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ten percentage points. In this regard, we note your reference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 royalty rate "in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low double digits" on page 357.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state that this agreement expires upon the expiration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last-to-expire royalty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term. Please revise to clarify when the patents underlying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royalty term are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43.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expected to expire.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this section to include a discussion of the Alloy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Therapeutics License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Agreement and the Adimab Agreement as you do on page 407, or advise.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Additionally,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discussion should conform to the prior comment. File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agreements as exhibits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 statement or tell us why you believe they are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 to be filed.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WuXi Master Development and Manufacturing Services Agreement, page 357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44.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revise to specify the third anniversary of the effective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WuXi Biologics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 Agreement, at which time such agreement may expire.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Intellectual Property, page 360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jc w:val="right"/>
              <w:ind w:right="8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AVROBIO,LastNameErik</w:t>
            </w: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NameAVROBIO,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7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jc w:val="right"/>
              <w:ind w:right="8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12, 2024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March1312, 2024 Page 13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second paragraph of this section: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 larger number of in-licensed or wholly owned patents are discussed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this paragraph as compared to the number disclosed in the first sentence. Please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or advise.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clearly describe on an individual or patent family basis the type of patent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protection granted for each product or technology (composition of matter, use, or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process) and the jurisdiction(s) of each pending or issued foreign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AVROBIO's Management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378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Results of Operations, page 381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page 380 that research and development (R&amp;D) expense attributed to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Gaucher program nearly doubled during the nine months ended September 30, 2023 as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compared to September 30, 2022. Please revise the explanation on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ind w:right="30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address the reason(s) for this increase, when consolidated R&amp;D decreased</w:t>
      </w:r>
    </w:p>
    <w:p>
      <w:pPr>
        <w:sectPr>
          <w:pgSz w:w="11900" w:h="16865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12" w:name="page13"/>
    <w:bookmarkEnd w:id="1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47.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during this period.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revise AVROBIO's consolidated results of operations section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an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analysis of the changes in the components of results of operations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year ended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well as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December 31, 2022 as compared to the year ended December 31, 2021,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providing an analysis of cash flows for those annual periods. Refer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303(b) of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S-K and the Instructions thereto.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 Inc. Financial Statements for the Nine Months ended September 30,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2023, page F-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48.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clarify the interim financial statements are for AVROBIO,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Tectonic Financial Statements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Independent Auditor's Report, page F-54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49.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the audit of the financial statements for Tectonic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two</w:t>
            </w:r>
          </w:p>
        </w:tc>
        <w:tc>
          <w:tcPr>
            <w:tcW w:w="7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years December 31, 2022 was conducted in accordance with auditing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standards generally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accepted in the United States of America (GAAS). If AVROBIO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considered a shell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company, please tell us what consideration the Tectonic's auditor gave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conducting the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audit in accordance with the standards of the PCAOB given, among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things, the fact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Tectonic's financial statements become those of the registrant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upon consummation of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merger. If AVROBIO is not a shell company, please confirm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auditor report for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historical financial statements presented after the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combination will comply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the PCAOB standards.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 Summary of Significant Accounting Policies, page F-62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Convertible Preferred Stock, page F-66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jc w:val="right"/>
              <w:ind w:right="8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AVROBIO,LastNameErik</w:t>
            </w: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NameAVROBIO,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7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jc w:val="right"/>
              <w:ind w:right="8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12, 2024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March1412, 2024 Page 14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hereunder that Tectonic classifies convertible preferred stock outside of</w:t>
      </w:r>
    </w:p>
    <w:p>
      <w:pPr>
        <w:ind w:left="96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deficit on the consolidated balance sheets "as it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redeemable upon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occurrence of certain deemed liquidation events that are not strictly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control." However, we note the disclosure on pages F-79 and F-99 that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preferred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"is not subject to mandatory redemption or other redemption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for which</w:t>
      </w:r>
    </w:p>
    <w:p>
      <w:pPr>
        <w:ind w:left="96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events resulting in redemption are not within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control, other than upon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occurrence of a Deemed Liquidation Event, defined as (a) a merger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consolidation in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Company is a constituent party or a subsidiary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is a constituent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and the Company issues shares of its capital stock pursuant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consolidation and (b) the sale or disposition of the Company or one or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subsidiaries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Company." Please advise regarding these disclosures which appear contradictory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revise as applicable. To the extent the classification of the preferred stock has changed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the periods presented, please revise to explain how you assessed such change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classification in accordance with ASC 480 and ASC 815-40.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references to Tectonic's Scientific Advisory Board ("SAB") on page 291. If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material, please include disclosure in the appropriate section(s) of the registration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that: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13" w:name="page14"/>
    <w:bookmarkEnd w:id="13"/>
    <w:p>
      <w:pPr>
        <w:ind w:left="1380" w:right="2659"/>
        <w:spacing w:after="0" w:line="28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Describes the role or function of Tectonic's SAB; Describes the composition of the SAB, and in light of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at the bottom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page 143, indicates whether any members of the SAB are or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clinical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investigators in any Tectonic study or trial;</w:t>
      </w:r>
    </w:p>
    <w:p>
      <w:pPr>
        <w:ind w:left="1380" w:right="18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Describes whether, and if so how, SAB members are compensated; and Describes whether any SAB members are party to a consulting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advisory contract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Company, including any material provisions of such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disclosures concerning the current status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AVROBIO's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the plans for those operations, and the pro forma accounting treatment for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ABROBIO's assets and liabilities beginning on page 422, please provide us an analysis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concerning whether AVROBIO is a shell company as defined in Rule 12b-2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or whether it could become one prior to Closing. In this regard, we note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to the potential sale, license or other monetization of AVROBIO's legacy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prior to the merger on pages 21, 235, and B-1. For guidance, see Use of Form S-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Form 8-K, and Form 20-F by Shell Companies, Release No. 33-8587 (July 15, 2005) at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n. 32 as reiterated in Special Purpose Acquisition Companies, Shell Companies, and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Projections, Release No. 33-11048 (March 30, 2022) at n. 239 and accompanying text.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as of September 2023, Tectonic formed a wholly-owned Australian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subsidiary, Tectonic Therapeutic Pty Ltd., to conduct various preclinical studies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for its product candidates in Australia. Further, it appears based upon other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on pages F-62 and F-89 that Tectonic has another wholly-owned subsidiary,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Therapeutic Securities Corp. Please tell us why this latter entity does not</w:t>
      </w:r>
    </w:p>
    <w:p>
      <w:pPr>
        <w:ind w:right="855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Erik Ostrowski AVROBIO, Inc. March 12, 2024 Page 15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in Ex 21.1 (List of Subsidiaries of Tectonic Therapeutic, Inc.), or revise.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 Do at 202-551-3743 or Mary Mast at 202-551-3613 if you have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Lauren Hamill at 303-844-1008 or Chris Edwards at 202-551-6761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LastNameErik Ostrowski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NameAVROBIO,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12, 2024 Page 15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Johnson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33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FDCC23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BEFD79F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41A7C4C9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6B68079A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4E6AFB66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25E45D32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519B500D"/>
    <w:multiLevelType w:val="hybridMultilevel"/>
    <w:lvl w:ilvl="0">
      <w:lvlJc w:val="left"/>
      <w:lvlText w:val="%1."/>
      <w:numFmt w:val="decimal"/>
      <w:start w:val="13"/>
    </w:lvl>
  </w:abstractNum>
  <w:abstractNum w:abstractNumId="7">
    <w:nsid w:val="431BD7B7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3F2DBA31"/>
    <w:multiLevelType w:val="hybridMultilevel"/>
    <w:lvl w:ilvl="0">
      <w:lvlJc w:val="left"/>
      <w:lvlText w:val="%1."/>
      <w:numFmt w:val="decimal"/>
      <w:start w:val="20"/>
    </w:lvl>
  </w:abstractNum>
  <w:abstractNum w:abstractNumId="9">
    <w:nsid w:val="7C83E458"/>
    <w:multiLevelType w:val="hybridMultilevel"/>
    <w:lvl w:ilvl="0">
      <w:lvlJc w:val="left"/>
      <w:lvlText w:val="%1."/>
      <w:numFmt w:val="decimal"/>
      <w:start w:val="23"/>
    </w:lvl>
  </w:abstractNum>
  <w:abstractNum w:abstractNumId="10">
    <w:nsid w:val="257130A3"/>
    <w:multiLevelType w:val="hybridMultilevel"/>
    <w:lvl w:ilvl="0">
      <w:lvlJc w:val="left"/>
      <w:lvlText w:val="%1."/>
      <w:numFmt w:val="decimal"/>
      <w:start w:val="25"/>
    </w:lvl>
  </w:abstractNum>
  <w:abstractNum w:abstractNumId="11">
    <w:nsid w:val="62BBD95A"/>
    <w:multiLevelType w:val="hybridMultilevel"/>
    <w:lvl w:ilvl="0">
      <w:lvlJc w:val="left"/>
      <w:lvlText w:val="%1."/>
      <w:numFmt w:val="decimal"/>
      <w:start w:val="27"/>
    </w:lvl>
  </w:abstractNum>
  <w:abstractNum w:abstractNumId="12">
    <w:nsid w:val="436C6125"/>
    <w:multiLevelType w:val="hybridMultilevel"/>
    <w:lvl w:ilvl="0">
      <w:lvlJc w:val="left"/>
      <w:lvlText w:val="%1."/>
      <w:numFmt w:val="decimal"/>
      <w:start w:val="29"/>
    </w:lvl>
  </w:abstractNum>
  <w:abstractNum w:abstractNumId="13">
    <w:nsid w:val="628C895D"/>
    <w:multiLevelType w:val="hybridMultilevel"/>
    <w:lvl w:ilvl="0">
      <w:lvlJc w:val="left"/>
      <w:lvlText w:val="%1."/>
      <w:numFmt w:val="decimal"/>
      <w:start w:val="30"/>
    </w:lvl>
  </w:abstractNum>
  <w:abstractNum w:abstractNumId="14">
    <w:nsid w:val="333AB105"/>
    <w:multiLevelType w:val="hybridMultilevel"/>
    <w:lvl w:ilvl="0">
      <w:lvlJc w:val="left"/>
      <w:lvlText w:val="%1."/>
      <w:numFmt w:val="decimal"/>
      <w:start w:val="374"/>
    </w:lvl>
  </w:abstractNum>
  <w:abstractNum w:abstractNumId="15">
    <w:nsid w:val="721DA317"/>
    <w:multiLevelType w:val="hybridMultilevel"/>
    <w:lvl w:ilvl="0">
      <w:lvlJc w:val="left"/>
      <w:lvlText w:val="%1."/>
      <w:numFmt w:val="decimal"/>
      <w:start w:val="31"/>
    </w:lvl>
  </w:abstractNum>
  <w:abstractNum w:abstractNumId="16">
    <w:nsid w:val="2443A858"/>
    <w:multiLevelType w:val="hybridMultilevel"/>
    <w:lvl w:ilvl="0">
      <w:lvlJc w:val="left"/>
      <w:lvlText w:val="%1."/>
      <w:numFmt w:val="decimal"/>
      <w:start w:val="32"/>
    </w:lvl>
  </w:abstractNum>
  <w:abstractNum w:abstractNumId="17">
    <w:nsid w:val="2D1D5AE9"/>
    <w:multiLevelType w:val="hybridMultilevel"/>
    <w:lvl w:ilvl="0">
      <w:lvlJc w:val="left"/>
      <w:lvlText w:val="%1."/>
      <w:numFmt w:val="decimal"/>
      <w:start w:val="33"/>
    </w:lvl>
  </w:abstractNum>
  <w:abstractNum w:abstractNumId="18">
    <w:nsid w:val="6763845E"/>
    <w:multiLevelType w:val="hybridMultilevel"/>
    <w:lvl w:ilvl="0">
      <w:lvlJc w:val="left"/>
      <w:lvlText w:val="%1."/>
      <w:numFmt w:val="decimal"/>
      <w:start w:val="35"/>
    </w:lvl>
  </w:abstractNum>
  <w:abstractNum w:abstractNumId="19">
    <w:nsid w:val="75A2A8D4"/>
    <w:multiLevelType w:val="hybridMultilevel"/>
    <w:lvl w:ilvl="0">
      <w:lvlJc w:val="left"/>
      <w:lvlText w:val="%1."/>
      <w:numFmt w:val="decimal"/>
      <w:start w:val="36"/>
    </w:lvl>
  </w:abstractNum>
  <w:abstractNum w:abstractNumId="20">
    <w:nsid w:val="8EDBDAB"/>
    <w:multiLevelType w:val="hybridMultilevel"/>
    <w:lvl w:ilvl="0">
      <w:lvlJc w:val="left"/>
      <w:lvlText w:val="%1."/>
      <w:numFmt w:val="decimal"/>
      <w:start w:val="39"/>
    </w:lvl>
  </w:abstractNum>
  <w:abstractNum w:abstractNumId="21">
    <w:nsid w:val="79838CB2"/>
    <w:multiLevelType w:val="hybridMultilevel"/>
    <w:lvl w:ilvl="0">
      <w:lvlJc w:val="left"/>
      <w:lvlText w:val="%1."/>
      <w:numFmt w:val="decimal"/>
      <w:start w:val="45"/>
    </w:lvl>
  </w:abstractNum>
  <w:abstractNum w:abstractNumId="22">
    <w:nsid w:val="4353D0CD"/>
    <w:multiLevelType w:val="hybridMultilevel"/>
    <w:lvl w:ilvl="0">
      <w:lvlJc w:val="left"/>
      <w:lvlText w:val="%1."/>
      <w:numFmt w:val="decimal"/>
      <w:start w:val="46"/>
    </w:lvl>
  </w:abstractNum>
  <w:abstractNum w:abstractNumId="23">
    <w:nsid w:val="B03E0C6"/>
    <w:multiLevelType w:val="hybridMultilevel"/>
    <w:lvl w:ilvl="0">
      <w:lvlJc w:val="left"/>
      <w:lvlText w:val="%1"/>
      <w:numFmt w:val="decimal"/>
      <w:start w:val="383"/>
    </w:lvl>
  </w:abstractNum>
  <w:abstractNum w:abstractNumId="24">
    <w:nsid w:val="189A769B"/>
    <w:multiLevelType w:val="hybridMultilevel"/>
    <w:lvl w:ilvl="0">
      <w:lvlJc w:val="left"/>
      <w:lvlText w:val="%1."/>
      <w:numFmt w:val="decimal"/>
      <w:start w:val="50"/>
    </w:lvl>
  </w:abstractNum>
  <w:abstractNum w:abstractNumId="25">
    <w:nsid w:val="54E49EB4"/>
    <w:multiLevelType w:val="hybridMultilevel"/>
    <w:lvl w:ilvl="0">
      <w:lvlJc w:val="left"/>
      <w:lvlText w:val="%1."/>
      <w:numFmt w:val="decimal"/>
      <w:start w:val="51"/>
    </w:lvl>
  </w:abstractNum>
  <w:abstractNum w:abstractNumId="26">
    <w:nsid w:val="71F32454"/>
    <w:multiLevelType w:val="hybridMultilevel"/>
    <w:lvl w:ilvl="0">
      <w:lvlJc w:val="left"/>
      <w:lvlText w:val="%1."/>
      <w:numFmt w:val="decimal"/>
      <w:start w:val="52"/>
    </w:lvl>
    <w:lvl w:ilvl="1">
      <w:lvlJc w:val="left"/>
      <w:lvlText w:val="%2"/>
      <w:numFmt w:val="lowerLetter"/>
      <w:start w:val="1"/>
    </w:lvl>
  </w:abstractNum>
  <w:abstractNum w:abstractNumId="27">
    <w:nsid w:val="2CA88611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2024-06-12T23:11:10Z</dcterms:created>
  <dcterms:modified xsi:type="dcterms:W3CDTF">2024-06-12T23:11:10Z</dcterms:modified>
</cp:coreProperties>
</file>