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7, 2020, AVROBIO, Inc. (the “Company”) issued a press release containing information about the Company’s results of operations for the three months ended March 31, 2020. A copy of this press release is furnished as Exhibit 99.1 to this Current Report on Form 8-K.</w:t>
      </w:r>
    </w:p>
    <w:p>
      <w:pPr>
        <w:spacing w:after="0" w:line="14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May 7, 2020.</w:t>
        </w:r>
      </w:hyperlink>
    </w:p>
    <w:p>
      <w:pPr>
        <w:sectPr>
          <w:pgSz w:w="11900" w:h="16838" w:orient="portrait"/>
          <w:cols w:equalWidth="0" w:num="1">
            <w:col w:w="11000"/>
          </w:cols>
          <w:pgMar w:left="440"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1Q 2020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Three oral presentations accepted on new clinical and preclinical data at the American Society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 Gene and Cell Therapy (ASGCT) 23rd annual meeting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Completed two collaboration agreements to reinforce technological leadership in lentiviral gene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therapy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Raised $100 million in gross proceeds from follow-on stock offering in February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strengthening our balance sheet with more than two years of cash runway</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CAMBRIDGE, Mass., May 7, 2020 — </w:t>
      </w:r>
      <w:r>
        <w:rPr>
          <w:rFonts w:ascii="Arial" w:cs="Arial" w:eastAsia="Arial" w:hAnsi="Arial"/>
          <w:sz w:val="17"/>
          <w:szCs w:val="17"/>
          <w:u w:val="single" w:color="auto"/>
          <w:color w:val="auto"/>
        </w:rPr>
        <w:t>AVROBIO, Inc</w:t>
      </w:r>
      <w:r>
        <w:rPr>
          <w:rFonts w:ascii="Arial" w:cs="Arial" w:eastAsia="Arial" w:hAnsi="Arial"/>
          <w:sz w:val="17"/>
          <w:szCs w:val="17"/>
          <w:color w:val="auto"/>
        </w:rPr>
        <w:t>. (Nasdaq: AVRO), a leading clinical-stage gene therapy company with a mission to free people from a lifetime of genetic disease, today reported financial results for the quarter ended March 31, 2020 and provided a business update.</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strong progress has continued, as evidenced by recently announced collaborations with Saladax Biomedical, Inc. and Magenta Therapeutics, which highlight our commitment to leading innovation in the lentiviral gene therapy field and continually evaluating new technologies that potentially complement our state-of-the-art plato</w:t>
      </w:r>
      <w:r>
        <w:rPr>
          <w:rFonts w:ascii="Arial" w:cs="Arial" w:eastAsia="Arial" w:hAnsi="Arial"/>
          <w:sz w:val="15"/>
          <w:szCs w:val="15"/>
          <w:color w:val="auto"/>
        </w:rPr>
        <w:t>™</w:t>
      </w:r>
      <w:r>
        <w:rPr>
          <w:rFonts w:ascii="Arial" w:cs="Arial" w:eastAsia="Arial" w:hAnsi="Arial"/>
          <w:sz w:val="18"/>
          <w:szCs w:val="18"/>
          <w:color w:val="auto"/>
        </w:rPr>
        <w:t xml:space="preserve"> gene therapy platform,” said Geoff MacKay, AVROBIO’s president and CEO. “In addition, while the COVID-19 pandemic has impacted all of us in the biopharma industry, we’re glad to report that AVROBIO’s essential laboratory and manufacturing activities remain uninterrupted and patient identification activities continue for our clinical trials in Canada, Australia and the U.S. We’re in a strong financial position, having raised gross proceeds of $100 million through a follow-on common stock offering in February, and we have extended our cash runway into the second half of 2022. At ASGCT next week, we look forward to sharing new data from our clinical programs in Fabry disease and cystinosis, as well as from our preclinical program in Pompe disease. We expect to provide further data updates on our clinical programs in the second half of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Collaboration Agreements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u w:val="single" w:color="auto"/>
          <w:color w:val="auto"/>
        </w:rPr>
        <w:t>Announced collaboration with Saladax Biomedical, Inc. on high-speed diagnostic assay expected to enable widespread commercialization of AVROBIO’s proprietary platform globally</w:t>
      </w:r>
    </w:p>
    <w:p>
      <w:pPr>
        <w:spacing w:after="0" w:line="76" w:lineRule="exact"/>
        <w:rPr>
          <w:sz w:val="20"/>
          <w:szCs w:val="20"/>
          <w:color w:val="auto"/>
        </w:rPr>
      </w:pPr>
    </w:p>
    <w:p>
      <w:pPr>
        <w:ind w:left="420" w:right="460" w:hanging="316"/>
        <w:spacing w:after="0" w:line="263"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development and commercialization agreement with Saladax Biomedical focused on developing and validating a fully automated nanoparticle immunoassay kit designed to simplify, streamline and optimize therapeutic drug monitoring (TDM) for patients treated with the conditioning agent busulfan.</w:t>
      </w:r>
    </w:p>
    <w:p>
      <w:pPr>
        <w:sectPr>
          <w:pgSz w:w="11900" w:h="16838" w:orient="portrait"/>
          <w:cols w:equalWidth="0" w:num="1">
            <w:col w:w="11020"/>
          </w:cols>
          <w:pgMar w:left="440" w:top="121" w:right="439" w:bottom="1440" w:gutter="0" w:footer="0" w:header="0"/>
        </w:sectPr>
      </w:pPr>
    </w:p>
    <w:bookmarkStart w:id="4" w:name="page5"/>
    <w:bookmarkEnd w:id="4"/>
    <w:p>
      <w:pPr>
        <w:ind w:left="42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High-speed assay kit has the potential to reduce from hours to minutes the time it takes to evaluate how quickly a patient metabolizes busulfan and enable many more hospitals and clinics to become TDM-capable sites.</w:t>
      </w:r>
    </w:p>
    <w:p>
      <w:pPr>
        <w:spacing w:after="0" w:line="2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Announced collaboration with Magenta Therapeutics to study novel antibody-drug conjugate conditioning regimen as part of strategic focus on maintaining technology leadership in gene therapy</w:t>
      </w:r>
    </w:p>
    <w:p>
      <w:pPr>
        <w:spacing w:after="0" w:line="76" w:lineRule="exact"/>
        <w:rPr>
          <w:sz w:val="20"/>
          <w:szCs w:val="20"/>
          <w:color w:val="auto"/>
        </w:rPr>
      </w:pPr>
    </w:p>
    <w:p>
      <w:pPr>
        <w:ind w:left="420" w:right="160" w:hanging="316"/>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research and clinical collaboration agreement with Magenta Therapeutics will evaluate the potential utility of MGTA-117, Magenta’s novel antibody-drug conjugate for conditioning patients before they receive one of AVROBIO’s investigational lentiviral gene therapies.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clinical trials in Fabry disease: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AVROBIO is conducting two clinical trials for its investigational gene therapy for Fabry disease (AVR-RD-01), which continue to demonstrate evidence of durability and tolerability with interim results supporting potential first-line use.</w:t>
      </w:r>
    </w:p>
    <w:p>
      <w:pPr>
        <w:spacing w:after="0" w:line="76" w:lineRule="exact"/>
        <w:rPr>
          <w:sz w:val="20"/>
          <w:szCs w:val="20"/>
          <w:color w:val="auto"/>
        </w:rPr>
      </w:pPr>
    </w:p>
    <w:p>
      <w:pPr>
        <w:ind w:left="420" w:right="220" w:hanging="316"/>
        <w:spacing w:after="0" w:line="31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Ongoing data collection has continued for dosed patients in both trials, though certain data collection has been temporarily delayed. Patient identification activities for the Phase 2 FAB-201 trial continue for our trial sites in Australia, Canada and the U.S. Dosing of new patients at our clinical sites, which has been paused as a result of the COVID-19 pandemic, is expected to resume as our clinical sites allow.</w:t>
      </w:r>
    </w:p>
    <w:p>
      <w:pPr>
        <w:spacing w:after="0" w:line="54" w:lineRule="exact"/>
        <w:rPr>
          <w:rFonts w:ascii="Arial" w:cs="Arial" w:eastAsia="Arial" w:hAnsi="Arial"/>
          <w:sz w:val="16"/>
          <w:szCs w:val="16"/>
          <w:color w:val="auto"/>
        </w:rPr>
      </w:pPr>
    </w:p>
    <w:p>
      <w:pPr>
        <w:ind w:left="420" w:right="140" w:hanging="316"/>
        <w:spacing w:after="0" w:line="308"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data from the AVROBIO-sponsored Phase 2 trial of AVR-RD-01 for Fabry disease will be presented during an oral presentation at ASGCT, by Birgitte Volck, M.D., Ph.D., AVROBIO’s president of R&amp;D, on Wednesday, May 13, 2020, from 5:00-5:15 p.m. ET.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AVR-RD-04 Phase 1/2 trial in cystinosis: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AVROBIO’s investigational gene therapy for cystinosis (AVR-RD-04) is being evaluated in a single-arm, Phase 1/2 investigational trial sponsored by the University of California, San Diego (UCSD) </w:t>
      </w:r>
      <w:r>
        <w:rPr>
          <w:rFonts w:ascii="Arial" w:cs="Arial" w:eastAsia="Arial" w:hAnsi="Arial"/>
          <w:sz w:val="15"/>
          <w:szCs w:val="15"/>
          <w:color w:val="auto"/>
        </w:rPr>
        <w:t>1</w:t>
      </w:r>
      <w:r>
        <w:rPr>
          <w:rFonts w:ascii="Arial" w:cs="Arial" w:eastAsia="Arial" w:hAnsi="Arial"/>
          <w:sz w:val="18"/>
          <w:szCs w:val="18"/>
          <w:color w:val="auto"/>
        </w:rPr>
        <w:t>.</w:t>
      </w:r>
    </w:p>
    <w:p>
      <w:pPr>
        <w:spacing w:after="0" w:line="76" w:lineRule="exact"/>
        <w:rPr>
          <w:sz w:val="20"/>
          <w:szCs w:val="20"/>
          <w:color w:val="auto"/>
        </w:rPr>
      </w:pPr>
    </w:p>
    <w:p>
      <w:pPr>
        <w:ind w:left="420" w:hanging="316"/>
        <w:spacing w:after="0"/>
        <w:tabs>
          <w:tab w:leader="none" w:pos="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U.S. Food and Drug Administration (FDA) granted orphan drug designation for AVR-RD-04 for the treatment of cystinosis in March 2020.</w:t>
      </w:r>
    </w:p>
    <w:p>
      <w:pPr>
        <w:spacing w:after="0" w:line="221" w:lineRule="exact"/>
        <w:rPr>
          <w:rFonts w:ascii="Arial" w:cs="Arial" w:eastAsia="Arial" w:hAnsi="Arial"/>
          <w:sz w:val="16"/>
          <w:szCs w:val="16"/>
          <w:color w:val="auto"/>
        </w:rPr>
      </w:pPr>
    </w:p>
    <w:p>
      <w:pPr>
        <w:ind w:left="420" w:right="80" w:hanging="432"/>
        <w:spacing w:after="0" w:line="277" w:lineRule="auto"/>
        <w:rPr>
          <w:rFonts w:ascii="Arial" w:cs="Arial" w:eastAsia="Arial" w:hAnsi="Arial"/>
          <w:sz w:val="16"/>
          <w:szCs w:val="16"/>
          <w:color w:val="auto"/>
        </w:rPr>
      </w:pPr>
      <w:r>
        <w:rPr>
          <w:rFonts w:ascii="Arial" w:cs="Arial" w:eastAsia="Arial" w:hAnsi="Arial"/>
          <w:sz w:val="15"/>
          <w:szCs w:val="15"/>
          <w:color w:val="auto"/>
        </w:rPr>
        <w:t>1</w:t>
      </w:r>
      <w:r>
        <w:rPr>
          <w:rFonts w:ascii="Arial" w:cs="Arial" w:eastAsia="Arial" w:hAnsi="Arial"/>
          <w:sz w:val="18"/>
          <w:szCs w:val="18"/>
          <w:i w:val="1"/>
          <w:iCs w:val="1"/>
          <w:color w:val="auto"/>
        </w:rPr>
        <w:t>Collaborator-sponsored Phase 1/2 clinical trial of AVR-RD-04 is funded in part by grants to UCSD from the California Institute for Regenerative Medicine (CIRM), Cystinosis Research Foundation (CRF) and National Institutes of Health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5" w:name="page6"/>
    <w:bookmarkEnd w:id="5"/>
    <w:p>
      <w:pPr>
        <w:ind w:left="420" w:right="3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Patient identification activities are continuing. Ongoing data collection has continued for the first dosed patient in the trial, though certain data collection has been temporarily delayed.</w:t>
      </w:r>
    </w:p>
    <w:p>
      <w:pPr>
        <w:spacing w:after="0" w:line="75"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second patient has been enrolled in the study and has completed apheresis. Cryopreserved drug product for that patient has been manufactured and dosing is expected to occur as soon as UCSD allows.</w:t>
      </w:r>
    </w:p>
    <w:p>
      <w:pPr>
        <w:spacing w:after="0" w:line="75" w:lineRule="exact"/>
        <w:rPr>
          <w:rFonts w:ascii="Arial" w:cs="Arial" w:eastAsia="Arial" w:hAnsi="Arial"/>
          <w:sz w:val="18"/>
          <w:szCs w:val="18"/>
          <w:color w:val="auto"/>
        </w:rPr>
      </w:pPr>
    </w:p>
    <w:p>
      <w:pPr>
        <w:ind w:left="420" w:right="240" w:hanging="316"/>
        <w:spacing w:after="0" w:line="311"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New data from the collaborator-sponsored Phase 1/2 clinical trial of AVR-RD-04 in cystinosis will be presented during an oral presentation at ASGCT, by Stephanie Cherqui, Ph.D., principal investigator, associate professor of pediatrics at UCSD School of Medicine and former chair of the ASGCT Gene and Cell Therapy of Genetic and Metabolic Diseases Committee, on Wednesday, May 13, 2020, from 4:30-4:45 p.m. ET.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AVR-RD-02 Phase 1/2 trial in Gaucher disease: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AVROBIO’s investigational gene therapy for Gaucher disease (AVR-RD-02) is being studied in a Phase 1/2 clinical trial to evaluate the safety and efficacy in individuals with Gaucher disease type 1.</w:t>
      </w:r>
    </w:p>
    <w:p>
      <w:pPr>
        <w:spacing w:after="0" w:line="76" w:lineRule="exact"/>
        <w:rPr>
          <w:sz w:val="20"/>
          <w:szCs w:val="20"/>
          <w:color w:val="auto"/>
        </w:rPr>
      </w:pPr>
    </w:p>
    <w:p>
      <w:pPr>
        <w:ind w:left="420" w:hanging="316"/>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patient in the trial has been enrolled and has completed apheresis. Cryopreserved drug product for that patient has been manufactured and dosing is currently anticipated for Q2, but is dependent on when the clinical site allows.</w:t>
      </w:r>
    </w:p>
    <w:p>
      <w:pPr>
        <w:spacing w:after="0" w:line="75" w:lineRule="exact"/>
        <w:rPr>
          <w:rFonts w:ascii="Arial" w:cs="Arial" w:eastAsia="Arial" w:hAnsi="Arial"/>
          <w:sz w:val="18"/>
          <w:szCs w:val="18"/>
          <w:color w:val="auto"/>
        </w:rPr>
      </w:pPr>
    </w:p>
    <w:p>
      <w:pPr>
        <w:ind w:left="420" w:right="220" w:hanging="316"/>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Subsequent new patient enrollment timelines have been impacted by the COVID-19 pandemic. Patient identification activities continue for trial sites in Australia and Canada.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trial sites are expected to open in the U.S. and Israel in 4Q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AVR-RD-03 preclinical program in Pompe disease:</w:t>
      </w:r>
    </w:p>
    <w:p>
      <w:pPr>
        <w:spacing w:after="0" w:line="11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New data from AVROBIO’s preclinical research program for a gene therapy for Pompe disease (AVR-RD-03) will be presented during an oral presentation at ASGCT, by Niek van Til, Ph.D., senior director at AVROBIO, on Thursday, May 14, 2020, from 4:30-4:45 p.m. 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AVROBIO reported a net loss of $26.0 million for the first quarter of 2020 as compared to a net loss of $17.1 million for the comparable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due to increased research and development expenses, as well as increased general and administrative expenses.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Research and development expenses were $18.3 million for the first quarter of 2020 as compared to $12.4 million for the comparable period in 2019. This increase was driven by increased program development activities related to the advancement of the company’s</w:t>
      </w:r>
    </w:p>
    <w:p>
      <w:pPr>
        <w:sectPr>
          <w:pgSz w:w="11900" w:h="16838" w:orient="portrait"/>
          <w:cols w:equalWidth="0" w:num="1">
            <w:col w:w="11000"/>
          </w:cols>
          <w:pgMar w:left="440" w:top="274" w:right="459" w:bottom="1440" w:gutter="0" w:footer="0" w:header="0"/>
        </w:sectPr>
      </w:pPr>
    </w:p>
    <w:bookmarkStart w:id="6" w:name="page7"/>
    <w:bookmarkEnd w:id="6"/>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pipeline, as well as increased personnel-related costs resulting from an increase in employee headcount, which includes the impact of non-cash stock-based compensation.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$8.3 million for the first quarter of 2020 as compared to $5.3 million for the comparable period in 2019. This increase was primarily due to an increase in employee headcount, expenses associated with being a publicly traded company, and the impact of non-cash stock-based compensation.</w:t>
      </w:r>
    </w:p>
    <w:p>
      <w:pPr>
        <w:spacing w:after="0" w:line="18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of March 31, 2020, AVROBIO had $257.7 million in cash and cash equivalents, as compared to $187.0 million in cash and cash equivalents as of December 31, 2019. The cash balance as of March 31, 2020 reflects the receipt of net proceeds of $93.6 million from the company’s February 2020 follow-on stock offering. Following a diligent review of current and outer year operating and capital expense projections, AVROBIO has extended its cash runway. While AVROBIO initially expected its cash and cash equivalents to be sufficient to fund the company’s operating expenses and capital expenditure requirements into the second quarter of 2022, AVROBIO now expects its cash and cash equivalents will enable the company to fund its operating expenses and capital expenditure requirements into the second half of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w:t>
      </w:r>
      <w:r>
        <w:rPr>
          <w:rFonts w:ascii="Arial" w:cs="Arial" w:eastAsia="Arial" w:hAnsi="Arial"/>
          <w:sz w:val="17"/>
          <w:szCs w:val="17"/>
          <w:u w:val="single" w:color="auto"/>
          <w:color w:val="auto"/>
        </w:rPr>
        <w:t>AVROBIO</w:t>
      </w:r>
      <w:r>
        <w:rPr>
          <w:rFonts w:ascii="Arial" w:cs="Arial" w:eastAsia="Arial" w:hAnsi="Arial"/>
          <w:sz w:val="17"/>
          <w:szCs w:val="17"/>
          <w:color w:val="auto"/>
        </w:rPr>
        <w:t xml:space="preserve"> is powered by the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scale gene therapy worldwide. We are headquartered in Cambridge, Mass., with an office in Toronto, Ontario.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w:t>
      </w:r>
    </w:p>
    <w:p>
      <w:pPr>
        <w:sectPr>
          <w:pgSz w:w="11900" w:h="16838" w:orient="portrait"/>
          <w:cols w:equalWidth="0" w:num="1">
            <w:col w:w="11000"/>
          </w:cols>
          <w:pgMar w:left="440" w:top="274" w:right="459" w:bottom="1440" w:gutter="0" w:footer="0" w:header="0"/>
        </w:sectPr>
      </w:pPr>
    </w:p>
    <w:bookmarkStart w:id="7" w:name="page8"/>
    <w:bookmarkEnd w:id="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expected benefits and results of our implementation of the plato platform in our clinical trials and gene therapy programs, the expected safety profile of our investigational gene therapies, the potential and expected benefits of Saladax’s immunoassay kits, including the ability to improve, simplify and streamline therapeutic drug monitoring for patients treated with the conditioning agent busulfan, the potential and expected benefits of MGTA-117, Magenta’s investigational antibody-drug conjugate, including MGTA-117’s potential application to AVROBIO’s investigational gene therapies as a conditioning agent, the potential impact of the COVID-19 outbreak on our clinical trial programs and business generally, as well as our plans and expectations with respect to the timing and resumption of any development activities that may be temporarily paused as a result of the COVID-19 outbreak,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AVROBIO may not realize the intended benefit of Magenta’s MGTA-117 or Saladax’s immunoassay kit with respect to AVROBIO’s investigational gene therapies,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w:t>
      </w:r>
    </w:p>
    <w:p>
      <w:pPr>
        <w:sectPr>
          <w:pgSz w:w="11900" w:h="16838" w:orient="portrait"/>
          <w:cols w:equalWidth="0" w:num="1">
            <w:col w:w="11020"/>
          </w:cols>
          <w:pgMar w:left="440" w:top="274" w:right="4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tom@tenbridgecommunications.com</w:t>
      </w:r>
    </w:p>
    <w:p>
      <w:pPr>
        <w:sectPr>
          <w:pgSz w:w="11900" w:h="16838" w:orient="portrait"/>
          <w:cols w:equalWidth="0" w:num="1">
            <w:col w:w="10880"/>
          </w:cols>
          <w:pgMar w:left="440" w:top="274" w:right="5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62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257,695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7,652</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269,728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3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256,525</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186,013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269,728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200,514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481"/>
              <w:spacing w:after="0"/>
              <w:rPr>
                <w:sz w:val="20"/>
                <w:szCs w:val="20"/>
                <w:color w:val="auto"/>
              </w:rPr>
            </w:pPr>
            <w:r>
              <w:rPr>
                <w:rFonts w:ascii="Arial" w:cs="Arial" w:eastAsia="Arial" w:hAnsi="Arial"/>
                <w:sz w:val="14"/>
                <w:szCs w:val="14"/>
                <w:color w:val="auto"/>
              </w:rPr>
              <w:t>Three Months March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rPr>
              <w:t>18,274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12,446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8,315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(25,973)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used in computing 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stockholders—basic and diluted</w:t>
            </w:r>
          </w:p>
        </w:tc>
        <w:tc>
          <w:tcPr>
            <w:tcW w:w="100" w:type="dxa"/>
            <w:vAlign w:val="bottom"/>
          </w:tcPr>
          <w:p>
            <w:pPr>
              <w:spacing w:after="0"/>
              <w:rPr>
                <w:sz w:val="20"/>
                <w:szCs w:val="20"/>
                <w:color w:val="auto"/>
              </w:rPr>
            </w:pP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w w:val="86"/>
              </w:rPr>
              <w:t>33,666,801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23,893,696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2020-05-07T06:07:08Z</dcterms:created>
  <dcterms:modified xsi:type="dcterms:W3CDTF">2020-05-07T06:07:08Z</dcterms:modified>
</cp:coreProperties>
</file>