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60" w:right="20"/>
        <w:spacing w:after="0" w:line="233" w:lineRule="auto"/>
        <w:rPr>
          <w:sz w:val="20"/>
          <w:szCs w:val="20"/>
          <w:color w:val="auto"/>
        </w:rPr>
      </w:pPr>
      <w:r>
        <w:rPr>
          <w:rFonts w:ascii="Arial" w:cs="Arial" w:eastAsia="Arial" w:hAnsi="Arial"/>
          <w:sz w:val="14"/>
          <w:szCs w:val="14"/>
          <w:b w:val="1"/>
          <w:bCs w:val="1"/>
          <w:color w:val="auto"/>
        </w:rPr>
        <w:t>As confidentially submitted to the Securities and Exchange Commission on May 11, 2018 as Amendment No. 1 to the draft registration statement. This draft registration statement has not been publicly filed with the Securities and Exchange Commission and all information herein remains confidential.</w:t>
      </w:r>
    </w:p>
    <w:p>
      <w:pPr>
        <w:spacing w:after="0" w:line="1" w:lineRule="exact"/>
        <w:rPr>
          <w:sz w:val="24"/>
          <w:szCs w:val="24"/>
          <w:color w:val="auto"/>
        </w:rPr>
      </w:pPr>
    </w:p>
    <w:p>
      <w:pPr>
        <w:ind w:left="95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i w:val="1"/>
          <w:iCs w:val="1"/>
          <w:color w:val="auto"/>
        </w:rPr>
        <w:t>Under</w:t>
      </w:r>
    </w:p>
    <w:p>
      <w:pPr>
        <w:jc w:val="center"/>
        <w:ind w:right="-1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AVROBIO, INC.</w:t>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1"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1014"/>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81-0710585</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One Kendall Square</w:t>
      </w:r>
    </w:p>
    <w:p>
      <w:pPr>
        <w:jc w:val="center"/>
        <w:ind w:right="-199"/>
        <w:spacing w:after="0" w:line="233" w:lineRule="auto"/>
        <w:rPr>
          <w:sz w:val="20"/>
          <w:szCs w:val="20"/>
          <w:color w:val="auto"/>
        </w:rPr>
      </w:pPr>
      <w:r>
        <w:rPr>
          <w:rFonts w:ascii="Arial" w:cs="Arial" w:eastAsia="Arial" w:hAnsi="Arial"/>
          <w:sz w:val="15"/>
          <w:szCs w:val="15"/>
          <w:b w:val="1"/>
          <w:bCs w:val="1"/>
          <w:color w:val="auto"/>
        </w:rPr>
        <w:t>Building 300, Suite 201</w:t>
      </w:r>
    </w:p>
    <w:p>
      <w:pPr>
        <w:jc w:val="center"/>
        <w:ind w:right="-19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9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Geoff MacKay</w:t>
      </w:r>
    </w:p>
    <w:p>
      <w:pPr>
        <w:jc w:val="center"/>
        <w:ind w:right="-19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99"/>
        <w:spacing w:after="0" w:line="225" w:lineRule="auto"/>
        <w:rPr>
          <w:sz w:val="20"/>
          <w:szCs w:val="20"/>
          <w:color w:val="auto"/>
        </w:rPr>
      </w:pPr>
      <w:r>
        <w:rPr>
          <w:rFonts w:ascii="Arial" w:cs="Arial" w:eastAsia="Arial" w:hAnsi="Arial"/>
          <w:sz w:val="15"/>
          <w:szCs w:val="15"/>
          <w:b w:val="1"/>
          <w:bCs w:val="1"/>
          <w:color w:val="auto"/>
        </w:rPr>
        <w:t>One Kendall Square</w:t>
      </w:r>
    </w:p>
    <w:p>
      <w:pPr>
        <w:jc w:val="center"/>
        <w:ind w:right="-199"/>
        <w:spacing w:after="0" w:line="226" w:lineRule="auto"/>
        <w:rPr>
          <w:sz w:val="20"/>
          <w:szCs w:val="20"/>
          <w:color w:val="auto"/>
        </w:rPr>
      </w:pPr>
      <w:r>
        <w:rPr>
          <w:rFonts w:ascii="Arial" w:cs="Arial" w:eastAsia="Arial" w:hAnsi="Arial"/>
          <w:sz w:val="15"/>
          <w:szCs w:val="15"/>
          <w:b w:val="1"/>
          <w:bCs w:val="1"/>
          <w:color w:val="auto"/>
        </w:rPr>
        <w:t>Building 300, Suite 201</w:t>
      </w:r>
    </w:p>
    <w:p>
      <w:pPr>
        <w:jc w:val="center"/>
        <w:ind w:right="-19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9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112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3840" w:type="dxa"/>
            <w:vAlign w:val="bottom"/>
          </w:tcPr>
          <w:p>
            <w:pPr>
              <w:ind w:left="1520"/>
              <w:spacing w:after="0"/>
              <w:rPr>
                <w:sz w:val="20"/>
                <w:szCs w:val="20"/>
                <w:color w:val="auto"/>
              </w:rPr>
            </w:pPr>
            <w:r>
              <w:rPr>
                <w:rFonts w:ascii="Arial" w:cs="Arial" w:eastAsia="Arial" w:hAnsi="Arial"/>
                <w:sz w:val="15"/>
                <w:szCs w:val="15"/>
                <w:b w:val="1"/>
                <w:bCs w:val="1"/>
                <w:i w:val="1"/>
                <w:iCs w:val="1"/>
                <w:color w:val="auto"/>
              </w:rPr>
              <w:t>Copies to:</w:t>
            </w:r>
          </w:p>
        </w:tc>
        <w:tc>
          <w:tcPr>
            <w:tcW w:w="2680" w:type="dxa"/>
            <w:vAlign w:val="bottom"/>
          </w:tcPr>
          <w:p>
            <w:pPr>
              <w:spacing w:after="0"/>
              <w:rPr>
                <w:sz w:val="16"/>
                <w:szCs w:val="16"/>
                <w:color w:val="auto"/>
              </w:rPr>
            </w:pPr>
          </w:p>
        </w:tc>
      </w:tr>
      <w:tr>
        <w:trPr>
          <w:trHeight w:val="193"/>
        </w:trPr>
        <w:tc>
          <w:tcPr>
            <w:tcW w:w="2760" w:type="dxa"/>
            <w:vAlign w:val="bottom"/>
          </w:tcPr>
          <w:p>
            <w:pPr>
              <w:jc w:val="center"/>
              <w:ind w:right="783"/>
              <w:spacing w:after="0"/>
              <w:rPr>
                <w:sz w:val="20"/>
                <w:szCs w:val="20"/>
                <w:color w:val="auto"/>
              </w:rPr>
            </w:pPr>
            <w:r>
              <w:rPr>
                <w:rFonts w:ascii="Arial" w:cs="Arial" w:eastAsia="Arial" w:hAnsi="Arial"/>
                <w:sz w:val="15"/>
                <w:szCs w:val="15"/>
                <w:b w:val="1"/>
                <w:bCs w:val="1"/>
                <w:color w:val="auto"/>
                <w:w w:val="97"/>
              </w:rPr>
              <w:t>Arthur McGivern, Esq.</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4"/>
              </w:rPr>
              <w:t>Katina Dorton</w:t>
            </w:r>
          </w:p>
        </w:tc>
        <w:tc>
          <w:tcPr>
            <w:tcW w:w="2680" w:type="dxa"/>
            <w:vAlign w:val="bottom"/>
          </w:tcPr>
          <w:p>
            <w:pPr>
              <w:jc w:val="center"/>
              <w:ind w:left="743"/>
              <w:spacing w:after="0"/>
              <w:rPr>
                <w:sz w:val="20"/>
                <w:szCs w:val="20"/>
                <w:color w:val="auto"/>
              </w:rPr>
            </w:pPr>
            <w:r>
              <w:rPr>
                <w:rFonts w:ascii="Arial" w:cs="Arial" w:eastAsia="Arial" w:hAnsi="Arial"/>
                <w:sz w:val="15"/>
                <w:szCs w:val="15"/>
                <w:b w:val="1"/>
                <w:bCs w:val="1"/>
                <w:color w:val="auto"/>
                <w:w w:val="95"/>
              </w:rPr>
              <w:t>Patrick O’Brien, Esq.</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0"/>
              </w:rPr>
              <w:t>James Xu, Esq.</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AVROBIO, Inc.</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One Kendall Square</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5"/>
              </w:rPr>
              <w:t>Prudential Tower</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Building 300, Suite 201</w:t>
            </w:r>
          </w:p>
        </w:tc>
        <w:tc>
          <w:tcPr>
            <w:tcW w:w="2680" w:type="dxa"/>
            <w:vAlign w:val="bottom"/>
          </w:tcPr>
          <w:p>
            <w:pPr>
              <w:jc w:val="center"/>
              <w:ind w:left="743"/>
              <w:spacing w:after="0" w:line="162" w:lineRule="exact"/>
              <w:rPr>
                <w:sz w:val="20"/>
                <w:szCs w:val="20"/>
                <w:color w:val="auto"/>
              </w:rPr>
            </w:pPr>
            <w:r>
              <w:rPr>
                <w:rFonts w:ascii="Arial" w:cs="Arial" w:eastAsia="Arial" w:hAnsi="Arial"/>
                <w:sz w:val="15"/>
                <w:szCs w:val="15"/>
                <w:b w:val="1"/>
                <w:bCs w:val="1"/>
                <w:color w:val="auto"/>
                <w:w w:val="89"/>
              </w:rPr>
              <w:t>800 Boylston Street</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89"/>
              </w:rPr>
              <w:t>Boston, Massachusetts 02210</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Cambridge, Massachusetts 02139</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88"/>
              </w:rPr>
              <w:t>Boston, Massachusetts 02199</w:t>
            </w:r>
          </w:p>
        </w:tc>
      </w:tr>
      <w:tr>
        <w:trPr>
          <w:trHeight w:val="198"/>
        </w:trPr>
        <w:tc>
          <w:tcPr>
            <w:tcW w:w="2760" w:type="dxa"/>
            <w:vAlign w:val="bottom"/>
          </w:tcPr>
          <w:p>
            <w:pPr>
              <w:jc w:val="center"/>
              <w:ind w:right="763"/>
              <w:spacing w:after="0"/>
              <w:rPr>
                <w:sz w:val="20"/>
                <w:szCs w:val="20"/>
                <w:color w:val="auto"/>
              </w:rPr>
            </w:pPr>
            <w:r>
              <w:rPr>
                <w:rFonts w:ascii="Arial" w:cs="Arial" w:eastAsia="Arial" w:hAnsi="Arial"/>
                <w:sz w:val="15"/>
                <w:szCs w:val="15"/>
                <w:b w:val="1"/>
                <w:bCs w:val="1"/>
                <w:color w:val="auto"/>
                <w:w w:val="93"/>
              </w:rPr>
              <w:t>(617) 570-1000</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1"/>
              </w:rPr>
              <w:t>(617) 914-8420</w:t>
            </w:r>
          </w:p>
        </w:tc>
        <w:tc>
          <w:tcPr>
            <w:tcW w:w="2680" w:type="dxa"/>
            <w:vAlign w:val="bottom"/>
          </w:tcPr>
          <w:p>
            <w:pPr>
              <w:jc w:val="center"/>
              <w:ind w:left="723"/>
              <w:spacing w:after="0"/>
              <w:rPr>
                <w:sz w:val="20"/>
                <w:szCs w:val="20"/>
                <w:color w:val="auto"/>
              </w:rPr>
            </w:pPr>
            <w:r>
              <w:rPr>
                <w:rFonts w:ascii="Arial" w:cs="Arial" w:eastAsia="Arial" w:hAnsi="Arial"/>
                <w:sz w:val="15"/>
                <w:szCs w:val="15"/>
                <w:b w:val="1"/>
                <w:bCs w:val="1"/>
                <w:color w:val="auto"/>
                <w:w w:val="93"/>
              </w:rPr>
              <w:t>(617) 951-7000</w:t>
            </w:r>
          </w:p>
        </w:tc>
      </w:tr>
    </w:tbl>
    <w:p>
      <w:pPr>
        <w:spacing w:after="0" w:line="2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r>
        <w:rPr>
          <w:rFonts w:ascii="Arial" w:cs="Arial" w:eastAsia="Arial" w:hAnsi="Arial"/>
          <w:sz w:val="14"/>
          <w:szCs w:val="14"/>
          <w:color w:val="auto"/>
        </w:rPr>
        <w:t>.</w:t>
      </w:r>
    </w:p>
    <w:p>
      <w:pPr>
        <w:spacing w:after="0" w:line="46" w:lineRule="exact"/>
        <w:rPr>
          <w:sz w:val="24"/>
          <w:szCs w:val="24"/>
          <w:color w:val="auto"/>
        </w:rPr>
      </w:pPr>
    </w:p>
    <w:p>
      <w:pPr>
        <w:ind w:left="200" w:right="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30" w:right="419" w:bottom="1440" w:gutter="0" w:footer="0" w:header="0"/>
        </w:sectPr>
      </w:pP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2200"/>
              <w:spacing w:after="0"/>
              <w:rPr>
                <w:sz w:val="20"/>
                <w:szCs w:val="20"/>
                <w:color w:val="auto"/>
              </w:rPr>
            </w:pPr>
            <w:r>
              <w:rPr>
                <w:rFonts w:ascii="Arial" w:cs="Arial" w:eastAsia="Arial" w:hAnsi="Arial"/>
                <w:sz w:val="14"/>
                <w:szCs w:val="14"/>
                <w:color w:val="auto"/>
              </w:rPr>
              <w:t>Accelerated Filer</w:t>
            </w:r>
          </w:p>
        </w:tc>
      </w:tr>
      <w:tr>
        <w:trPr>
          <w:trHeight w:val="211"/>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60" w:type="dxa"/>
            <w:vAlign w:val="bottom"/>
          </w:tcPr>
          <w:p>
            <w:pPr>
              <w:ind w:left="2200"/>
              <w:spacing w:after="0"/>
              <w:rPr>
                <w:sz w:val="20"/>
                <w:szCs w:val="20"/>
                <w:color w:val="auto"/>
              </w:rPr>
            </w:pPr>
            <w:r>
              <w:rPr>
                <w:rFonts w:ascii="Arial" w:cs="Arial" w:eastAsia="Arial" w:hAnsi="Arial"/>
                <w:sz w:val="14"/>
                <w:szCs w:val="14"/>
                <w:color w:val="auto"/>
                <w:w w:val="93"/>
              </w:rPr>
              <w:t>Smaller Reporting Company</w:t>
            </w:r>
          </w:p>
        </w:tc>
      </w:tr>
      <w:tr>
        <w:trPr>
          <w:trHeight w:val="182"/>
        </w:trPr>
        <w:tc>
          <w:tcPr>
            <w:tcW w:w="15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860" w:type="dxa"/>
            <w:vAlign w:val="bottom"/>
          </w:tcPr>
          <w:p>
            <w:pPr>
              <w:ind w:left="2200"/>
              <w:spacing w:after="0"/>
              <w:rPr>
                <w:sz w:val="20"/>
                <w:szCs w:val="20"/>
                <w:color w:val="auto"/>
              </w:rPr>
            </w:pPr>
            <w:r>
              <w:rPr>
                <w:rFonts w:ascii="Arial" w:cs="Arial" w:eastAsia="Arial" w:hAnsi="Arial"/>
                <w:sz w:val="14"/>
                <w:szCs w:val="14"/>
                <w:color w:val="auto"/>
                <w:w w:val="94"/>
              </w:rPr>
              <w:t>Emerging Growth Company</w:t>
            </w:r>
          </w:p>
        </w:tc>
      </w:tr>
    </w:tbl>
    <w:p>
      <w:pPr>
        <w:spacing w:after="0" w:line="20" w:lineRule="exact"/>
        <w:rPr>
          <w:sz w:val="24"/>
          <w:szCs w:val="24"/>
          <w:color w:val="auto"/>
        </w:rPr>
      </w:pPr>
    </w:p>
    <w:p>
      <w:pPr>
        <w:ind w:left="2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jc w:val="center"/>
        <w:ind w:left="56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5" w:lineRule="exact"/>
        <w:rPr>
          <w:sz w:val="24"/>
          <w:szCs w:val="24"/>
          <w:color w:val="auto"/>
        </w:rPr>
      </w:pPr>
    </w:p>
    <w:p>
      <w:pPr>
        <w:sectPr>
          <w:pgSz w:w="11900" w:h="16838" w:orient="portrait"/>
          <w:cols w:equalWidth="0" w:num="2">
            <w:col w:w="10880" w:space="200"/>
            <w:col w:w="160"/>
          </w:cols>
          <w:pgMar w:left="240" w:top="230" w:right="419" w:bottom="1440" w:gutter="0" w:footer="0" w:header="0"/>
          <w:type w:val="continuous"/>
        </w:sect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7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 OF</w:t>
            </w: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7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AGGREGATE</w:t>
            </w:r>
          </w:p>
        </w:tc>
        <w:tc>
          <w:tcPr>
            <w:tcW w:w="1660" w:type="dxa"/>
            <w:vAlign w:val="bottom"/>
          </w:tcPr>
          <w:p>
            <w:pPr>
              <w:jc w:val="center"/>
              <w:ind w:left="97"/>
              <w:spacing w:after="0" w:line="126" w:lineRule="exact"/>
              <w:rPr>
                <w:sz w:val="20"/>
                <w:szCs w:val="20"/>
                <w:color w:val="auto"/>
              </w:rPr>
            </w:pPr>
            <w:r>
              <w:rPr>
                <w:rFonts w:ascii="Arial" w:cs="Arial" w:eastAsia="Arial" w:hAnsi="Arial"/>
                <w:sz w:val="13"/>
                <w:szCs w:val="13"/>
                <w:b w:val="1"/>
                <w:bCs w:val="1"/>
                <w:color w:val="auto"/>
                <w:w w:val="9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PRICE(1)(2)</w:t>
            </w:r>
          </w:p>
        </w:tc>
        <w:tc>
          <w:tcPr>
            <w:tcW w:w="166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7"/>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7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66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that the underwriters may purchase pursuant to an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200" w:right="30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4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7" w:lineRule="exact"/>
        <w:rPr>
          <w:sz w:val="20"/>
          <w:szCs w:val="20"/>
          <w:color w:val="auto"/>
        </w:rPr>
      </w:pPr>
    </w:p>
    <w:p>
      <w:pPr>
        <w:ind w:left="200"/>
        <w:spacing w:after="0"/>
        <w:tabs>
          <w:tab w:leader="none" w:pos="3180" w:val="left"/>
        </w:tabs>
        <w:rPr>
          <w:sz w:val="20"/>
          <w:szCs w:val="20"/>
          <w:color w:val="auto"/>
        </w:rPr>
      </w:pPr>
      <w:r>
        <w:rPr>
          <w:rFonts w:ascii="Arial" w:cs="Arial" w:eastAsia="Arial" w:hAnsi="Arial"/>
          <w:sz w:val="22"/>
          <w:szCs w:val="22"/>
          <w:i w:val="1"/>
          <w:iCs w:val="1"/>
          <w:color w:val="DE1A1E"/>
        </w:rPr>
        <w:t>SUBJECT TO COMPLETION,</w:t>
      </w:r>
      <w:r>
        <w:rPr>
          <w:sz w:val="20"/>
          <w:szCs w:val="20"/>
          <w:color w:val="auto"/>
        </w:rPr>
        <w:tab/>
      </w:r>
      <w:r>
        <w:rPr>
          <w:rFonts w:ascii="Arial" w:cs="Arial" w:eastAsia="Arial" w:hAnsi="Arial"/>
          <w:sz w:val="19"/>
          <w:szCs w:val="19"/>
          <w:i w:val="1"/>
          <w:iCs w:val="1"/>
          <w:color w:val="DE1A1E"/>
        </w:rPr>
        <w:t>, 2018</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PRELIMINARY PROSPECTUS</w:t>
      </w:r>
    </w:p>
    <w:p>
      <w:pPr>
        <w:spacing w:after="0" w:line="258" w:lineRule="exact"/>
        <w:rPr>
          <w:sz w:val="20"/>
          <w:szCs w:val="20"/>
          <w:color w:val="auto"/>
        </w:rPr>
      </w:pPr>
    </w:p>
    <w:p>
      <w:pPr>
        <w:ind w:left="59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95885</wp:posOffset>
            </wp:positionV>
            <wp:extent cx="155194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00"/>
        <w:spacing w:after="0"/>
        <w:tabs>
          <w:tab w:leader="none" w:pos="2060" w:val="left"/>
        </w:tabs>
        <w:rPr>
          <w:sz w:val="20"/>
          <w:szCs w:val="20"/>
          <w:color w:val="auto"/>
        </w:rPr>
      </w:pPr>
      <w:r>
        <w:rPr>
          <w:rFonts w:ascii="Arial" w:cs="Arial" w:eastAsia="Arial" w:hAnsi="Arial"/>
          <w:sz w:val="18"/>
          <w:szCs w:val="18"/>
          <w:b w:val="1"/>
          <w:bCs w:val="1"/>
          <w:i w:val="1"/>
          <w:iCs w:val="1"/>
          <w:color w:val="auto"/>
        </w:rPr>
        <w:t>We are offering</w:t>
      </w:r>
      <w:r>
        <w:rPr>
          <w:sz w:val="20"/>
          <w:szCs w:val="20"/>
          <w:color w:val="auto"/>
        </w:rPr>
        <w:tab/>
      </w:r>
      <w:r>
        <w:rPr>
          <w:rFonts w:ascii="Arial" w:cs="Arial" w:eastAsia="Arial" w:hAnsi="Arial"/>
          <w:sz w:val="15"/>
          <w:szCs w:val="15"/>
          <w:b w:val="1"/>
          <w:bCs w:val="1"/>
          <w:i w:val="1"/>
          <w:iCs w:val="1"/>
          <w:color w:val="auto"/>
        </w:rPr>
        <w:t>shares of our common stock. This is our initial public offering and no public market currently exists for our common</w:t>
      </w:r>
    </w:p>
    <w:p>
      <w:pPr>
        <w:spacing w:after="0" w:line="23" w:lineRule="exact"/>
        <w:rPr>
          <w:sz w:val="20"/>
          <w:szCs w:val="20"/>
          <w:color w:val="auto"/>
        </w:rPr>
      </w:pPr>
    </w:p>
    <w:p>
      <w:pPr>
        <w:ind w:left="200"/>
        <w:spacing w:after="0"/>
        <w:tabs>
          <w:tab w:leader="none" w:pos="5260" w:val="left"/>
          <w:tab w:leader="none" w:pos="6040" w:val="left"/>
        </w:tabs>
        <w:rPr>
          <w:sz w:val="20"/>
          <w:szCs w:val="20"/>
          <w:color w:val="auto"/>
        </w:rPr>
      </w:pPr>
      <w:r>
        <w:rPr>
          <w:rFonts w:ascii="Arial" w:cs="Arial" w:eastAsia="Arial" w:hAnsi="Arial"/>
          <w:sz w:val="18"/>
          <w:szCs w:val="18"/>
          <w:b w:val="1"/>
          <w:bCs w:val="1"/>
          <w:i w:val="1"/>
          <w:iCs w:val="1"/>
          <w:color w:val="auto"/>
        </w:rPr>
        <w:t>stock. We expect the initial public offering price to be 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 We intend to apply to list our common stock on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Global Market under the symbol “AVRO.”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as defined in Section 2(a) of the Securities Act of 1933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196215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46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a high degree of risk. Please read “</w:t>
      </w:r>
      <w:hyperlink w:anchor="page13">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10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820" w:type="dxa"/>
            <w:vAlign w:val="bottom"/>
            <w:gridSpan w:val="3"/>
          </w:tcPr>
          <w:p>
            <w:pPr>
              <w:ind w:left="2500"/>
              <w:spacing w:after="0"/>
              <w:rPr>
                <w:sz w:val="20"/>
                <w:szCs w:val="20"/>
                <w:color w:val="auto"/>
              </w:rPr>
            </w:pPr>
            <w:r>
              <w:rPr>
                <w:rFonts w:ascii="Arial" w:cs="Arial" w:eastAsia="Arial" w:hAnsi="Arial"/>
                <w:sz w:val="14"/>
                <w:szCs w:val="14"/>
                <w:b w:val="1"/>
                <w:bCs w:val="1"/>
                <w:i w:val="1"/>
                <w:iCs w:val="1"/>
                <w:color w:val="auto"/>
              </w:rPr>
              <w:t>PER SHARE</w:t>
            </w:r>
          </w:p>
        </w:tc>
        <w:tc>
          <w:tcPr>
            <w:tcW w:w="1080" w:type="dxa"/>
            <w:vAlign w:val="bottom"/>
            <w:gridSpan w:val="3"/>
          </w:tcPr>
          <w:p>
            <w:pPr>
              <w:ind w:left="620"/>
              <w:spacing w:after="0"/>
              <w:rPr>
                <w:sz w:val="20"/>
                <w:szCs w:val="20"/>
                <w:color w:val="auto"/>
              </w:rPr>
            </w:pPr>
            <w:r>
              <w:rPr>
                <w:rFonts w:ascii="Arial" w:cs="Arial" w:eastAsia="Arial" w:hAnsi="Arial"/>
                <w:sz w:val="14"/>
                <w:szCs w:val="14"/>
                <w:b w:val="1"/>
                <w:bCs w:val="1"/>
                <w:i w:val="1"/>
                <w:iCs w:val="1"/>
                <w:color w:val="auto"/>
                <w:w w:val="94"/>
              </w:rPr>
              <w:t>TOTAL</w:t>
            </w:r>
          </w:p>
        </w:tc>
      </w:tr>
      <w:tr>
        <w:trPr>
          <w:trHeight w:val="182"/>
        </w:trPr>
        <w:tc>
          <w:tcPr>
            <w:tcW w:w="5820" w:type="dxa"/>
            <w:vAlign w:val="bottom"/>
          </w:tcPr>
          <w:p>
            <w:pPr>
              <w:spacing w:after="0" w:line="182" w:lineRule="exact"/>
              <w:rPr>
                <w:sz w:val="20"/>
                <w:szCs w:val="20"/>
                <w:color w:val="auto"/>
              </w:rPr>
            </w:pPr>
            <w:r>
              <w:rPr>
                <w:rFonts w:ascii="Arial" w:cs="Arial" w:eastAsia="Arial" w:hAnsi="Arial"/>
                <w:sz w:val="18"/>
                <w:szCs w:val="18"/>
                <w:i w:val="1"/>
                <w:iCs w:val="1"/>
                <w:color w:val="auto"/>
              </w:rPr>
              <w:t>Public Offering Price</w:t>
            </w:r>
          </w:p>
        </w:tc>
        <w:tc>
          <w:tcPr>
            <w:tcW w:w="2500" w:type="dxa"/>
            <w:vAlign w:val="bottom"/>
          </w:tcPr>
          <w:p>
            <w:pPr>
              <w:spacing w:after="0"/>
              <w:rPr>
                <w:sz w:val="15"/>
                <w:szCs w:val="15"/>
                <w:color w:val="auto"/>
              </w:rPr>
            </w:pPr>
          </w:p>
        </w:tc>
        <w:tc>
          <w:tcPr>
            <w:tcW w:w="80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i w:val="1"/>
                <w:iCs w:val="1"/>
                <w:color w:val="auto"/>
              </w:rPr>
              <w:t>$</w:t>
            </w: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in this prospectus for a description of compensation payable to the underwriters.</w:t>
      </w:r>
    </w:p>
    <w:p>
      <w:pPr>
        <w:sectPr>
          <w:pgSz w:w="11900" w:h="16838" w:orient="portrait"/>
          <w:cols w:equalWidth="0" w:num="1">
            <w:col w:w="11220"/>
          </w:cols>
          <w:pgMar w:left="240" w:top="459" w:right="439" w:bottom="1440" w:gutter="0" w:footer="0" w:header="0"/>
        </w:sectPr>
      </w:pPr>
    </w:p>
    <w:p>
      <w:pPr>
        <w:spacing w:after="0" w:line="225"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We have granted the underwriters an option for a period of 30 days to purchase an additional exercise the option in full, the total underwriting discounts and commissions payable by us will be $</w:t>
      </w:r>
    </w:p>
    <w:p>
      <w:pPr>
        <w:ind w:left="200"/>
        <w:spacing w:after="0"/>
        <w:tabs>
          <w:tab w:leader="none" w:pos="1160" w:val="left"/>
        </w:tabs>
        <w:rPr>
          <w:sz w:val="20"/>
          <w:szCs w:val="20"/>
          <w:color w:val="auto"/>
        </w:rPr>
      </w:pPr>
      <w:r>
        <w:rPr>
          <w:rFonts w:ascii="Arial" w:cs="Arial" w:eastAsia="Arial" w:hAnsi="Arial"/>
          <w:sz w:val="18"/>
          <w:szCs w:val="18"/>
          <w:i w:val="1"/>
          <w:iCs w:val="1"/>
          <w:color w:val="auto"/>
        </w:rPr>
        <w:t>will be $</w:t>
      </w:r>
      <w:r>
        <w:rPr>
          <w:sz w:val="20"/>
          <w:szCs w:val="20"/>
          <w:color w:val="auto"/>
        </w:rPr>
        <w:tab/>
      </w:r>
      <w:r>
        <w:rPr>
          <w:rFonts w:ascii="Arial" w:cs="Arial" w:eastAsia="Arial" w:hAnsi="Arial"/>
          <w:sz w:val="14"/>
          <w:szCs w:val="14"/>
          <w:i w:val="1"/>
          <w:iCs w:val="1"/>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80"/>
        <w:spacing w:after="0" w:line="381" w:lineRule="auto"/>
        <w:rPr>
          <w:sz w:val="20"/>
          <w:szCs w:val="20"/>
          <w:color w:val="auto"/>
        </w:rPr>
      </w:pPr>
      <w:r>
        <w:rPr>
          <w:rFonts w:ascii="Arial" w:cs="Arial" w:eastAsia="Arial" w:hAnsi="Arial"/>
          <w:sz w:val="15"/>
          <w:szCs w:val="15"/>
          <w:i w:val="1"/>
          <w:iCs w:val="1"/>
          <w:color w:val="auto"/>
        </w:rPr>
        <w:t>shares of our common stock. If the underwriters , and the total proceeds to us, before expenses,</w:t>
      </w:r>
    </w:p>
    <w:p>
      <w:pPr>
        <w:spacing w:after="0" w:line="305" w:lineRule="exact"/>
        <w:rPr>
          <w:sz w:val="20"/>
          <w:szCs w:val="20"/>
          <w:color w:val="auto"/>
        </w:rPr>
      </w:pPr>
    </w:p>
    <w:p>
      <w:pPr>
        <w:sectPr>
          <w:pgSz w:w="11900" w:h="16838" w:orient="portrait"/>
          <w:cols w:equalWidth="0" w:num="2">
            <w:col w:w="7400" w:space="280"/>
            <w:col w:w="3540"/>
          </w:cols>
          <w:pgMar w:left="240" w:top="459" w:right="439" w:bottom="1440" w:gutter="0" w:footer="0" w:header="0"/>
          <w:type w:val="continuous"/>
        </w:sectPr>
      </w:pPr>
    </w:p>
    <w:p>
      <w:pPr>
        <w:spacing w:after="0" w:line="11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i w:val="1"/>
                <w:iCs w:val="1"/>
                <w:color w:val="auto"/>
                <w:w w:val="95"/>
              </w:rPr>
              <w:t>Delivery of the shares of common stock is expected to be made on or about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5200" w:val="left"/>
          <w:tab w:leader="none" w:pos="8800" w:val="left"/>
        </w:tabs>
        <w:rPr>
          <w:sz w:val="20"/>
          <w:szCs w:val="20"/>
          <w:color w:val="auto"/>
        </w:rPr>
      </w:pPr>
      <w:r>
        <w:rPr>
          <w:rFonts w:ascii="Arial" w:cs="Arial" w:eastAsia="Arial" w:hAnsi="Arial"/>
          <w:sz w:val="20"/>
          <w:szCs w:val="20"/>
          <w:i w:val="1"/>
          <w:iCs w:val="1"/>
          <w:color w:val="auto"/>
        </w:rPr>
        <w:t>MORGAN STANLEY</w:t>
      </w:r>
      <w:r>
        <w:rPr>
          <w:sz w:val="20"/>
          <w:szCs w:val="20"/>
          <w:color w:val="auto"/>
        </w:rPr>
        <w:tab/>
      </w:r>
      <w:r>
        <w:rPr>
          <w:rFonts w:ascii="Arial" w:cs="Arial" w:eastAsia="Arial" w:hAnsi="Arial"/>
          <w:sz w:val="20"/>
          <w:szCs w:val="20"/>
          <w:i w:val="1"/>
          <w:iCs w:val="1"/>
          <w:color w:val="auto"/>
        </w:rPr>
        <w:t>COWEN</w:t>
      </w:r>
      <w:r>
        <w:rPr>
          <w:sz w:val="20"/>
          <w:szCs w:val="20"/>
          <w:color w:val="auto"/>
        </w:rPr>
        <w:tab/>
      </w:r>
      <w:r>
        <w:rPr>
          <w:rFonts w:ascii="Arial" w:cs="Arial" w:eastAsia="Arial" w:hAnsi="Arial"/>
          <w:sz w:val="16"/>
          <w:szCs w:val="16"/>
          <w:i w:val="1"/>
          <w:iCs w:val="1"/>
          <w:color w:val="auto"/>
        </w:rPr>
        <w:t>WELLS FARGO SECURITIES</w:t>
      </w:r>
    </w:p>
    <w:p>
      <w:pPr>
        <w:spacing w:after="0" w:line="216" w:lineRule="exact"/>
        <w:rPr>
          <w:sz w:val="20"/>
          <w:szCs w:val="20"/>
          <w:color w:val="auto"/>
        </w:rPr>
      </w:pPr>
    </w:p>
    <w:p>
      <w:pPr>
        <w:ind w:left="3720"/>
        <w:spacing w:after="0"/>
        <w:rPr>
          <w:sz w:val="20"/>
          <w:szCs w:val="20"/>
          <w:color w:val="auto"/>
        </w:rPr>
      </w:pPr>
      <w:r>
        <w:rPr>
          <w:rFonts w:ascii="Arial" w:cs="Arial" w:eastAsia="Arial" w:hAnsi="Arial"/>
          <w:sz w:val="20"/>
          <w:szCs w:val="20"/>
          <w:i w:val="1"/>
          <w:iCs w:val="1"/>
          <w:color w:val="auto"/>
        </w:rPr>
        <w:t>WEDBUSH PACGROW</w:t>
      </w:r>
    </w:p>
    <w:p>
      <w:pPr>
        <w:spacing w:after="0" w:line="218" w:lineRule="exact"/>
        <w:rPr>
          <w:sz w:val="20"/>
          <w:szCs w:val="20"/>
          <w:color w:val="auto"/>
        </w:rPr>
      </w:pPr>
    </w:p>
    <w:p>
      <w:pPr>
        <w:ind w:left="200"/>
        <w:spacing w:after="0"/>
        <w:tabs>
          <w:tab w:leader="none" w:pos="2180" w:val="left"/>
        </w:tabs>
        <w:rPr>
          <w:sz w:val="20"/>
          <w:szCs w:val="20"/>
          <w:color w:val="auto"/>
        </w:rPr>
      </w:pPr>
      <w:r>
        <w:rPr>
          <w:rFonts w:ascii="Arial" w:cs="Arial" w:eastAsia="Arial" w:hAnsi="Arial"/>
          <w:sz w:val="18"/>
          <w:szCs w:val="18"/>
          <w:i w:val="1"/>
          <w:iCs w:val="1"/>
          <w:color w:val="auto"/>
        </w:rPr>
        <w:t>Prospectus dated</w:t>
      </w:r>
      <w:r>
        <w:rPr>
          <w:sz w:val="20"/>
          <w:szCs w:val="20"/>
          <w:color w:val="auto"/>
        </w:rPr>
        <w:tab/>
      </w:r>
      <w:r>
        <w:rPr>
          <w:rFonts w:ascii="Arial" w:cs="Arial" w:eastAsia="Arial" w:hAnsi="Arial"/>
          <w:sz w:val="16"/>
          <w:szCs w:val="16"/>
          <w:i w:val="1"/>
          <w:i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256540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SUMMARY</w:t>
              </w:r>
            </w:hyperlink>
          </w:p>
        </w:tc>
        <w:tc>
          <w:tcPr>
            <w:tcW w:w="2420" w:type="dxa"/>
            <w:vAlign w:val="bottom"/>
            <w:gridSpan w:val="7"/>
            <w:vMerge w:val="restart"/>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42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RISK FACTORS</w:t>
              </w:r>
            </w:hyperlink>
          </w:p>
        </w:tc>
        <w:tc>
          <w:tcPr>
            <w:tcW w:w="3260" w:type="dxa"/>
            <w:vAlign w:val="bottom"/>
            <w:gridSpan w:val="1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STATEMENTS</w:t>
              </w:r>
            </w:hyperlink>
          </w:p>
        </w:tc>
        <w:tc>
          <w:tcPr>
            <w:tcW w:w="360" w:type="dxa"/>
            <w:vAlign w:val="bottom"/>
            <w:gridSpan w:val="2"/>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USE OF PROCEEDS</w:t>
              </w:r>
            </w:hyperlink>
          </w:p>
        </w:tc>
        <w:tc>
          <w:tcPr>
            <w:tcW w:w="2920" w:type="dxa"/>
            <w:vAlign w:val="bottom"/>
            <w:gridSpan w:val="8"/>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CAPITALIZATION</w:t>
              </w:r>
            </w:hyperlink>
          </w:p>
        </w:tc>
        <w:tc>
          <w:tcPr>
            <w:tcW w:w="2940" w:type="dxa"/>
            <w:vAlign w:val="bottom"/>
            <w:gridSpan w:val="9"/>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060" w:type="dxa"/>
            <w:vAlign w:val="bottom"/>
            <w:gridSpan w:val="10"/>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FINANCIAL DATA</w:t>
              </w:r>
            </w:hyperlink>
          </w:p>
        </w:tc>
        <w:tc>
          <w:tcPr>
            <w:tcW w:w="2080" w:type="dxa"/>
            <w:vAlign w:val="bottom"/>
            <w:gridSpan w:val="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FINANCIAL CONDITION AND RESULTS OF</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OPERATIONS</w:t>
              </w:r>
            </w:hyperlink>
          </w:p>
        </w:tc>
        <w:tc>
          <w:tcPr>
            <w:tcW w:w="800" w:type="dxa"/>
            <w:vAlign w:val="bottom"/>
            <w:gridSpan w:val="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BUSINESS</w:t>
              </w:r>
            </w:hyperlink>
          </w:p>
        </w:tc>
        <w:tc>
          <w:tcPr>
            <w:tcW w:w="3660" w:type="dxa"/>
            <w:vAlign w:val="bottom"/>
            <w:gridSpan w:val="1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MANAGEMENT</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EXECUTIVE COMPENSATION</w:t>
              </w:r>
            </w:hyperlink>
          </w:p>
        </w:tc>
        <w:tc>
          <w:tcPr>
            <w:tcW w:w="2060" w:type="dxa"/>
            <w:vAlign w:val="bottom"/>
            <w:gridSpan w:val="4"/>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DIRECTOR COMPENSATION</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60" w:type="dxa"/>
            <w:vAlign w:val="bottom"/>
            <w:gridSpan w:val="15"/>
            <w:vMerge w:val="restart"/>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CERTAIN RELATIONSHIPS AND RELATED PARTY</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4960" w:type="dxa"/>
            <w:vAlign w:val="bottom"/>
            <w:gridSpan w:val="15"/>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PRINCIPAL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54">
              <w:r>
                <w:rPr>
                  <w:rFonts w:ascii="Arial" w:cs="Arial" w:eastAsia="Arial" w:hAnsi="Arial"/>
                  <w:sz w:val="18"/>
                  <w:szCs w:val="18"/>
                  <w:color w:val="0000EE"/>
                  <w:w w:val="95"/>
                </w:rPr>
                <w:t>DESCRIPTION OF CAPITAL STOCK</w:t>
              </w:r>
            </w:hyperlink>
          </w:p>
        </w:tc>
        <w:tc>
          <w:tcPr>
            <w:tcW w:w="20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SHARES ELIGIBLE FOR FUTURE SALE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62">
              <w:r>
                <w:rPr>
                  <w:rFonts w:ascii="Arial" w:cs="Arial" w:eastAsia="Arial" w:hAnsi="Arial"/>
                  <w:sz w:val="18"/>
                  <w:szCs w:val="18"/>
                  <w:color w:val="0000EE"/>
                  <w:w w:val="97"/>
                </w:rPr>
                <w:t>MATERIAL U.S. FEDERAL INCOME TAX</w:t>
              </w:r>
            </w:hyperlink>
          </w:p>
        </w:tc>
        <w:tc>
          <w:tcPr>
            <w:tcW w:w="166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gridSpan w:val="14"/>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CONSIDERATIONS FOR NON-U.S. HOLDERS OF</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2">
              <w:r>
                <w:rPr>
                  <w:rFonts w:ascii="Arial" w:cs="Arial" w:eastAsia="Arial" w:hAnsi="Arial"/>
                  <w:sz w:val="18"/>
                  <w:szCs w:val="18"/>
                  <w:color w:val="0000EE"/>
                  <w:w w:val="96"/>
                </w:rPr>
                <w:t>COMMON STOCK</w:t>
              </w:r>
            </w:hyperlink>
          </w:p>
        </w:tc>
        <w:tc>
          <w:tcPr>
            <w:tcW w:w="2420" w:type="dxa"/>
            <w:vAlign w:val="bottom"/>
            <w:tcBorders>
              <w:top w:val="single" w:sz="8" w:color="0000EE"/>
            </w:tcBorders>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UNDERWRITERS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INDEX TO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640"/>
        <w:spacing w:after="0"/>
        <w:tabs>
          <w:tab w:leader="none" w:pos="298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2018 (25 days after the date of this prospectus), all dealers effecting transactions in these securities,</w:t>
      </w:r>
    </w:p>
    <w:p>
      <w:pPr>
        <w:spacing w:after="0" w:line="27" w:lineRule="exact"/>
        <w:rPr>
          <w:sz w:val="20"/>
          <w:szCs w:val="20"/>
          <w:color w:val="auto"/>
        </w:rPr>
      </w:pPr>
    </w:p>
    <w:p>
      <w:pPr>
        <w:ind w:left="200" w:right="80"/>
        <w:spacing w:after="0" w:line="290"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we file with the Securities and Exchange Commission. Neither we nor the underwriters have authorized anyone to provide you with information other than that contained in this prospectus or any free writing prospectus prepared by or on behalf of us or to which we have referred you. We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As used in this prospectus, unless the context otherwise requires, references to the “company,” “we,” “us” and “our” refer to AVROBIO,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 xml:space="preserve">We are a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which transforms stem cells from patients into therapeutic products, has the potential to provide curative benefit for a range of diseases in an outpatient setting.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7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 Phase 1 clinical trial to assess safety and toxicity, as well as preliminary efficacy. We expect to initiate our Phase 2 clinical trial of AVR-RD-01 in mid-2018. In addition, Phase 1/2 clinical trials for both AVR-RD-02 and AVR-RD-04 are being planned and we expect patients will be dosed in 2019.</w:t>
      </w:r>
    </w:p>
    <w:p>
      <w:pPr>
        <w:spacing w:after="0" w:line="188" w:lineRule="exact"/>
        <w:rPr>
          <w:sz w:val="20"/>
          <w:szCs w:val="20"/>
          <w:color w:val="auto"/>
        </w:rPr>
      </w:pPr>
    </w:p>
    <w:p>
      <w:pPr>
        <w:ind w:left="380" w:right="220" w:firstLine="426"/>
        <w:spacing w:after="0" w:line="254" w:lineRule="auto"/>
        <w:rPr>
          <w:sz w:val="20"/>
          <w:szCs w:val="20"/>
          <w:color w:val="auto"/>
        </w:rPr>
      </w:pPr>
      <w:r>
        <w:rPr>
          <w:rFonts w:ascii="Arial" w:cs="Arial" w:eastAsia="Arial" w:hAnsi="Arial"/>
          <w:sz w:val="18"/>
          <w:szCs w:val="18"/>
          <w:color w:val="auto"/>
        </w:rPr>
        <w:t>The first two patients in the ongoing clinical trial of AVR-RD-01 have been dosed. The primary goal for this clinical trial is to assess the safety and toxicity of AVR-RD-01. In this trial, safety and toxicity are measured by the frequency of clinically notable abnormal vital signs and laboratory results and the frequency of treatment-related adverse events. A secondary objective for this clinical trial is to obtain preliminary efficacy signals of AVR-RD-01 therapy as assessed by a-galactosidase enzyme activity compared to baseline. Enrollment in this clinical trial is ongoing, with up to six patients with Fabry disease who have been treated with ERT expected to be enrolled. Because this is a Phase 1 trial, the currently approved standard of care, ERT, is suspended for enrolled patients one month prior to receiving AVR-RD-01 and is then resumed one month after AVR-RD-01 treatment. We believe the preliminary results from this trial support the potential of AVR-RD-01 to drive active enzyme production for long durations.</w:t>
      </w:r>
    </w:p>
    <w:p>
      <w:pPr>
        <w:spacing w:after="0" w:line="192" w:lineRule="exact"/>
        <w:rPr>
          <w:sz w:val="20"/>
          <w:szCs w:val="20"/>
          <w:color w:val="auto"/>
        </w:rPr>
      </w:pPr>
    </w:p>
    <w:p>
      <w:pPr>
        <w:ind w:left="380" w:right="160" w:firstLine="426"/>
        <w:spacing w:after="0" w:line="272" w:lineRule="auto"/>
        <w:rPr>
          <w:sz w:val="20"/>
          <w:szCs w:val="20"/>
          <w:color w:val="auto"/>
        </w:rPr>
      </w:pPr>
      <w:r>
        <w:rPr>
          <w:rFonts w:ascii="Arial" w:cs="Arial" w:eastAsia="Arial" w:hAnsi="Arial"/>
          <w:sz w:val="17"/>
          <w:szCs w:val="17"/>
          <w:color w:val="auto"/>
        </w:rPr>
        <w:t xml:space="preserve">Lentiviral-based gene therapy has been observed to be well-tolerated with lasting benefits in third parties’ ongoing clinical trials for rare diseases such as beta thalassemia, ALD and ADA-SCID. To date, over 200 patients have been treated with lentiviral-based gene therapies in third parties’ rare disease clinical trials. Historically, the use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78"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0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710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720"/>
        <w:spacing w:after="0" w:line="277" w:lineRule="auto"/>
        <w:rPr>
          <w:sz w:val="20"/>
          <w:szCs w:val="20"/>
          <w:color w:val="auto"/>
        </w:rPr>
      </w:pPr>
      <w:r>
        <w:rPr>
          <w:rFonts w:ascii="Arial" w:cs="Arial" w:eastAsia="Arial" w:hAnsi="Arial"/>
          <w:sz w:val="18"/>
          <w:szCs w:val="18"/>
          <w:color w:val="auto"/>
        </w:rPr>
        <w:t>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70" w:lineRule="exact"/>
        <w:rPr>
          <w:sz w:val="20"/>
          <w:szCs w:val="20"/>
          <w:color w:val="auto"/>
        </w:rPr>
      </w:pPr>
    </w:p>
    <w:p>
      <w:pPr>
        <w:ind w:left="380" w:right="100" w:firstLine="426"/>
        <w:spacing w:after="0" w:line="289" w:lineRule="auto"/>
        <w:rPr>
          <w:sz w:val="20"/>
          <w:szCs w:val="20"/>
          <w:color w:val="auto"/>
        </w:rPr>
      </w:pPr>
      <w:r>
        <w:rPr>
          <w:rFonts w:ascii="Arial" w:cs="Arial" w:eastAsia="Arial" w:hAnsi="Arial"/>
          <w:sz w:val="16"/>
          <w:szCs w:val="16"/>
          <w:color w:val="auto"/>
        </w:rPr>
        <w:t>We are initially targeting rare diseases in which current standard of care provides the mechanistic proof that the enzymes or other proteins produced endogenously following treatment with our gene therapies can offer benefit to patients. Typically in lysosomal storage diseases, a gene mutation results in the deficiency or malfunction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the diseases continue to progress. Further, the frequent, periodic and life-long dosing schedule required for ERTs results in significant costs for the healthcare system and is burdensome for the patient.</w:t>
      </w:r>
    </w:p>
    <w:p>
      <w:pPr>
        <w:spacing w:after="0" w:line="16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efforts. The status of our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b w:val="1"/>
          <w:bCs w:val="1"/>
          <w:i w:val="1"/>
          <w:iCs w:val="1"/>
          <w:color w:val="auto"/>
        </w:rPr>
        <w:t xml:space="preserve">AVR-RD-01. </w:t>
      </w:r>
      <w:r>
        <w:rPr>
          <w:rFonts w:ascii="Arial" w:cs="Arial" w:eastAsia="Arial" w:hAnsi="Arial"/>
          <w:sz w:val="18"/>
          <w:szCs w:val="18"/>
          <w:color w:val="auto"/>
        </w:rPr>
        <w:t>Our lead product candidate, AVR-RD-01 for the treatment of Fabry disease, is derived from hematopoietic stem cells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gene encoding the enzyme a-galactosidase A, or AGA, is added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process using a lentiviral vector. In an ongoing Phase 1 clinical trial of patients with Fabry disease,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42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642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76" w:lineRule="auto"/>
        <w:rPr>
          <w:sz w:val="20"/>
          <w:szCs w:val="20"/>
          <w:color w:val="auto"/>
        </w:rPr>
      </w:pPr>
      <w:r>
        <w:rPr>
          <w:rFonts w:ascii="Arial" w:cs="Arial" w:eastAsia="Arial" w:hAnsi="Arial"/>
          <w:sz w:val="17"/>
          <w:szCs w:val="17"/>
          <w:color w:val="auto"/>
        </w:rPr>
        <w:t>AVR-RD-01 has led to the production of active AGA enzyme in the two patients treated to date. In both patients, within days of receiving AVR-RD-01, the level of AGA enzyme activity began to rise from nearly undetectable levels before treatment to levels above the range for males with classic Fabry disease. As of twelve months after receiving AVR-RD-01, the first patient’s plasma AGA enzyme activity levels continued to be above the range for males with classic Fabry disease. Plasma AGA enzyme activity levels in the second patient remained above the range for males with classic Fabry disease, defined as less than 1 nmol/hr/ml, as of one month after treatment.</w:t>
      </w:r>
    </w:p>
    <w:p>
      <w:pPr>
        <w:spacing w:after="0" w:line="2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390" w:type="dxa"/>
        <w:tblCellMar>
          <w:top w:w="0" w:type="dxa"/>
          <w:left w:w="0" w:type="dxa"/>
          <w:bottom w:w="0" w:type="dxa"/>
          <w:right w:w="0" w:type="dxa"/>
        </w:tblCellMar>
      </w:tblPr>
      <w:tr>
        <w:trPr>
          <w:trHeight w:val="139"/>
        </w:trPr>
        <w:tc>
          <w:tcPr>
            <w:tcW w:w="2440" w:type="dxa"/>
            <w:vAlign w:val="bottom"/>
            <w:tcBorders>
              <w:top w:val="single" w:sz="8" w:color="auto"/>
              <w:left w:val="single" w:sz="8" w:color="auto"/>
              <w:right w:val="single" w:sz="8" w:color="auto"/>
            </w:tcBorders>
          </w:tcPr>
          <w:p>
            <w:pPr>
              <w:spacing w:after="0"/>
              <w:rPr>
                <w:sz w:val="12"/>
                <w:szCs w:val="12"/>
                <w:color w:val="auto"/>
              </w:rPr>
            </w:pPr>
          </w:p>
        </w:tc>
        <w:tc>
          <w:tcPr>
            <w:tcW w:w="3360" w:type="dxa"/>
            <w:vAlign w:val="bottom"/>
            <w:tcBorders>
              <w:top w:val="single" w:sz="8" w:color="auto"/>
              <w:right w:val="single" w:sz="8" w:color="auto"/>
            </w:tcBorders>
          </w:tcPr>
          <w:p>
            <w:pPr>
              <w:jc w:val="center"/>
              <w:ind w:left="1579"/>
              <w:spacing w:after="0" w:line="139" w:lineRule="exact"/>
              <w:rPr>
                <w:sz w:val="20"/>
                <w:szCs w:val="20"/>
                <w:color w:val="auto"/>
              </w:rPr>
            </w:pPr>
            <w:r>
              <w:rPr>
                <w:rFonts w:ascii="Arial" w:cs="Arial" w:eastAsia="Arial" w:hAnsi="Arial"/>
                <w:sz w:val="14"/>
                <w:szCs w:val="14"/>
                <w:b w:val="1"/>
                <w:bCs w:val="1"/>
                <w:color w:val="auto"/>
                <w:w w:val="90"/>
              </w:rPr>
              <w:t>Day 0</w:t>
            </w:r>
          </w:p>
        </w:tc>
        <w:tc>
          <w:tcPr>
            <w:tcW w:w="2360" w:type="dxa"/>
            <w:vAlign w:val="bottom"/>
            <w:tcBorders>
              <w:top w:val="single" w:sz="8" w:color="auto"/>
              <w:right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rPr>
              <w:t>1 Month</w:t>
            </w:r>
          </w:p>
        </w:tc>
        <w:tc>
          <w:tcPr>
            <w:tcW w:w="2500" w:type="dxa"/>
            <w:vAlign w:val="bottom"/>
            <w:tcBorders>
              <w:top w:val="single" w:sz="8" w:color="auto"/>
              <w:right w:val="single" w:sz="8" w:color="auto"/>
            </w:tcBorders>
          </w:tcPr>
          <w:p>
            <w:pPr>
              <w:ind w:left="166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440" w:type="dxa"/>
            <w:vAlign w:val="bottom"/>
            <w:tcBorders>
              <w:left w:val="single" w:sz="8" w:color="auto"/>
              <w:bottom w:val="single" w:sz="8" w:color="auto"/>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ind w:left="1680"/>
              <w:spacing w:after="0"/>
              <w:rPr>
                <w:sz w:val="20"/>
                <w:szCs w:val="20"/>
                <w:color w:val="auto"/>
              </w:rPr>
            </w:pPr>
            <w:r>
              <w:rPr>
                <w:rFonts w:ascii="Arial" w:cs="Arial" w:eastAsia="Arial" w:hAnsi="Arial"/>
                <w:sz w:val="14"/>
                <w:szCs w:val="14"/>
                <w:b w:val="1"/>
                <w:bCs w:val="1"/>
                <w:color w:val="auto"/>
              </w:rPr>
              <w:t>(Infusion of AVR-RD-01)</w:t>
            </w:r>
          </w:p>
        </w:tc>
        <w:tc>
          <w:tcPr>
            <w:tcW w:w="23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r>
      <w:tr>
        <w:trPr>
          <w:trHeight w:val="210"/>
        </w:trPr>
        <w:tc>
          <w:tcPr>
            <w:tcW w:w="24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Patient 1</w:t>
            </w:r>
          </w:p>
        </w:tc>
        <w:tc>
          <w:tcPr>
            <w:tcW w:w="3360" w:type="dxa"/>
            <w:vAlign w:val="bottom"/>
            <w:tcBorders>
              <w:bottom w:val="single" w:sz="8" w:color="auto"/>
              <w:right w:val="single" w:sz="8" w:color="auto"/>
            </w:tcBorders>
            <w:shd w:val="clear" w:color="auto" w:fill="CCEEFF"/>
          </w:tcPr>
          <w:p>
            <w:pPr>
              <w:jc w:val="center"/>
              <w:ind w:left="1579"/>
              <w:spacing w:after="0"/>
              <w:rPr>
                <w:sz w:val="20"/>
                <w:szCs w:val="20"/>
                <w:color w:val="auto"/>
              </w:rPr>
            </w:pPr>
            <w:r>
              <w:rPr>
                <w:rFonts w:ascii="Arial" w:cs="Arial" w:eastAsia="Arial" w:hAnsi="Arial"/>
                <w:sz w:val="18"/>
                <w:szCs w:val="18"/>
                <w:color w:val="auto"/>
                <w:w w:val="87"/>
              </w:rPr>
              <w:t>0.1</w:t>
            </w:r>
          </w:p>
        </w:tc>
        <w:tc>
          <w:tcPr>
            <w:tcW w:w="2360" w:type="dxa"/>
            <w:vAlign w:val="bottom"/>
            <w:tcBorders>
              <w:bottom w:val="single" w:sz="8" w:color="auto"/>
              <w:right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5.1</w:t>
            </w:r>
          </w:p>
        </w:tc>
        <w:tc>
          <w:tcPr>
            <w:tcW w:w="2500" w:type="dxa"/>
            <w:vAlign w:val="bottom"/>
            <w:tcBorders>
              <w:bottom w:val="single" w:sz="8" w:color="auto"/>
              <w:right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5.8</w:t>
            </w:r>
          </w:p>
        </w:tc>
      </w:tr>
      <w:tr>
        <w:trPr>
          <w:trHeight w:val="210"/>
        </w:trPr>
        <w:tc>
          <w:tcPr>
            <w:tcW w:w="24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Patient 2</w:t>
            </w:r>
          </w:p>
        </w:tc>
        <w:tc>
          <w:tcPr>
            <w:tcW w:w="3360" w:type="dxa"/>
            <w:vAlign w:val="bottom"/>
            <w:tcBorders>
              <w:bottom w:val="single" w:sz="8" w:color="auto"/>
              <w:right w:val="single" w:sz="8" w:color="auto"/>
            </w:tcBorders>
          </w:tcPr>
          <w:p>
            <w:pPr>
              <w:jc w:val="center"/>
              <w:ind w:left="1579"/>
              <w:spacing w:after="0"/>
              <w:rPr>
                <w:sz w:val="20"/>
                <w:szCs w:val="20"/>
                <w:color w:val="auto"/>
              </w:rPr>
            </w:pPr>
            <w:r>
              <w:rPr>
                <w:rFonts w:ascii="Arial" w:cs="Arial" w:eastAsia="Arial" w:hAnsi="Arial"/>
                <w:sz w:val="18"/>
                <w:szCs w:val="18"/>
                <w:color w:val="auto"/>
                <w:w w:val="87"/>
              </w:rPr>
              <w:t>0.2</w:t>
            </w:r>
          </w:p>
        </w:tc>
        <w:tc>
          <w:tcPr>
            <w:tcW w:w="236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8"/>
                <w:szCs w:val="18"/>
                <w:color w:val="auto"/>
              </w:rPr>
              <w:t>4.4</w:t>
            </w:r>
          </w:p>
        </w:tc>
        <w:tc>
          <w:tcPr>
            <w:tcW w:w="2500" w:type="dxa"/>
            <w:vAlign w:val="bottom"/>
            <w:tcBorders>
              <w:bottom w:val="single" w:sz="8" w:color="auto"/>
              <w:right w:val="single" w:sz="8" w:color="auto"/>
            </w:tcBorders>
          </w:tcPr>
          <w:p>
            <w:pPr>
              <w:jc w:val="center"/>
              <w:ind w:left="1496"/>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We believe these preliminary results support the potential of AVR-RD-01 to drive active enzyme production for long durations. We anticipate initiating our Phase 2 clinical trial of AVR-RD-01 in mid-2018.</w:t>
      </w:r>
    </w:p>
    <w:p>
      <w:pPr>
        <w:spacing w:after="0" w:line="170"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b w:val="1"/>
          <w:bCs w:val="1"/>
          <w:i w:val="1"/>
          <w:iCs w:val="1"/>
          <w:color w:val="auto"/>
        </w:rPr>
        <w:t xml:space="preserve">AVR-RD-02. </w:t>
      </w:r>
      <w:r>
        <w:rPr>
          <w:rFonts w:ascii="Arial" w:cs="Arial" w:eastAsia="Arial" w:hAnsi="Arial"/>
          <w:sz w:val="18"/>
          <w:szCs w:val="18"/>
          <w:color w:val="auto"/>
        </w:rPr>
        <w:t>We are developing AVR-RD-02 for the treatment of Type 1 Gaucher disease. We will manufacture AVR-RD-02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b w:val="1"/>
          <w:bCs w:val="1"/>
          <w:i w:val="1"/>
          <w:iCs w:val="1"/>
          <w:color w:val="auto"/>
        </w:rPr>
        <w:t xml:space="preserve">AVR-RD-03. </w:t>
      </w:r>
      <w:r>
        <w:rPr>
          <w:rFonts w:ascii="Arial" w:cs="Arial" w:eastAsia="Arial" w:hAnsi="Arial"/>
          <w:sz w:val="18"/>
          <w:szCs w:val="18"/>
          <w:color w:val="auto"/>
        </w:rPr>
        <w:t>We are developing AVR-RD-03 for the treatment of Pompe disease. We will manufacture AVR-RD-03 from hematopoietic 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addition of a GILT tag has been shown to increase the uptake of GAA into cells, especially in muscle cells, which is a particularly important target tissue for patients with Pompe disease.</w:t>
      </w:r>
    </w:p>
    <w:p>
      <w:pPr>
        <w:spacing w:after="0" w:line="188"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b w:val="1"/>
          <w:bCs w:val="1"/>
          <w:i w:val="1"/>
          <w:iCs w:val="1"/>
          <w:color w:val="auto"/>
        </w:rPr>
        <w:t xml:space="preserve">AVR-RD-04. </w:t>
      </w:r>
      <w:r>
        <w:rPr>
          <w:rFonts w:ascii="Arial" w:cs="Arial" w:eastAsia="Arial" w:hAnsi="Arial"/>
          <w:sz w:val="17"/>
          <w:szCs w:val="17"/>
          <w:color w:val="auto"/>
        </w:rPr>
        <w:t>We are developing AVR-RD-04 for the treatment of patients with cystinosis. We will manufacture AVR-RD-04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hematopoietic stem cells that are first extracted from the patient, modified to add the gene that encodes for cystinosin, and then infused into the patient. In a planned academic sponsored Phase 1/2 clinical trial, we expect the first patient will be dosed in 2019.</w:t>
      </w:r>
    </w:p>
    <w:p>
      <w:pPr>
        <w:spacing w:after="0" w:line="166"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4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We also utilize a cryopreservation process that we believe will allow for the global distribution and, if approved, commercialization of our gene therapies.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380" w:right="200" w:firstLine="426"/>
        <w:spacing w:after="0" w:line="302" w:lineRule="auto"/>
        <w:rPr>
          <w:sz w:val="20"/>
          <w:szCs w:val="20"/>
          <w:color w:val="auto"/>
        </w:rPr>
      </w:pPr>
      <w:r>
        <w:rPr>
          <w:rFonts w:ascii="Arial" w:cs="Arial" w:eastAsia="Arial" w:hAnsi="Arial"/>
          <w:sz w:val="16"/>
          <w:szCs w:val="16"/>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27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727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advance our initial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first-line gene therapies for lysosomal storage diseases;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Globally develop, manufacture and commercialize our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Industrialize lentiviral-based gene therapy;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approach beyond our initial indications.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160" w:firstLine="426"/>
        <w:spacing w:after="0" w:line="34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29" w:lineRule="exact"/>
        <w:rPr>
          <w:sz w:val="20"/>
          <w:szCs w:val="20"/>
          <w:color w:val="auto"/>
        </w:rPr>
      </w:pPr>
    </w:p>
    <w:p>
      <w:pPr>
        <w:ind w:left="1220" w:right="6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1220" w:right="48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6" w:lineRule="exact"/>
        <w:rPr>
          <w:rFonts w:ascii="Arial" w:cs="Arial" w:eastAsia="Arial" w:hAnsi="Arial"/>
          <w:sz w:val="18"/>
          <w:szCs w:val="18"/>
          <w:color w:val="auto"/>
        </w:rPr>
      </w:pPr>
    </w:p>
    <w:p>
      <w:pPr>
        <w:ind w:left="1220" w:right="2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AVR-RD-01 is being investigated in an ongoing Phase 1 clinical trial, in which two patients have been dosed to date, and we have not commenced clinical trials for any of our other product candidates. We have never conducted pivotal clinical trials, and may be unable to do so for any product candidates we may develop, including AVR-RD-01.</w:t>
      </w:r>
    </w:p>
    <w:p>
      <w:pPr>
        <w:spacing w:after="0" w:line="86"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12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6" w:lineRule="exact"/>
        <w:rPr>
          <w:rFonts w:ascii="Arial" w:cs="Arial" w:eastAsia="Arial" w:hAnsi="Arial"/>
          <w:sz w:val="17"/>
          <w:szCs w:val="17"/>
          <w:color w:val="auto"/>
        </w:rPr>
      </w:pPr>
    </w:p>
    <w:p>
      <w:pPr>
        <w:ind w:left="1220" w:right="980" w:hanging="415"/>
        <w:spacing w:after="0" w:line="342"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29" w:lineRule="exact"/>
        <w:rPr>
          <w:rFonts w:ascii="Arial" w:cs="Arial" w:eastAsia="Arial" w:hAnsi="Arial"/>
          <w:sz w:val="16"/>
          <w:szCs w:val="16"/>
          <w:color w:val="auto"/>
        </w:rPr>
      </w:pPr>
    </w:p>
    <w:p>
      <w:pPr>
        <w:ind w:left="1220" w:right="20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development and commercialization efforts.</w:t>
      </w:r>
    </w:p>
    <w:p>
      <w:pPr>
        <w:spacing w:after="0" w:line="142" w:lineRule="exact"/>
        <w:rPr>
          <w:rFonts w:ascii="Arial" w:cs="Arial" w:eastAsia="Arial" w:hAnsi="Arial"/>
          <w:sz w:val="17"/>
          <w:szCs w:val="17"/>
          <w:color w:val="auto"/>
        </w:rPr>
      </w:pPr>
    </w:p>
    <w:p>
      <w:pPr>
        <w:ind w:left="1220" w:right="4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and AVR-RD-02 for our Gaucher program, but do not own or license any patents or patent applications covering these product candidates.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38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238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14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aware of issued patents in the United States that cover the lentiviral vectors used in the manufacture of our product candidates. While we believe that we have reasonable defenses against a claim of infringement, there can be no assurance that we will prevail in any such action by the holder of these patents.</w:t>
      </w:r>
    </w:p>
    <w:p>
      <w:pPr>
        <w:spacing w:after="0" w:line="86" w:lineRule="exact"/>
        <w:rPr>
          <w:rFonts w:ascii="Arial" w:cs="Arial" w:eastAsia="Arial" w:hAnsi="Arial"/>
          <w:sz w:val="18"/>
          <w:szCs w:val="18"/>
          <w:color w:val="auto"/>
        </w:rPr>
      </w:pPr>
    </w:p>
    <w:p>
      <w:pPr>
        <w:ind w:left="1220" w:right="30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independent registered public accounting firm have identified material weaknesses in our internal control over financial reporting which will require remediation.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380" w:right="280" w:firstLine="426"/>
        <w:spacing w:after="0" w:line="312" w:lineRule="auto"/>
        <w:rPr>
          <w:sz w:val="20"/>
          <w:szCs w:val="20"/>
          <w:color w:val="auto"/>
        </w:rPr>
      </w:pPr>
      <w:r>
        <w:rPr>
          <w:rFonts w:ascii="Arial" w:cs="Arial" w:eastAsia="Arial" w:hAnsi="Arial"/>
          <w:sz w:val="16"/>
          <w:szCs w:val="16"/>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 but such references should not be construed as any indicator that their respective owners will not assert, to the fullest extent under applicable law, their rights thereto.</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220" w:right="10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220" w:right="24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820" w:type="dxa"/>
            <w:vAlign w:val="bottom"/>
            <w:tcBorders>
              <w:top w:val="single" w:sz="8" w:color="auto"/>
              <w:left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THE OFFERING</w:t>
            </w: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168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1680" w:type="dxa"/>
            <w:vAlign w:val="bottom"/>
          </w:tcPr>
          <w:p>
            <w:pPr>
              <w:spacing w:after="0"/>
              <w:rPr>
                <w:sz w:val="24"/>
                <w:szCs w:val="24"/>
                <w:color w:val="auto"/>
              </w:rPr>
            </w:pP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shares (</w:t>
            </w:r>
          </w:p>
        </w:tc>
        <w:tc>
          <w:tcPr>
            <w:tcW w:w="240" w:type="dxa"/>
            <w:vAlign w:val="bottom"/>
          </w:tcPr>
          <w:p>
            <w:pPr>
              <w:spacing w:after="0"/>
              <w:rPr>
                <w:sz w:val="24"/>
                <w:szCs w:val="24"/>
                <w:color w:val="auto"/>
              </w:rPr>
            </w:pPr>
          </w:p>
        </w:tc>
        <w:tc>
          <w:tcPr>
            <w:tcW w:w="31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0"/>
              </w:rPr>
              <w:t>shares if the underwriters exercise their</w:t>
            </w:r>
          </w:p>
        </w:tc>
        <w:tc>
          <w:tcPr>
            <w:tcW w:w="0" w:type="dxa"/>
            <w:vAlign w:val="bottom"/>
          </w:tcPr>
          <w:p>
            <w:pPr>
              <w:spacing w:after="0"/>
              <w:rPr>
                <w:sz w:val="1"/>
                <w:szCs w:val="1"/>
                <w:color w:val="auto"/>
              </w:rPr>
            </w:pPr>
          </w:p>
        </w:tc>
      </w:tr>
      <w:tr>
        <w:trPr>
          <w:trHeight w:val="202"/>
        </w:trPr>
        <w:tc>
          <w:tcPr>
            <w:tcW w:w="4820" w:type="dxa"/>
            <w:vAlign w:val="bottom"/>
            <w:tcBorders>
              <w:lef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option to purchase additional shares in full)</w:t>
            </w: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Underwriters’ option to purchase additional shares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w w:val="94"/>
              </w:rPr>
              <w:t>We have granted a 30-day option to the underwriters to purchase up</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2800" w:type="dxa"/>
            <w:vAlign w:val="bottom"/>
            <w:gridSpan w:val="2"/>
          </w:tcPr>
          <w:p>
            <w:pPr>
              <w:ind w:left="1200"/>
              <w:spacing w:after="0"/>
              <w:rPr>
                <w:sz w:val="20"/>
                <w:szCs w:val="20"/>
                <w:color w:val="auto"/>
              </w:rPr>
            </w:pPr>
            <w:r>
              <w:rPr>
                <w:rFonts w:ascii="Arial" w:cs="Arial" w:eastAsia="Arial" w:hAnsi="Arial"/>
                <w:sz w:val="18"/>
                <w:szCs w:val="18"/>
                <w:color w:val="auto"/>
              </w:rPr>
              <w:t>to an aggregate of</w:t>
            </w:r>
          </w:p>
        </w:tc>
        <w:tc>
          <w:tcPr>
            <w:tcW w:w="240" w:type="dxa"/>
            <w:vAlign w:val="bottom"/>
          </w:tcPr>
          <w:p>
            <w:pPr>
              <w:spacing w:after="0"/>
              <w:rPr>
                <w:sz w:val="18"/>
                <w:szCs w:val="18"/>
                <w:color w:val="auto"/>
              </w:rPr>
            </w:pPr>
          </w:p>
        </w:tc>
        <w:tc>
          <w:tcPr>
            <w:tcW w:w="31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w w:val="99"/>
              </w:rPr>
              <w:t>additional shares of common stock</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from us at the public offering price, less underwriting discounts</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2"/>
              </w:rPr>
              <w:t>and commissions on the same terms as set forth in this prospectus.</w:t>
            </w: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w w:val="93"/>
              </w:rPr>
              <w:t>We estimate that we will receive net proceeds from the sale of shares</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of our common stock in this offering of approximately</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1680" w:type="dxa"/>
            <w:vAlign w:val="bottom"/>
          </w:tcPr>
          <w:p>
            <w:pPr>
              <w:ind w:left="1200"/>
              <w:spacing w:after="0"/>
              <w:rPr>
                <w:sz w:val="20"/>
                <w:szCs w:val="20"/>
                <w:color w:val="auto"/>
              </w:rPr>
            </w:pPr>
            <w:r>
              <w:rPr>
                <w:rFonts w:ascii="Arial" w:cs="Arial" w:eastAsia="Arial" w:hAnsi="Arial"/>
                <w:sz w:val="18"/>
                <w:szCs w:val="18"/>
                <w:color w:val="auto"/>
              </w:rPr>
              <w:t>$</w:t>
            </w:r>
          </w:p>
        </w:tc>
        <w:tc>
          <w:tcPr>
            <w:tcW w:w="1120" w:type="dxa"/>
            <w:vAlign w:val="bottom"/>
          </w:tcPr>
          <w:p>
            <w:pPr>
              <w:ind w:left="20"/>
              <w:spacing w:after="0"/>
              <w:rPr>
                <w:sz w:val="20"/>
                <w:szCs w:val="20"/>
                <w:color w:val="auto"/>
              </w:rPr>
            </w:pPr>
            <w:r>
              <w:rPr>
                <w:rFonts w:ascii="Arial" w:cs="Arial" w:eastAsia="Arial" w:hAnsi="Arial"/>
                <w:sz w:val="18"/>
                <w:szCs w:val="18"/>
                <w:color w:val="auto"/>
              </w:rPr>
              <w:t>million, or $</w:t>
            </w:r>
          </w:p>
        </w:tc>
        <w:tc>
          <w:tcPr>
            <w:tcW w:w="3420" w:type="dxa"/>
            <w:vAlign w:val="bottom"/>
            <w:tcBorders>
              <w:right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8"/>
              </w:rPr>
              <w:t>million if the underwriters exercise their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option to purchase additional shares in full, assuming an initial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3040" w:type="dxa"/>
            <w:vAlign w:val="bottom"/>
            <w:gridSpan w:val="3"/>
          </w:tcPr>
          <w:p>
            <w:pPr>
              <w:ind w:left="1200"/>
              <w:spacing w:after="0"/>
              <w:rPr>
                <w:sz w:val="20"/>
                <w:szCs w:val="20"/>
                <w:color w:val="auto"/>
              </w:rPr>
            </w:pPr>
            <w:r>
              <w:rPr>
                <w:rFonts w:ascii="Arial" w:cs="Arial" w:eastAsia="Arial" w:hAnsi="Arial"/>
                <w:sz w:val="18"/>
                <w:szCs w:val="18"/>
                <w:color w:val="auto"/>
                <w:w w:val="95"/>
              </w:rPr>
              <w:t>public offering price of $</w:t>
            </w:r>
          </w:p>
        </w:tc>
        <w:tc>
          <w:tcPr>
            <w:tcW w:w="31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per share, the midpoint of the price</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range set forth on the cover page of this prospectus, and after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4"/>
              </w:rPr>
              <w:t>deducting estimated underwriting discounts and commissions and</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6"/>
              </w:rPr>
              <w:t>estimated offering expenses payable by us. We intend to use the</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net proceeds from this offering, together with our existing cash</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3"/>
              </w:rPr>
              <w:t>and cash equivalents, to advance our lead product candidate AVR-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3"/>
              </w:rPr>
              <w:t>RD-01; to advance our other product candidates and programs; for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4"/>
              </w:rPr>
              <w:t>our external and internal manufacturing and process development</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5"/>
              </w:rPr>
              <w:t>activities; for research and development activities that relate to all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of our clinical and preclinical activities; and the remainder for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planned general and administrative expenses, the costs of</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w w:val="95"/>
              </w:rPr>
              <w:t>operating as a public company, working capital and other general</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corporate purposes. For a more complete description of our</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intended use of the proceeds from this offering, see “Use of</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2800" w:type="dxa"/>
            <w:vAlign w:val="bottom"/>
            <w:gridSpan w:val="2"/>
          </w:tcPr>
          <w:p>
            <w:pPr>
              <w:ind w:left="1200"/>
              <w:spacing w:after="0"/>
              <w:rPr>
                <w:sz w:val="20"/>
                <w:szCs w:val="20"/>
                <w:color w:val="auto"/>
              </w:rPr>
            </w:pPr>
            <w:r>
              <w:rPr>
                <w:rFonts w:ascii="Arial" w:cs="Arial" w:eastAsia="Arial" w:hAnsi="Arial"/>
                <w:sz w:val="18"/>
                <w:szCs w:val="18"/>
                <w:color w:val="auto"/>
              </w:rPr>
              <w:t>Proceeds.”</w:t>
            </w:r>
          </w:p>
        </w:tc>
        <w:tc>
          <w:tcPr>
            <w:tcW w:w="24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220" w:type="dxa"/>
            <w:vAlign w:val="bottom"/>
            <w:tcBorders>
              <w:right w:val="single" w:sz="8" w:color="auto"/>
            </w:tcBorders>
            <w:gridSpan w:val="4"/>
          </w:tcPr>
          <w:p>
            <w:pPr>
              <w:ind w:left="1020"/>
              <w:spacing w:after="0"/>
              <w:rPr>
                <w:sz w:val="20"/>
                <w:szCs w:val="20"/>
                <w:color w:val="auto"/>
              </w:rPr>
            </w:pPr>
            <w:r>
              <w:rPr>
                <w:rFonts w:ascii="Arial" w:cs="Arial" w:eastAsia="Arial" w:hAnsi="Arial"/>
                <w:sz w:val="18"/>
                <w:szCs w:val="18"/>
                <w:color w:val="auto"/>
              </w:rPr>
              <w:t>You should carefully read the “Risk Factors” section of this</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prospectus for a discussion of factors that you should consider</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4"/>
          </w:tcPr>
          <w:p>
            <w:pPr>
              <w:ind w:left="1200"/>
              <w:spacing w:after="0"/>
              <w:rPr>
                <w:sz w:val="20"/>
                <w:szCs w:val="20"/>
                <w:color w:val="auto"/>
              </w:rPr>
            </w:pPr>
            <w:r>
              <w:rPr>
                <w:rFonts w:ascii="Arial" w:cs="Arial" w:eastAsia="Arial" w:hAnsi="Arial"/>
                <w:sz w:val="18"/>
                <w:szCs w:val="18"/>
                <w:color w:val="auto"/>
              </w:rPr>
              <w:t>before deciding to invest in our common stock.</w:t>
            </w: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Proposed Nasdaq Global Market symbol</w:t>
            </w:r>
          </w:p>
        </w:tc>
        <w:tc>
          <w:tcPr>
            <w:tcW w:w="1680" w:type="dxa"/>
            <w:vAlign w:val="bottom"/>
          </w:tcPr>
          <w:p>
            <w:pPr>
              <w:ind w:left="1020"/>
              <w:spacing w:after="0"/>
              <w:rPr>
                <w:sz w:val="20"/>
                <w:szCs w:val="20"/>
                <w:color w:val="auto"/>
              </w:rPr>
            </w:pPr>
            <w:r>
              <w:rPr>
                <w:rFonts w:ascii="Arial" w:cs="Arial" w:eastAsia="Arial" w:hAnsi="Arial"/>
                <w:sz w:val="18"/>
                <w:szCs w:val="18"/>
                <w:color w:val="auto"/>
              </w:rPr>
              <w:t>“AVRO”</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2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20" w:type="dxa"/>
            <w:vAlign w:val="bottom"/>
          </w:tcPr>
          <w:p>
            <w:pPr>
              <w:spacing w:after="0"/>
              <w:rPr>
                <w:sz w:val="24"/>
                <w:szCs w:val="24"/>
                <w:color w:val="auto"/>
              </w:rPr>
            </w:pPr>
          </w:p>
        </w:tc>
        <w:tc>
          <w:tcPr>
            <w:tcW w:w="1680" w:type="dxa"/>
            <w:vAlign w:val="bottom"/>
          </w:tcPr>
          <w:p>
            <w:pPr>
              <w:ind w:left="64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15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860" w:firstLine="42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10,666,667 shares of our common stock outstanding as of March 31, 2018, and gives effect to the conversion of all of our outstanding preferred stock into 63,303,154 shares of our common stock immediately prior to the closing of this offering, and excludes:</w:t>
      </w:r>
    </w:p>
    <w:p>
      <w:pPr>
        <w:spacing w:after="0" w:line="87" w:lineRule="exact"/>
        <w:rPr>
          <w:sz w:val="20"/>
          <w:szCs w:val="20"/>
          <w:color w:val="auto"/>
        </w:rPr>
      </w:pPr>
    </w:p>
    <w:p>
      <w:pPr>
        <w:ind w:left="1220" w:right="6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7,391,214 shares of common stock issuable upon the exercise of stock options outstanding as of March 31, 2018, with a weighted-average exercise price of $0.62 per share;</w:t>
      </w:r>
    </w:p>
    <w:p>
      <w:pPr>
        <w:spacing w:after="0" w:line="75" w:lineRule="exact"/>
        <w:rPr>
          <w:rFonts w:ascii="Arial" w:cs="Arial" w:eastAsia="Arial" w:hAnsi="Arial"/>
          <w:sz w:val="18"/>
          <w:szCs w:val="18"/>
          <w:color w:val="auto"/>
        </w:rPr>
      </w:pPr>
    </w:p>
    <w:p>
      <w:pPr>
        <w:ind w:left="1220" w:right="44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March 31, 2018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220" w:right="4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241,506 shares of common stock available for future issuance under our Amended and Restated 2015 Stock Option and Grant Plan as of March 31, 2018;</w:t>
      </w:r>
    </w:p>
    <w:p>
      <w:pPr>
        <w:sectPr>
          <w:pgSz w:w="11900" w:h="16838" w:orient="portrait"/>
          <w:cols w:equalWidth="0" w:num="1">
            <w:col w:w="11240"/>
          </w:cols>
          <w:pgMar w:left="240" w:top="459" w:right="419" w:bottom="1440" w:gutter="0" w:footer="0" w:header="0"/>
        </w:sectPr>
      </w:pPr>
    </w:p>
    <w:p>
      <w:pPr>
        <w:spacing w:after="0" w:line="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860" w:space="360"/>
            <w:col w:w="10020"/>
          </w:cols>
          <w:pgMar w:left="240" w:top="459" w:right="41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sectPr>
          <w:pgSz w:w="11900" w:h="16838" w:orient="portrait"/>
          <w:cols w:equalWidth="0" w:num="2">
            <w:col w:w="860" w:space="360"/>
            <w:col w:w="10020"/>
          </w:cols>
          <w:pgMar w:left="240" w:top="459" w:right="41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Unless otherwise indicated, all information in this prospectus reflects or assumes the following:</w:t>
      </w:r>
    </w:p>
    <w:p>
      <w:pPr>
        <w:spacing w:after="0" w:line="131" w:lineRule="exact"/>
        <w:rPr>
          <w:sz w:val="20"/>
          <w:szCs w:val="20"/>
          <w:color w:val="auto"/>
        </w:rPr>
      </w:pPr>
    </w:p>
    <w:p>
      <w:pPr>
        <w:ind w:left="1220" w:right="40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220" w:right="50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automatic conversion of all of our outstanding shares of preferred stock into an aggregate of 63,303,154 shares of common stock upon the closing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issuance or exercise of outstanding options or warrants after March 31, 2018;</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000" w:type="dxa"/>
            <w:vAlign w:val="bottom"/>
          </w:tcPr>
          <w:p>
            <w:pPr>
              <w:ind w:left="180"/>
              <w:spacing w:after="0"/>
              <w:rPr>
                <w:sz w:val="20"/>
                <w:szCs w:val="20"/>
                <w:color w:val="auto"/>
              </w:rPr>
            </w:pPr>
            <w:r>
              <w:rPr>
                <w:rFonts w:ascii="Arial" w:cs="Arial" w:eastAsia="Arial" w:hAnsi="Arial"/>
                <w:sz w:val="18"/>
                <w:szCs w:val="18"/>
                <w:color w:val="auto"/>
              </w:rPr>
              <w:t>a 1-for-</w:t>
            </w:r>
          </w:p>
        </w:tc>
        <w:tc>
          <w:tcPr>
            <w:tcW w:w="4080" w:type="dxa"/>
            <w:vAlign w:val="bottom"/>
          </w:tcPr>
          <w:p>
            <w:pPr>
              <w:jc w:val="right"/>
              <w:ind w:right="390"/>
              <w:spacing w:after="0"/>
              <w:rPr>
                <w:sz w:val="20"/>
                <w:szCs w:val="20"/>
                <w:color w:val="auto"/>
              </w:rPr>
            </w:pPr>
            <w:r>
              <w:rPr>
                <w:rFonts w:ascii="Arial" w:cs="Arial" w:eastAsia="Arial" w:hAnsi="Arial"/>
                <w:sz w:val="18"/>
                <w:szCs w:val="18"/>
                <w:color w:val="auto"/>
                <w:w w:val="98"/>
              </w:rPr>
              <w:t>reverse split of our common stock effected on</w:t>
            </w:r>
          </w:p>
        </w:tc>
        <w:tc>
          <w:tcPr>
            <w:tcW w:w="5120" w:type="dxa"/>
            <w:vAlign w:val="bottom"/>
          </w:tcPr>
          <w:p>
            <w:pPr>
              <w:ind w:left="280"/>
              <w:spacing w:after="0"/>
              <w:rPr>
                <w:sz w:val="20"/>
                <w:szCs w:val="20"/>
                <w:color w:val="auto"/>
              </w:rPr>
            </w:pPr>
            <w:r>
              <w:rPr>
                <w:rFonts w:ascii="Arial" w:cs="Arial" w:eastAsia="Arial" w:hAnsi="Arial"/>
                <w:sz w:val="18"/>
                <w:szCs w:val="18"/>
                <w:color w:val="auto"/>
              </w:rPr>
              <w:t>; and</w:t>
            </w:r>
          </w:p>
        </w:tc>
      </w:tr>
      <w:tr>
        <w:trPr>
          <w:trHeight w:val="338"/>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180"/>
              <w:spacing w:after="0"/>
              <w:rPr>
                <w:sz w:val="20"/>
                <w:szCs w:val="20"/>
                <w:color w:val="auto"/>
              </w:rPr>
            </w:pPr>
            <w:r>
              <w:rPr>
                <w:rFonts w:ascii="Arial" w:cs="Arial" w:eastAsia="Arial" w:hAnsi="Arial"/>
                <w:sz w:val="18"/>
                <w:szCs w:val="18"/>
                <w:color w:val="auto"/>
                <w:w w:val="96"/>
              </w:rPr>
              <w:t>no exercise by the underwriters of their option to purchase up to</w:t>
            </w:r>
          </w:p>
        </w:tc>
        <w:tc>
          <w:tcPr>
            <w:tcW w:w="5120" w:type="dxa"/>
            <w:vAlign w:val="bottom"/>
          </w:tcPr>
          <w:p>
            <w:pPr>
              <w:ind w:left="460"/>
              <w:spacing w:after="0"/>
              <w:rPr>
                <w:sz w:val="20"/>
                <w:szCs w:val="20"/>
                <w:color w:val="auto"/>
              </w:rPr>
            </w:pPr>
            <w:r>
              <w:rPr>
                <w:rFonts w:ascii="Arial" w:cs="Arial" w:eastAsia="Arial" w:hAnsi="Arial"/>
                <w:sz w:val="18"/>
                <w:szCs w:val="18"/>
                <w:color w:val="auto"/>
              </w:rPr>
              <w:t>additional shares of common stock in this offering.</w:t>
            </w:r>
          </w:p>
        </w:tc>
      </w:tr>
      <w:tr>
        <w:trPr>
          <w:trHeight w:val="240"/>
        </w:trPr>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r>
      <w:tr>
        <w:trPr>
          <w:trHeight w:val="604"/>
        </w:trPr>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5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60" w:firstLine="426"/>
        <w:spacing w:after="0" w:line="289" w:lineRule="auto"/>
        <w:rPr>
          <w:sz w:val="20"/>
          <w:szCs w:val="20"/>
          <w:color w:val="auto"/>
        </w:rPr>
      </w:pPr>
      <w:r>
        <w:rPr>
          <w:rFonts w:ascii="Arial" w:cs="Arial" w:eastAsia="Arial" w:hAnsi="Arial"/>
          <w:sz w:val="16"/>
          <w:szCs w:val="16"/>
          <w:color w:val="auto"/>
        </w:rPr>
        <w:t>The summary consolidated statements of operations data presented below for the years ended December 31, 2016 and 2017 are derived from our audited consolidated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summary consolidated financial data together with the information in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7"/>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fair value of preferred stock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00" w:type="dxa"/>
            <w:vAlign w:val="bottom"/>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00" w:type="dxa"/>
            <w:vAlign w:val="bottom"/>
          </w:tcPr>
          <w:p>
            <w:pPr>
              <w:ind w:left="74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Reconciliation of net loss to net loss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2"/>
        </w:trPr>
        <w:tc>
          <w:tcPr>
            <w:tcW w:w="5500" w:type="dxa"/>
            <w:vAlign w:val="bottom"/>
          </w:tcPr>
          <w:p>
            <w:pPr>
              <w:ind w:left="20"/>
              <w:spacing w:after="0" w:line="201" w:lineRule="exact"/>
              <w:rPr>
                <w:sz w:val="20"/>
                <w:szCs w:val="20"/>
                <w:color w:val="auto"/>
              </w:rPr>
            </w:pPr>
            <w:r>
              <w:rPr>
                <w:rFonts w:ascii="Arial" w:cs="Arial" w:eastAsia="Arial" w:hAnsi="Arial"/>
                <w:sz w:val="18"/>
                <w:szCs w:val="18"/>
                <w:color w:val="auto"/>
              </w:rPr>
              <w:t>Accretion of redeemable convertible preferred stock to redemption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common shares outstanding—basic and diluted</w:t>
            </w:r>
            <w:r>
              <w:rPr>
                <w:rFonts w:ascii="Arial" w:cs="Arial" w:eastAsia="Arial" w:hAnsi="Arial"/>
                <w:sz w:val="15"/>
                <w:szCs w:val="15"/>
                <w:color w:val="auto"/>
                <w:w w:val="99"/>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8,421,130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9,238,612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9,014,861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9,606,064</w:t>
            </w:r>
          </w:p>
        </w:tc>
        <w:tc>
          <w:tcPr>
            <w:tcW w:w="0" w:type="dxa"/>
            <w:vAlign w:val="bottom"/>
          </w:tcPr>
          <w:p>
            <w:pPr>
              <w:spacing w:after="0"/>
              <w:rPr>
                <w:sz w:val="1"/>
                <w:szCs w:val="1"/>
                <w:color w:val="auto"/>
              </w:rPr>
            </w:pPr>
          </w:p>
        </w:tc>
      </w:tr>
      <w:tr>
        <w:trPr>
          <w:trHeight w:val="202"/>
        </w:trPr>
        <w:tc>
          <w:tcPr>
            <w:tcW w:w="5500" w:type="dxa"/>
            <w:vAlign w:val="bottom"/>
          </w:tcPr>
          <w:p>
            <w:pPr>
              <w:ind w:left="20"/>
              <w:spacing w:after="0" w:line="201" w:lineRule="exact"/>
              <w:rPr>
                <w:sz w:val="20"/>
                <w:szCs w:val="20"/>
                <w:color w:val="auto"/>
              </w:rPr>
            </w:pPr>
            <w:r>
              <w:rPr>
                <w:rFonts w:ascii="Arial" w:cs="Arial" w:eastAsia="Arial" w:hAnsi="Arial"/>
                <w:sz w:val="18"/>
                <w:szCs w:val="18"/>
                <w:color w:val="auto"/>
              </w:rPr>
              <w:t>Pro forma net loss per share attributable to common 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8"/>
              </w:rPr>
              <w:t>Pro forma weighted-average common shares outstanding—basic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28,602,468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66,888,472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00" w:hanging="414"/>
        <w:spacing w:after="0" w:line="31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14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45148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As of March 31, 2018</w:t>
            </w:r>
          </w:p>
        </w:tc>
        <w:tc>
          <w:tcPr>
            <w:tcW w:w="10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Actual</w:t>
            </w:r>
          </w:p>
        </w:tc>
        <w:tc>
          <w:tcPr>
            <w:tcW w:w="17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1060" w:type="dxa"/>
            <w:vAlign w:val="bottom"/>
          </w:tcPr>
          <w:p>
            <w:pPr>
              <w:jc w:val="center"/>
              <w:ind w:left="131"/>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88"/>
              </w:rPr>
              <w:t>$ 57,928</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   57,928</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53,420</w:t>
            </w:r>
          </w:p>
        </w:tc>
        <w:tc>
          <w:tcPr>
            <w:tcW w:w="17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53,420</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60,216</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60,216</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to purchase redeemable convertible preferred stock</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47</w:t>
            </w:r>
          </w:p>
        </w:tc>
        <w:tc>
          <w:tcPr>
            <w:tcW w:w="17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958</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958</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87,500</w:t>
            </w:r>
          </w:p>
        </w:tc>
        <w:tc>
          <w:tcPr>
            <w:tcW w:w="17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(33,511)</w:t>
            </w:r>
          </w:p>
        </w:tc>
        <w:tc>
          <w:tcPr>
            <w:tcW w:w="1740" w:type="dxa"/>
            <w:vAlign w:val="bottom"/>
          </w:tcPr>
          <w:p>
            <w:pPr>
              <w:jc w:val="right"/>
              <w:ind w:right="415"/>
              <w:spacing w:after="0"/>
              <w:rPr>
                <w:sz w:val="20"/>
                <w:szCs w:val="20"/>
                <w:color w:val="auto"/>
              </w:rPr>
            </w:pPr>
            <w:r>
              <w:rPr>
                <w:rFonts w:ascii="Arial" w:cs="Arial" w:eastAsia="Arial" w:hAnsi="Arial"/>
                <w:sz w:val="18"/>
                <w:szCs w:val="18"/>
                <w:color w:val="auto"/>
              </w:rPr>
              <w:t>54,036</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0" w:hanging="41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jc w:val="both"/>
        <w:ind w:left="800" w:right="60" w:hanging="414"/>
        <w:spacing w:after="0" w:line="28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balance sheet data gives effect to (i) the conversion of all outstanding shares of redeemable convertible preferred stock into an aggregate of 63,303,154 shares of common stock upon the closing of this offering; and (ii) the outstanding warrant to purchase shares of our redeemable convertible preferred stock becoming a warrant to purchase shares of our common stock upon the closing of this offering.</w:t>
      </w:r>
    </w:p>
    <w:p>
      <w:pPr>
        <w:spacing w:after="0" w:line="2" w:lineRule="exact"/>
        <w:rPr>
          <w:rFonts w:ascii="Arial" w:cs="Arial" w:eastAsia="Arial" w:hAnsi="Arial"/>
          <w:sz w:val="16"/>
          <w:szCs w:val="16"/>
          <w:color w:val="auto"/>
        </w:rPr>
      </w:pPr>
    </w:p>
    <w:p>
      <w:pPr>
        <w:ind w:left="800" w:hanging="414"/>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as adjusted balance sheet data gives effect to the pro forma adjustments described in footnote (2) above, as well as (i) our</w:t>
      </w:r>
    </w:p>
    <w:p>
      <w:pPr>
        <w:spacing w:after="0" w:line="32" w:lineRule="exact"/>
        <w:rPr>
          <w:sz w:val="20"/>
          <w:szCs w:val="20"/>
          <w:color w:val="auto"/>
        </w:rPr>
      </w:pPr>
    </w:p>
    <w:p>
      <w:pPr>
        <w:ind w:left="800" w:right="60"/>
        <w:spacing w:after="0" w:line="281" w:lineRule="auto"/>
        <w:rPr>
          <w:sz w:val="20"/>
          <w:szCs w:val="20"/>
          <w:color w:val="auto"/>
        </w:rPr>
      </w:pPr>
      <w:r>
        <w:rPr>
          <w:rFonts w:ascii="Arial" w:cs="Arial" w:eastAsia="Arial" w:hAnsi="Arial"/>
          <w:sz w:val="16"/>
          <w:szCs w:val="16"/>
          <w:color w:val="auto"/>
        </w:rPr>
        <w:t>issuance and sale of 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w:t>
      </w:r>
    </w:p>
    <w:p>
      <w:pPr>
        <w:spacing w:after="0" w:line="3" w:lineRule="exact"/>
        <w:rPr>
          <w:sz w:val="20"/>
          <w:szCs w:val="20"/>
          <w:color w:val="auto"/>
        </w:rPr>
      </w:pPr>
    </w:p>
    <w:p>
      <w:pPr>
        <w:ind w:left="800" w:right="120"/>
        <w:spacing w:after="0" w:line="281" w:lineRule="auto"/>
        <w:rPr>
          <w:sz w:val="20"/>
          <w:szCs w:val="20"/>
          <w:color w:val="auto"/>
        </w:rPr>
      </w:pPr>
      <w:r>
        <w:rPr>
          <w:rFonts w:ascii="Arial" w:cs="Arial" w:eastAsia="Arial" w:hAnsi="Arial"/>
          <w:sz w:val="16"/>
          <w:szCs w:val="16"/>
          <w:color w:val="auto"/>
        </w:rPr>
        <w:t>offering. Each $1.00 increase (decrease) in the assumed initial public offering price of $ per share, the midpoint of the price range set forth on the cover page of this prospectus, would increase (decrease) the pro forma as adjusted amount of each of cash and cash equivalents,</w:t>
      </w:r>
    </w:p>
    <w:p>
      <w:pPr>
        <w:spacing w:after="0" w:line="1" w:lineRule="exact"/>
        <w:rPr>
          <w:sz w:val="20"/>
          <w:szCs w:val="20"/>
          <w:color w:val="auto"/>
        </w:rPr>
      </w:pPr>
    </w:p>
    <w:p>
      <w:pPr>
        <w:ind w:left="800" w:right="20"/>
        <w:spacing w:after="0" w:line="281" w:lineRule="auto"/>
        <w:rPr>
          <w:sz w:val="20"/>
          <w:szCs w:val="20"/>
          <w:color w:val="auto"/>
        </w:rPr>
      </w:pPr>
      <w:r>
        <w:rPr>
          <w:rFonts w:ascii="Arial" w:cs="Arial" w:eastAsia="Arial" w:hAnsi="Arial"/>
          <w:sz w:val="16"/>
          <w:szCs w:val="16"/>
          <w:color w:val="auto"/>
        </w:rPr>
        <w:t>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working capital,</w:t>
      </w:r>
    </w:p>
    <w:p>
      <w:pPr>
        <w:spacing w:after="0" w:line="3" w:lineRule="exact"/>
        <w:rPr>
          <w:sz w:val="20"/>
          <w:szCs w:val="20"/>
          <w:color w:val="auto"/>
        </w:rPr>
      </w:pPr>
    </w:p>
    <w:p>
      <w:pPr>
        <w:ind w:left="800"/>
        <w:spacing w:after="0" w:line="254" w:lineRule="auto"/>
        <w:rPr>
          <w:sz w:val="20"/>
          <w:szCs w:val="20"/>
          <w:color w:val="auto"/>
        </w:rPr>
      </w:pPr>
      <w:r>
        <w:rPr>
          <w:rFonts w:ascii="Arial" w:cs="Arial" w:eastAsia="Arial" w:hAnsi="Arial"/>
          <w:sz w:val="18"/>
          <w:szCs w:val="18"/>
          <w:color w:val="auto"/>
        </w:rPr>
        <w:t>total assets and total stockholders’ equity by $ million, assuming no change in the assumed initial public offering price per share and after deducting estimated underwriting discounts and commissions and estimated offering expenses payable by us. This pro forma as adjusted information is illustrative only and will depend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“Special Note Regarding Forward-Looking Statements” in this prospectus.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Since inception, we have incurred net losses. We incurred net losses of $4.7 million, $18.6 million and $8.2 million for the years ended December 31, 2016 and 2017, and the three months ended March 31, 2018,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99"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initiating and conducting our planned Phase 2 clinical trial for AVR-RD-01;</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continue our operations. A decline in the value of our company also could cause you to lose all or part of your investment.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424"/>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20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15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clinical trials of our product candidates and establishing research and development and manufacturing capabilities.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In addition, there is no assurance that products using our proprietary LV2 or manufactured using this automated system will achieve the same favorable preliminary results observed to date in the Phase 1 clinical trial of AVR-RD-01.</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287"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after administration, there can be no assurance that patients would not create antibodies that may impair treatment. If any of our gene therapy product candidates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demonstrates adverse side effects, we may decide or be required to halt or delay clinical development of such product candidates.</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to side effects caused by our product candidates, the conditioning, administration process or related procedures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Phase 1 clinical trial of AVR-RD-01, several adverse events, including where white blood cell and platelet counts were suppressed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6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b w:val="1"/>
          <w:bCs w:val="1"/>
          <w:i w:val="1"/>
          <w:iCs w:val="1"/>
          <w:color w:val="auto"/>
        </w:rPr>
        <w:t>AVR-RD-01 is being investigated in an ongoing Phase 1 clinical trial and we have not commenced clinical trials for any of our other product candidates. We have never conducted pivotal clinical trials, and may be unable to do so for any product candidates we may develop, including AVR-RD-01.</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at a very early stage of development for all of our product candidates including AVR-RD-01. As of March 1, 2018, our product candidate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AVR-RD-01 has been administered to only two patients. The ongoing Phase 1 clinical trial for AVR-RD-01 must be completed and we need to initiate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complete our planned Phase 2 clinical trial of AVR-RD-01, as well as potentially additional pivotal clinical trials in order to obtain FDA approval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market AVR-RD-01. Carrying out later-stage clinical trials is a complicated process. AVR-RD-01 is being evaluated in an investigator-sponsored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Phase 1 clinical trial and, as an organization, we have not conducted any clinical trials, have limited experience in preparing, submitting and prosecuting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regulatory filings, and have not previously submitted a biologics license application, or BLA, for any product candidate.</w:t>
      </w:r>
    </w:p>
    <w:p>
      <w:pPr>
        <w:spacing w:after="0" w:line="21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our interactions with the FDA are expected to be limited for the near future, and we cannot be certain how many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additional clinical trials of AVR-RD-01 or any of our other product candidates will be required or how such trials should be designed. In order to commence a clinical trial in the United States, including our planned Phase 2 clinical trial for AVR-RD-01, we will be required to seek FDA acceptance of an IND for each of our product candidates. We cannot be sure any IND we submit to the FDA, or any similar clinical trial application we submit in other countries, will be accepted.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0"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clinical trial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likely require updates to our clinical trial</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9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FDA and comparable foreign regulatory authorities offer certain designations for product candidates that are designed to encourage the research and development of product candidates that are intended to address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firstLine="4"/>
        <w:spacing w:after="0" w:line="268" w:lineRule="auto"/>
        <w:tabs>
          <w:tab w:leader="none" w:pos="4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planned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38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7"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2" w:lineRule="exact"/>
        <w:rPr>
          <w:sz w:val="20"/>
          <w:szCs w:val="20"/>
          <w:color w:val="auto"/>
        </w:rPr>
      </w:pPr>
    </w:p>
    <w:p>
      <w:pPr>
        <w:ind w:left="640" w:right="48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jc w:val="both"/>
        <w:ind w:left="200" w:right="10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2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9" w:lineRule="exact"/>
        <w:rPr>
          <w:sz w:val="20"/>
          <w:szCs w:val="20"/>
          <w:color w:val="auto"/>
        </w:rPr>
      </w:pPr>
    </w:p>
    <w:p>
      <w:pPr>
        <w:ind w:left="640" w:right="42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6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could impair our ability to conduct our clinical trials and, if our product candidates are approved, to meet the demand of our customers and cause them to cancel orders.</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these agreements typically restrict the ability of our collaborators, advisors, employees and consultants to publish data potentially relating to our trade secrets. Our academic collaborators typically have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28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5620" w:right="4780" w:hanging="4984"/>
        <w:spacing w:after="0" w:line="536" w:lineRule="auto"/>
        <w:tabs>
          <w:tab w:leader="none" w:pos="10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efficacy and potential advantages over alternative treatments; 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prevalence and severity of any side effects resulting from the conditioning regimen for the administration of our product candidates;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7"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reimbursement for such services may lead to physician resistance and adversely affect our ability to market or sell our product candidates, if approved.</w:t>
      </w:r>
    </w:p>
    <w:p>
      <w:pPr>
        <w:spacing w:after="0" w:line="356"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7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65"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of March 31, 2018, we had 24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59" w:lineRule="auto"/>
        <w:rPr>
          <w:sz w:val="20"/>
          <w:szCs w:val="20"/>
          <w:color w:val="auto"/>
        </w:rPr>
      </w:pPr>
      <w:r>
        <w:rPr>
          <w:rFonts w:ascii="Arial" w:cs="Arial" w:eastAsia="Arial" w:hAnsi="Arial"/>
          <w:sz w:val="18"/>
          <w:szCs w:val="18"/>
          <w:color w:val="auto"/>
        </w:rPr>
        <w:t>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27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91"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2" w:lineRule="exact"/>
        <w:rPr>
          <w:rFonts w:ascii="Arial" w:cs="Arial" w:eastAsia="Arial" w:hAnsi="Arial"/>
          <w:sz w:val="16"/>
          <w:szCs w:val="16"/>
          <w:color w:val="auto"/>
        </w:rPr>
      </w:pPr>
    </w:p>
    <w:p>
      <w:pPr>
        <w:jc w:val="both"/>
        <w:ind w:left="1060" w:right="26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80"/>
        <w:spacing w:after="0" w:line="312" w:lineRule="auto"/>
        <w:rPr>
          <w:sz w:val="20"/>
          <w:szCs w:val="20"/>
          <w:color w:val="auto"/>
        </w:rPr>
      </w:pPr>
      <w:r>
        <w:rPr>
          <w:rFonts w:ascii="Arial" w:cs="Arial" w:eastAsia="Arial" w:hAnsi="Arial"/>
          <w:sz w:val="16"/>
          <w:szCs w:val="16"/>
          <w:color w:val="auto"/>
        </w:rPr>
        <w:t>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52" w:lineRule="exact"/>
        <w:rPr>
          <w:sz w:val="20"/>
          <w:szCs w:val="20"/>
          <w:color w:val="auto"/>
        </w:rPr>
      </w:pPr>
    </w:p>
    <w:p>
      <w:pPr>
        <w:ind w:left="1060" w:right="16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Finally, there are state and foreign laws governing the privacy and security of health information, many of which differ from each other in significant ways and often are not preempted by HIPAA, thus complicating compliance efforts.</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66"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carry product liability insurance of $5.0 million per occurrence and $5.0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290"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we had federal and state net operating loss carryforwards of $19.0 million and $18.9 million, respectively, and state research and development tax credit carryforwards of approximately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$119,000.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this offering,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7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6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62" w:lineRule="exact"/>
        <w:rPr>
          <w:sz w:val="20"/>
          <w:szCs w:val="20"/>
          <w:color w:val="auto"/>
        </w:rPr>
      </w:pPr>
    </w:p>
    <w:p>
      <w:pPr>
        <w:ind w:left="640" w:right="22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4" w:lineRule="exact"/>
        <w:rPr>
          <w:sz w:val="20"/>
          <w:szCs w:val="20"/>
          <w:color w:val="auto"/>
        </w:rPr>
      </w:pPr>
    </w:p>
    <w:p>
      <w:pPr>
        <w:ind w:left="640" w:right="14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Some of the intellectual property rights we have licensed, including rights licensed to us by GenStem, may have been generated through the use of U.S. government and California state funding and may therefore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86"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currently do not have trademarks or trademark applications with the USPTO for the mark “AVRO” and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424"/>
        <w:spacing w:after="0" w:line="308"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initial public offering price.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92"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Although we intend to apply to have our common stock listed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7"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 of our voting stock and, upon closing of this offering, that same group will beneficially own approximately % of our outstanding voting stock. As a result, if these stockholders were to act together, they would be able to control all matters submitted to our stockholders for approval, as well as our management and affair. For example, these stockholders, acting together, may be able to control elections of directors, amendments of our organizational documents, or approval of any merger, sale of assets, or other major corporate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296"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40" w:hanging="424"/>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3"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1"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ind w:left="200" w:right="280"/>
        <w:spacing w:after="0" w:line="255" w:lineRule="auto"/>
        <w:rPr>
          <w:sz w:val="20"/>
          <w:szCs w:val="20"/>
          <w:color w:val="auto"/>
        </w:rPr>
      </w:pPr>
      <w:r>
        <w:rPr>
          <w:rFonts w:ascii="Arial" w:cs="Arial" w:eastAsia="Arial" w:hAnsi="Arial"/>
          <w:sz w:val="18"/>
          <w:szCs w:val="18"/>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pro forma book value per share of our tangible assets after subtracting our liabilities. As a result,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459" w:right="4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519"/>
        </w:trPr>
        <w:tc>
          <w:tcPr>
            <w:tcW w:w="7280" w:type="dxa"/>
            <w:vAlign w:val="bottom"/>
            <w:gridSpan w:val="4"/>
          </w:tcPr>
          <w:p>
            <w:pPr>
              <w:ind w:left="200"/>
              <w:spacing w:after="0"/>
              <w:rPr>
                <w:sz w:val="20"/>
                <w:szCs w:val="20"/>
                <w:color w:val="auto"/>
              </w:rPr>
            </w:pPr>
            <w:r>
              <w:rPr>
                <w:rFonts w:ascii="Arial" w:cs="Arial" w:eastAsia="Arial" w:hAnsi="Arial"/>
                <w:sz w:val="18"/>
                <w:szCs w:val="18"/>
                <w:color w:val="auto"/>
                <w:w w:val="95"/>
              </w:rPr>
              <w:t>investors purchasing shares of common stock in this offering will incur immediate dilution of $</w:t>
            </w:r>
          </w:p>
        </w:tc>
        <w:tc>
          <w:tcPr>
            <w:tcW w:w="3900" w:type="dxa"/>
            <w:vAlign w:val="bottom"/>
          </w:tcPr>
          <w:p>
            <w:pPr>
              <w:ind w:left="200"/>
              <w:spacing w:after="0"/>
              <w:rPr>
                <w:sz w:val="20"/>
                <w:szCs w:val="20"/>
                <w:color w:val="auto"/>
              </w:rPr>
            </w:pPr>
            <w:r>
              <w:rPr>
                <w:rFonts w:ascii="Arial" w:cs="Arial" w:eastAsia="Arial" w:hAnsi="Arial"/>
                <w:sz w:val="18"/>
                <w:szCs w:val="18"/>
                <w:color w:val="auto"/>
                <w:w w:val="92"/>
              </w:rPr>
              <w:t>per share, based on the initial public offering price</w:t>
            </w:r>
          </w:p>
        </w:tc>
      </w:tr>
      <w:tr>
        <w:trPr>
          <w:trHeight w:val="230"/>
        </w:trPr>
        <w:tc>
          <w:tcPr>
            <w:tcW w:w="700" w:type="dxa"/>
            <w:vAlign w:val="bottom"/>
          </w:tcPr>
          <w:p>
            <w:pPr>
              <w:ind w:left="200"/>
              <w:spacing w:after="0"/>
              <w:rPr>
                <w:sz w:val="20"/>
                <w:szCs w:val="20"/>
                <w:color w:val="auto"/>
              </w:rPr>
            </w:pPr>
            <w:r>
              <w:rPr>
                <w:rFonts w:ascii="Arial" w:cs="Arial" w:eastAsia="Arial" w:hAnsi="Arial"/>
                <w:sz w:val="18"/>
                <w:szCs w:val="18"/>
                <w:color w:val="auto"/>
              </w:rPr>
              <w:t>of $</w:t>
            </w:r>
          </w:p>
        </w:tc>
        <w:tc>
          <w:tcPr>
            <w:tcW w:w="4700" w:type="dxa"/>
            <w:vAlign w:val="bottom"/>
            <w:gridSpan w:val="2"/>
          </w:tcPr>
          <w:p>
            <w:pPr>
              <w:ind w:left="200"/>
              <w:spacing w:after="0"/>
              <w:rPr>
                <w:sz w:val="20"/>
                <w:szCs w:val="20"/>
                <w:color w:val="auto"/>
              </w:rPr>
            </w:pPr>
            <w:r>
              <w:rPr>
                <w:rFonts w:ascii="Arial" w:cs="Arial" w:eastAsia="Arial" w:hAnsi="Arial"/>
                <w:sz w:val="18"/>
                <w:szCs w:val="18"/>
                <w:color w:val="auto"/>
                <w:w w:val="97"/>
              </w:rPr>
              <w:t>per share and our pro forma net tangible book value as of</w:t>
            </w:r>
          </w:p>
        </w:tc>
        <w:tc>
          <w:tcPr>
            <w:tcW w:w="5780" w:type="dxa"/>
            <w:vAlign w:val="bottom"/>
            <w:gridSpan w:val="2"/>
          </w:tcPr>
          <w:p>
            <w:pPr>
              <w:ind w:left="380"/>
              <w:spacing w:after="0"/>
              <w:rPr>
                <w:sz w:val="20"/>
                <w:szCs w:val="20"/>
                <w:color w:val="auto"/>
              </w:rPr>
            </w:pPr>
            <w:r>
              <w:rPr>
                <w:rFonts w:ascii="Arial" w:cs="Arial" w:eastAsia="Arial" w:hAnsi="Arial"/>
                <w:sz w:val="18"/>
                <w:szCs w:val="18"/>
                <w:color w:val="auto"/>
                <w:w w:val="88"/>
              </w:rPr>
              <w:t>, 2018. Further, based on these assumptions, investors purchasing shares of</w:t>
            </w:r>
          </w:p>
        </w:tc>
      </w:tr>
    </w:tbl>
    <w:p>
      <w:pPr>
        <w:ind w:left="200" w:right="28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in this offering will contribute approximately % of the total amount invested by stockholders since our inception, but will own only approximately % of the shares of common stock outstanding. For information on how the foregoing amounts were calculated, see “Dilution.”</w:t>
      </w:r>
    </w:p>
    <w:p>
      <w:pPr>
        <w:spacing w:after="0" w:line="24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w:t>
      </w:r>
    </w:p>
    <w:p>
      <w:pPr>
        <w:ind w:left="200"/>
        <w:spacing w:after="0"/>
        <w:tabs>
          <w:tab w:leader="none" w:pos="5300" w:val="left"/>
        </w:tabs>
        <w:rPr>
          <w:sz w:val="20"/>
          <w:szCs w:val="20"/>
          <w:color w:val="auto"/>
        </w:rPr>
      </w:pPr>
      <w:r>
        <w:rPr>
          <w:rFonts w:ascii="Arial" w:cs="Arial" w:eastAsia="Arial" w:hAnsi="Arial"/>
          <w:sz w:val="18"/>
          <w:szCs w:val="18"/>
          <w:color w:val="auto"/>
        </w:rPr>
        <w:t>common stock. After this offering, we will have outstanding</w:t>
      </w:r>
      <w:r>
        <w:rPr>
          <w:sz w:val="20"/>
          <w:szCs w:val="20"/>
          <w:color w:val="auto"/>
        </w:rPr>
        <w:tab/>
      </w:r>
      <w:r>
        <w:rPr>
          <w:rFonts w:ascii="Arial" w:cs="Arial" w:eastAsia="Arial" w:hAnsi="Arial"/>
          <w:sz w:val="15"/>
          <w:szCs w:val="15"/>
          <w:color w:val="auto"/>
        </w:rPr>
        <w:t>shares of common stock based on the number of shares outstanding as of</w:t>
      </w:r>
    </w:p>
    <w:p>
      <w:pPr>
        <w:spacing w:after="0" w:line="9" w:lineRule="exact"/>
        <w:rPr>
          <w:sz w:val="20"/>
          <w:szCs w:val="20"/>
          <w:color w:val="auto"/>
        </w:rPr>
      </w:pPr>
    </w:p>
    <w:p>
      <w:pPr>
        <w:ind w:left="920"/>
        <w:spacing w:after="0"/>
        <w:tabs>
          <w:tab w:leader="none" w:pos="8200" w:val="left"/>
        </w:tabs>
        <w:rPr>
          <w:sz w:val="20"/>
          <w:szCs w:val="20"/>
          <w:color w:val="auto"/>
        </w:rPr>
      </w:pPr>
      <w:r>
        <w:rPr>
          <w:rFonts w:ascii="Arial" w:cs="Arial" w:eastAsia="Arial" w:hAnsi="Arial"/>
          <w:sz w:val="18"/>
          <w:szCs w:val="18"/>
          <w:color w:val="auto"/>
        </w:rPr>
        <w:t>, 2018 assuming the conversion of our preferred stock upon the closing of this offering, (or</w:t>
      </w:r>
      <w:r>
        <w:rPr>
          <w:sz w:val="20"/>
          <w:szCs w:val="20"/>
          <w:color w:val="auto"/>
        </w:rPr>
        <w:tab/>
      </w:r>
      <w:r>
        <w:rPr>
          <w:rFonts w:ascii="Arial" w:cs="Arial" w:eastAsia="Arial" w:hAnsi="Arial"/>
          <w:sz w:val="16"/>
          <w:szCs w:val="16"/>
          <w:color w:val="auto"/>
        </w:rPr>
        <w:t>shares if the underwriters exercise their</w:t>
      </w:r>
    </w:p>
    <w:p>
      <w:pPr>
        <w:spacing w:after="0" w:line="9" w:lineRule="exact"/>
        <w:rPr>
          <w:sz w:val="20"/>
          <w:szCs w:val="20"/>
          <w:color w:val="auto"/>
        </w:rPr>
      </w:pPr>
    </w:p>
    <w:p>
      <w:pPr>
        <w:ind w:left="200"/>
        <w:spacing w:after="0"/>
        <w:tabs>
          <w:tab w:leader="none" w:pos="5400" w:val="left"/>
          <w:tab w:leader="none" w:pos="9340" w:val="left"/>
        </w:tabs>
        <w:rPr>
          <w:sz w:val="20"/>
          <w:szCs w:val="20"/>
          <w:color w:val="auto"/>
        </w:rPr>
      </w:pPr>
      <w:r>
        <w:rPr>
          <w:rFonts w:ascii="Arial" w:cs="Arial" w:eastAsia="Arial" w:hAnsi="Arial"/>
          <w:sz w:val="18"/>
          <w:szCs w:val="18"/>
          <w:color w:val="auto"/>
        </w:rPr>
        <w:t>option to purchase additional shares in full). This includes the</w:t>
      </w:r>
      <w:r>
        <w:rPr>
          <w:sz w:val="20"/>
          <w:szCs w:val="20"/>
          <w:color w:val="auto"/>
        </w:rPr>
        <w:tab/>
      </w:r>
      <w:r>
        <w:rPr>
          <w:rFonts w:ascii="Arial" w:cs="Arial" w:eastAsia="Arial" w:hAnsi="Arial"/>
          <w:sz w:val="18"/>
          <w:szCs w:val="18"/>
          <w:color w:val="auto"/>
        </w:rPr>
        <w:t>shares that we are selling in this offering (or</w:t>
      </w:r>
      <w:r>
        <w:rPr>
          <w:sz w:val="20"/>
          <w:szCs w:val="20"/>
          <w:color w:val="auto"/>
        </w:rPr>
        <w:tab/>
      </w:r>
      <w:r>
        <w:rPr>
          <w:rFonts w:ascii="Arial" w:cs="Arial" w:eastAsia="Arial" w:hAnsi="Arial"/>
          <w:sz w:val="16"/>
          <w:szCs w:val="16"/>
          <w:color w:val="auto"/>
        </w:rPr>
        <w:t>shares if the underwriters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exercise their option to purchase additional shares in full), which may be resold in the public market immediately without restriction, unless purchased</w:t>
      </w:r>
    </w:p>
    <w:p>
      <w:pPr>
        <w:spacing w:after="0" w:line="32" w:lineRule="exact"/>
        <w:rPr>
          <w:sz w:val="20"/>
          <w:szCs w:val="20"/>
          <w:color w:val="auto"/>
        </w:rPr>
      </w:pPr>
    </w:p>
    <w:p>
      <w:pPr>
        <w:ind w:left="200"/>
        <w:spacing w:after="0" w:line="251" w:lineRule="auto"/>
        <w:rPr>
          <w:sz w:val="20"/>
          <w:szCs w:val="20"/>
          <w:color w:val="auto"/>
        </w:rPr>
      </w:pPr>
      <w:r>
        <w:rPr>
          <w:rFonts w:ascii="Arial" w:cs="Arial" w:eastAsia="Arial" w:hAnsi="Arial"/>
          <w:sz w:val="18"/>
          <w:szCs w:val="18"/>
          <w:color w:val="auto"/>
        </w:rPr>
        <w:t>by our affiliates. The remaining shares currently are restricted as a result of securities laws or lock-up agreements but will be able to be sold after the offering as described in the “Shares eligible for future sale” and “Underwriters” sections of this prospectus. Moreover, after this offering, holders of an aggregate of approximately 63.3 million shares of our common stock will have rights, subject to certain conditions, to require us to file registration statements covering their shares or to include their shares in registration statements that we may file for ourselves or other stockholders. In addition, 7,391,214 shares reserved for issuance upon the exercise of existing stock options outstanding as of March 31, 2018 under our current equity incentive plan will become eligible for sale in the public market in the future, subject to certain legal and contractual limitations. We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9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Morgan Stanley &amp; Co. LLC and Cowen and Company, LLC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46"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restricts our ability to pay any dividends or making any distributions on account of our capital stock. As a result, capital appreciation, if any, of our common stock will be your sole source of gain for the foreseeable future.</w:t>
      </w:r>
    </w:p>
    <w:p>
      <w:pPr>
        <w:spacing w:after="0" w:line="29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7" w:lineRule="exact"/>
        <w:rPr>
          <w:sz w:val="20"/>
          <w:szCs w:val="20"/>
          <w:color w:val="auto"/>
        </w:rPr>
      </w:pPr>
    </w:p>
    <w:p>
      <w:pPr>
        <w:ind w:left="1060" w:right="34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See “Description of Capital Stock—Choice of Forum.”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83" w:lineRule="exact"/>
        <w:rPr>
          <w:sz w:val="20"/>
          <w:szCs w:val="20"/>
          <w:color w:val="auto"/>
        </w:rPr>
      </w:pPr>
    </w:p>
    <w:p>
      <w:pPr>
        <w:ind w:left="1060" w:right="4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 including our transition to LV2 and our use of a milder conditioning regimen;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69"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8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800" w:type="dxa"/>
            <w:vAlign w:val="bottom"/>
          </w:tcPr>
          <w:p>
            <w:pPr>
              <w:ind w:left="3320"/>
              <w:spacing w:after="0"/>
              <w:rPr>
                <w:sz w:val="20"/>
                <w:szCs w:val="20"/>
                <w:color w:val="auto"/>
              </w:rPr>
            </w:pPr>
            <w:r>
              <w:rPr>
                <w:rFonts w:ascii="Arial" w:cs="Arial" w:eastAsia="Arial" w:hAnsi="Arial"/>
                <w:sz w:val="18"/>
                <w:szCs w:val="18"/>
                <w:b w:val="1"/>
                <w:bCs w:val="1"/>
                <w:color w:val="auto"/>
              </w:rPr>
              <w:t>USE OF PROCEEDS</w:t>
            </w:r>
          </w:p>
        </w:tc>
        <w:tc>
          <w:tcPr>
            <w:tcW w:w="1380" w:type="dxa"/>
            <w:vAlign w:val="bottom"/>
          </w:tcPr>
          <w:p>
            <w:pPr>
              <w:spacing w:after="0"/>
              <w:rPr>
                <w:sz w:val="24"/>
                <w:szCs w:val="24"/>
                <w:color w:val="auto"/>
              </w:rPr>
            </w:pPr>
          </w:p>
        </w:tc>
      </w:tr>
      <w:tr>
        <w:trPr>
          <w:trHeight w:val="418"/>
        </w:trPr>
        <w:tc>
          <w:tcPr>
            <w:tcW w:w="9360" w:type="dxa"/>
            <w:vAlign w:val="bottom"/>
            <w:gridSpan w:val="3"/>
          </w:tcPr>
          <w:p>
            <w:pPr>
              <w:ind w:left="640"/>
              <w:spacing w:after="0"/>
              <w:rPr>
                <w:sz w:val="20"/>
                <w:szCs w:val="20"/>
                <w:color w:val="auto"/>
              </w:rPr>
            </w:pPr>
            <w:r>
              <w:rPr>
                <w:rFonts w:ascii="Arial" w:cs="Arial" w:eastAsia="Arial" w:hAnsi="Arial"/>
                <w:sz w:val="18"/>
                <w:szCs w:val="18"/>
                <w:color w:val="auto"/>
                <w:w w:val="92"/>
              </w:rPr>
              <w:t>We estimate that the net proceeds from our issuance and sale of common stock in this offering will be approximately $</w:t>
            </w:r>
          </w:p>
        </w:tc>
        <w:tc>
          <w:tcPr>
            <w:tcW w:w="1380" w:type="dxa"/>
            <w:vAlign w:val="bottom"/>
          </w:tcPr>
          <w:p>
            <w:pPr>
              <w:ind w:left="180"/>
              <w:spacing w:after="0"/>
              <w:rPr>
                <w:sz w:val="20"/>
                <w:szCs w:val="20"/>
                <w:color w:val="auto"/>
              </w:rPr>
            </w:pPr>
            <w:r>
              <w:rPr>
                <w:rFonts w:ascii="Arial" w:cs="Arial" w:eastAsia="Arial" w:hAnsi="Arial"/>
                <w:sz w:val="18"/>
                <w:szCs w:val="18"/>
                <w:color w:val="auto"/>
              </w:rPr>
              <w:t>million, or</w:t>
            </w:r>
          </w:p>
        </w:tc>
      </w:tr>
      <w:tr>
        <w:trPr>
          <w:trHeight w:val="230"/>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approximately $</w:t>
            </w: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w w:val="92"/>
              </w:rPr>
              <w:t>million if the underwriters exercise their over-allotment option in full, based upon the assumed initial public offering price of</w:t>
            </w:r>
          </w:p>
        </w:tc>
      </w:tr>
    </w:tbl>
    <w:p>
      <w:pPr>
        <w:ind w:left="200" w:right="340" w:firstLine="4"/>
        <w:spacing w:after="0" w:line="261"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 share, the midpoint of the price range set forth on the cover page of this prospectus, after deducting estimated underwriting discounts and commissions and estimated offering expenses payable by us.</w:t>
      </w:r>
    </w:p>
    <w:p>
      <w:pPr>
        <w:spacing w:after="0" w:line="18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 from this offering by $ million, assuming the number of shares offered by</w:t>
      </w:r>
    </w:p>
    <w:p>
      <w:pPr>
        <w:ind w:left="200" w:right="100"/>
        <w:spacing w:after="0" w:line="300" w:lineRule="auto"/>
        <w:rPr>
          <w:sz w:val="20"/>
          <w:szCs w:val="20"/>
          <w:color w:val="auto"/>
        </w:rPr>
      </w:pPr>
      <w:r>
        <w:rPr>
          <w:rFonts w:ascii="Arial" w:cs="Arial" w:eastAsia="Arial" w:hAnsi="Arial"/>
          <w:sz w:val="15"/>
          <w:szCs w:val="15"/>
          <w:color w:val="auto"/>
        </w:rPr>
        <w:t>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w:t>
      </w:r>
    </w:p>
    <w:p>
      <w:pPr>
        <w:spacing w:after="0" w:line="1"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page of this prospectus, would increase (decrease) our net proceeds from this offering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142" w:lineRule="exact"/>
        <w:rPr>
          <w:sz w:val="20"/>
          <w:szCs w:val="20"/>
          <w:color w:val="auto"/>
        </w:rPr>
      </w:pPr>
    </w:p>
    <w:p>
      <w:pPr>
        <w:ind w:left="1060" w:right="1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to advance our lead product candidate, AVR-RD-01, for the treatment of Fabry disease into Phase 2 clinical trials and to support the ongoing investigator-sponsored Phase 1 clinical trial;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expenses to advance AVR-RD-02 for the treatment of Gaucher disease into Phase 1/2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expenses to advance AVR-RD-03 for Pompe disease further into preclinical development;</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to advance AVR-RD-04 for the treatment of cystinosis, including to support the planned initial investigator-sponsored Phase 1/2 clinical trial;</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expenses for our external and internal manufacturing and process development activities related to the advancement of our product candidates;</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 million to fund research and development activities that relate to all of our clinical and preclinical activities, including the cost of research and development personnel; and</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the costs of operating as a public company, working capital and other general corporate purposes.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Based on our current plans, we believe our existing cash and cash equivalents, together with the net proceeds from this offering, will be sufficient</w:t>
      </w:r>
    </w:p>
    <w:p>
      <w:pPr>
        <w:spacing w:after="0" w:line="46" w:lineRule="exact"/>
        <w:rPr>
          <w:sz w:val="20"/>
          <w:szCs w:val="20"/>
          <w:color w:val="auto"/>
        </w:rPr>
      </w:pPr>
    </w:p>
    <w:p>
      <w:pPr>
        <w:ind w:left="200"/>
        <w:spacing w:after="0"/>
        <w:tabs>
          <w:tab w:leader="none" w:pos="3880" w:val="left"/>
        </w:tabs>
        <w:rPr>
          <w:sz w:val="20"/>
          <w:szCs w:val="20"/>
          <w:color w:val="auto"/>
        </w:rPr>
      </w:pPr>
      <w:r>
        <w:rPr>
          <w:rFonts w:ascii="Arial" w:cs="Arial" w:eastAsia="Arial" w:hAnsi="Arial"/>
          <w:sz w:val="18"/>
          <w:szCs w:val="18"/>
          <w:color w:val="auto"/>
        </w:rPr>
        <w:t>to fund our operations through at least</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For example, we may use a portion of the net proceeds for the acquisition of businesses or technologies to continue to build our pipeline, our research and development capabilities and our intellectual property position, although we currently have no agreements, commitments or understandings with respect to any such transaction. We cannot predict with certainty all of the particular uses for the net proceeds to be received upon the completion of this offering or the amounts that we will actually spend on the uses set forth above. The amounts and timing of our actual expenditures may vary significantly depending on numerous factors, including the timing and plans for initiation of our planned clinical trials, the progress of our research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4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plan to hold these net proceeds in non-interest bearing accounts, with the goal of capital preservation and liquidity so that such funds are readily available to fund our operations.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 In addition, under our loan and security agreement with Silicon Valley Bank, we are restricted from paying any dividends or making any distributions on account of our capital stock. Moreover, the terms of any future indebtedness that we may incur could restrict our ability to pay dividends. See “Management’s Discussion and Analysis of Financial Condition and Results of Operations—Liquidity and Capital Resources” for a description of the restrictions on our ability to pay dividends.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2018:</w:t>
      </w:r>
    </w:p>
    <w:p>
      <w:pPr>
        <w:spacing w:after="0" w:line="131"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63,303,154 shares of common stock upon the closing of this offering;</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conversion of our warrant to purchase preferred stock into a warrant to purchase common stock upon the closing of this offering;</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pro forma adjustments set forth above and to give further effect (i) to our issuance and</w:t>
      </w:r>
    </w:p>
    <w:p>
      <w:pPr>
        <w:spacing w:after="0" w:line="46" w:lineRule="exact"/>
        <w:rPr>
          <w:sz w:val="20"/>
          <w:szCs w:val="20"/>
          <w:color w:val="auto"/>
        </w:rPr>
      </w:pPr>
    </w:p>
    <w:p>
      <w:pPr>
        <w:ind w:left="1060" w:right="140"/>
        <w:spacing w:after="0" w:line="295" w:lineRule="auto"/>
        <w:rPr>
          <w:sz w:val="20"/>
          <w:szCs w:val="20"/>
          <w:color w:val="auto"/>
        </w:rPr>
      </w:pPr>
      <w:r>
        <w:rPr>
          <w:rFonts w:ascii="Arial" w:cs="Arial" w:eastAsia="Arial" w:hAnsi="Arial"/>
          <w:sz w:val="16"/>
          <w:szCs w:val="16"/>
          <w:color w:val="auto"/>
        </w:rPr>
        <w:t>sale of shares of common stock in this offering at the assumed initial public offering price of $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w:t>
      </w:r>
    </w:p>
    <w:p>
      <w:pPr>
        <w:spacing w:after="0" w:line="1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the following table in conjunction with our consolidated financial statements and the related notes appearing elsewhere in this prospectus, and the sections of this prospectus titled “Use of Proceeds,” “Selected Consolidated Financial Data,” “Management’s Discussion and Analysis of Financial Condition and Results of Operations” and “Description of Share Capital.”</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As of March 31,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Actual</w:t>
            </w:r>
          </w:p>
        </w:tc>
        <w:tc>
          <w:tcPr>
            <w:tcW w:w="1100" w:type="dxa"/>
            <w:vAlign w:val="bottom"/>
            <w:tcBorders>
              <w:top w:val="single" w:sz="8" w:color="auto"/>
            </w:tcBorders>
            <w:gridSpan w:val="4"/>
            <w:vMerge w:val="restart"/>
          </w:tcPr>
          <w:p>
            <w:pPr>
              <w:ind w:left="240"/>
              <w:spacing w:after="0"/>
              <w:rPr>
                <w:sz w:val="20"/>
                <w:szCs w:val="20"/>
                <w:color w:val="auto"/>
              </w:rPr>
            </w:pPr>
            <w:r>
              <w:rPr>
                <w:rFonts w:ascii="Arial" w:cs="Arial" w:eastAsia="Arial" w:hAnsi="Arial"/>
                <w:sz w:val="14"/>
                <w:szCs w:val="14"/>
                <w:b w:val="1"/>
                <w:bCs w:val="1"/>
                <w:color w:val="auto"/>
              </w:rPr>
              <w:t>Pro Forma</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gridSpan w:val="6"/>
          </w:tcPr>
          <w:p>
            <w:pPr>
              <w:jc w:val="center"/>
              <w:ind w:right="682"/>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2"/>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w w:val="92"/>
              </w:rPr>
              <w:t>Warrant to purchase redeemable preferred stock</w:t>
            </w:r>
          </w:p>
        </w:tc>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20" w:type="dxa"/>
            <w:vAlign w:val="bottom"/>
            <w:gridSpan w:val="3"/>
            <w:vMerge w:val="continue"/>
          </w:tcPr>
          <w:p>
            <w:pPr>
              <w:spacing w:after="0"/>
              <w:rPr>
                <w:sz w:val="19"/>
                <w:szCs w:val="19"/>
                <w:color w:val="auto"/>
              </w:rPr>
            </w:pPr>
          </w:p>
        </w:tc>
        <w:tc>
          <w:tcPr>
            <w:tcW w:w="2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9"/>
              </w:rPr>
              <w:t>Redeemable convertible preferred stock (Series Seed, A and B), $0.0001 par value; 63,491,857 shares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3"/>
              </w:rPr>
              <w:t>authorized, 63,303,154 shares issued and outstanding, actual; no shares authorized, issued or outstanding,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 forma and pro forma as adjusted</w:t>
            </w:r>
          </w:p>
        </w:tc>
        <w:tc>
          <w:tcPr>
            <w:tcW w:w="2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87,500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$0.0001 par value, no share authorized, issued or outstanding, actual;</w:t>
            </w:r>
          </w:p>
        </w:tc>
        <w:tc>
          <w:tcPr>
            <w:tcW w:w="900" w:type="dxa"/>
            <w:vAlign w:val="bottom"/>
            <w:gridSpan w:val="3"/>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shares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99"/>
              </w:rPr>
              <w:t>authorized and no shares issued or outstanding, pro forma and pro forma as adjusted</w:t>
            </w: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89"/>
              </w:rPr>
              <w:t>Common stock, $0.0001 par value; 82,000,000 shares authorized, 10,666,667 shares issued and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520"/>
              <w:spacing w:after="0"/>
              <w:rPr>
                <w:sz w:val="20"/>
                <w:szCs w:val="20"/>
                <w:color w:val="auto"/>
              </w:rPr>
            </w:pPr>
            <w:r>
              <w:rPr>
                <w:rFonts w:ascii="Arial" w:cs="Arial" w:eastAsia="Arial" w:hAnsi="Arial"/>
                <w:sz w:val="18"/>
                <w:szCs w:val="18"/>
                <w:color w:val="auto"/>
              </w:rPr>
              <w:t>9,652,082 shares outstanding, actual;</w:t>
            </w:r>
          </w:p>
        </w:tc>
        <w:tc>
          <w:tcPr>
            <w:tcW w:w="3680" w:type="dxa"/>
            <w:vAlign w:val="bottom"/>
            <w:gridSpan w:val="2"/>
          </w:tcPr>
          <w:p>
            <w:pPr>
              <w:ind w:left="40"/>
              <w:spacing w:after="0"/>
              <w:rPr>
                <w:sz w:val="20"/>
                <w:szCs w:val="20"/>
                <w:color w:val="auto"/>
              </w:rPr>
            </w:pPr>
            <w:r>
              <w:rPr>
                <w:rFonts w:ascii="Arial" w:cs="Arial" w:eastAsia="Arial" w:hAnsi="Arial"/>
                <w:sz w:val="18"/>
                <w:szCs w:val="18"/>
                <w:color w:val="auto"/>
                <w:w w:val="91"/>
              </w:rPr>
              <w:t>shares authorized, 73,969,821 shares issued and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520"/>
              <w:spacing w:after="0"/>
              <w:rPr>
                <w:sz w:val="20"/>
                <w:szCs w:val="20"/>
                <w:color w:val="auto"/>
              </w:rPr>
            </w:pPr>
            <w:r>
              <w:rPr>
                <w:rFonts w:ascii="Arial" w:cs="Arial" w:eastAsia="Arial" w:hAnsi="Arial"/>
                <w:sz w:val="18"/>
                <w:szCs w:val="18"/>
                <w:color w:val="auto"/>
                <w:w w:val="90"/>
              </w:rPr>
              <w:t>73,553,154 shares outstanding, pro forma;</w:t>
            </w:r>
          </w:p>
        </w:tc>
        <w:tc>
          <w:tcPr>
            <w:tcW w:w="2480" w:type="dxa"/>
            <w:vAlign w:val="bottom"/>
          </w:tcPr>
          <w:p>
            <w:pPr>
              <w:ind w:left="780"/>
              <w:spacing w:after="0"/>
              <w:rPr>
                <w:sz w:val="20"/>
                <w:szCs w:val="20"/>
                <w:color w:val="auto"/>
              </w:rPr>
            </w:pPr>
            <w:r>
              <w:rPr>
                <w:rFonts w:ascii="Arial" w:cs="Arial" w:eastAsia="Arial" w:hAnsi="Arial"/>
                <w:sz w:val="18"/>
                <w:szCs w:val="18"/>
                <w:color w:val="auto"/>
              </w:rPr>
              <w:t>shares authorized,</w:t>
            </w:r>
          </w:p>
        </w:tc>
        <w:tc>
          <w:tcPr>
            <w:tcW w:w="2100" w:type="dxa"/>
            <w:vAlign w:val="bottom"/>
            <w:gridSpan w:val="4"/>
          </w:tcPr>
          <w:p>
            <w:pPr>
              <w:jc w:val="right"/>
              <w:ind w:right="390"/>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520"/>
              <w:spacing w:after="0"/>
              <w:rPr>
                <w:sz w:val="20"/>
                <w:szCs w:val="20"/>
                <w:color w:val="auto"/>
              </w:rPr>
            </w:pPr>
            <w:r>
              <w:rPr>
                <w:rFonts w:ascii="Arial" w:cs="Arial" w:eastAsia="Arial" w:hAnsi="Arial"/>
                <w:sz w:val="18"/>
                <w:szCs w:val="18"/>
                <w:color w:val="auto"/>
              </w:rPr>
              <w:t>outstanding, pro forma as adjusted</w:t>
            </w:r>
          </w:p>
        </w:tc>
        <w:tc>
          <w:tcPr>
            <w:tcW w:w="2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(33,621)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54,036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240" w:top="459" w:right="419" w:bottom="1440" w:gutter="0" w:footer="0" w:header="0"/>
        </w:sectPr>
      </w:pPr>
    </w:p>
    <w:p>
      <w:pPr>
        <w:ind w:left="640" w:hanging="439"/>
        <w:spacing w:after="0" w:line="308" w:lineRule="auto"/>
        <w:tabs>
          <w:tab w:leader="none" w:pos="620" w:val="left"/>
        </w:tabs>
        <w:rPr>
          <w:sz w:val="20"/>
          <w:szCs w:val="20"/>
          <w:color w:val="auto"/>
        </w:rPr>
      </w:pPr>
      <w:r>
        <w:rPr>
          <w:rFonts w:ascii="Arial" w:cs="Arial" w:eastAsia="Arial" w:hAnsi="Arial"/>
          <w:sz w:val="17"/>
          <w:szCs w:val="17"/>
          <w:color w:val="auto"/>
        </w:rPr>
        <w:t>(1)</w:t>
        <w:tab/>
        <w:t>Each $1.00 increase (decrease) in the assumed initial public offering price of $ page of this prospectus, would increase (decrease) the pro forma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 share, the midpoint of the price range set forth on the cover</w:t>
      </w:r>
    </w:p>
    <w:p>
      <w:pPr>
        <w:spacing w:after="0" w:line="396" w:lineRule="exact"/>
        <w:rPr>
          <w:sz w:val="20"/>
          <w:szCs w:val="20"/>
          <w:color w:val="auto"/>
        </w:rPr>
      </w:pPr>
    </w:p>
    <w:p>
      <w:pPr>
        <w:sectPr>
          <w:pgSz w:w="11900" w:h="16838" w:orient="portrait"/>
          <w:cols w:equalWidth="0" w:num="2">
            <w:col w:w="6300" w:space="360"/>
            <w:col w:w="45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240" w:top="459" w:right="4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7360" w:val="left"/>
        </w:tabs>
        <w:rPr>
          <w:sz w:val="20"/>
          <w:szCs w:val="20"/>
          <w:color w:val="auto"/>
        </w:rPr>
      </w:pPr>
      <w:r>
        <w:rPr>
          <w:rFonts w:ascii="Arial" w:cs="Arial" w:eastAsia="Arial" w:hAnsi="Arial"/>
          <w:sz w:val="18"/>
          <w:szCs w:val="18"/>
          <w:color w:val="auto"/>
        </w:rPr>
        <w:t>adjusted amount of each of cash and cash equivalents and total stockholders’ equity by $</w:t>
      </w:r>
      <w:r>
        <w:rPr>
          <w:sz w:val="20"/>
          <w:szCs w:val="20"/>
          <w:color w:val="auto"/>
        </w:rPr>
        <w:tab/>
      </w:r>
      <w:r>
        <w:rPr>
          <w:rFonts w:ascii="Arial" w:cs="Arial" w:eastAsia="Arial" w:hAnsi="Arial"/>
          <w:sz w:val="16"/>
          <w:szCs w:val="16"/>
          <w:color w:val="auto"/>
        </w:rPr>
        <w:t>million, assuming that the number of shares offered</w:t>
      </w:r>
    </w:p>
    <w:p>
      <w:pPr>
        <w:spacing w:after="0" w:line="23" w:lineRule="exact"/>
        <w:rPr>
          <w:sz w:val="20"/>
          <w:szCs w:val="20"/>
          <w:color w:val="auto"/>
        </w:rPr>
      </w:pPr>
    </w:p>
    <w:p>
      <w:pPr>
        <w:ind w:left="640"/>
        <w:spacing w:after="0" w:line="281" w:lineRule="auto"/>
        <w:rPr>
          <w:sz w:val="20"/>
          <w:szCs w:val="20"/>
          <w:color w:val="auto"/>
        </w:rPr>
      </w:pPr>
      <w:r>
        <w:rPr>
          <w:rFonts w:ascii="Arial" w:cs="Arial" w:eastAsia="Arial" w:hAnsi="Arial"/>
          <w:sz w:val="16"/>
          <w:szCs w:val="16"/>
          <w:color w:val="auto"/>
        </w:rPr>
        <w:t>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and total</w:t>
      </w:r>
    </w:p>
    <w:p>
      <w:pPr>
        <w:spacing w:after="0" w:line="2"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color w:val="auto"/>
        </w:rPr>
        <w:t>stockholders’ equity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common stock outstanding in the table above does not include:</w:t>
      </w:r>
    </w:p>
    <w:p>
      <w:pPr>
        <w:spacing w:after="0" w:line="131" w:lineRule="exact"/>
        <w:rPr>
          <w:sz w:val="20"/>
          <w:szCs w:val="20"/>
          <w:color w:val="auto"/>
        </w:rPr>
      </w:pPr>
    </w:p>
    <w:p>
      <w:pPr>
        <w:ind w:left="1060" w:right="12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7,391,214 shares of common stock issuable upon the exercise of stock options outstanding as of March 31, 2018, with a weighted average exercise price of $0.62 per share;</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March 31, 2018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additional 241,506 shares of common stock available for future issuance under our Amended and Restated 2015 Stock Option and Grant Plan as of March 31, 2018;</w:t>
      </w:r>
    </w:p>
    <w:p>
      <w:pPr>
        <w:sectPr>
          <w:pgSz w:w="11900" w:h="16838" w:orient="portrait"/>
          <w:cols w:equalWidth="0" w:num="1">
            <w:col w:w="11140"/>
          </w:cols>
          <w:pgMar w:left="240" w:top="459" w:right="519" w:bottom="1440" w:gutter="0" w:footer="0" w:header="0"/>
        </w:sectPr>
      </w:pP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700" w:space="360"/>
            <w:col w:w="10080"/>
          </w:cols>
          <w:pgMar w:left="240" w:top="459" w:right="51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03" w:lineRule="exact"/>
        <w:rPr>
          <w:sz w:val="20"/>
          <w:szCs w:val="20"/>
          <w:color w:val="auto"/>
        </w:rPr>
      </w:pPr>
    </w:p>
    <w:p>
      <w:pPr>
        <w:sectPr>
          <w:pgSz w:w="11900" w:h="16838" w:orient="portrait"/>
          <w:cols w:equalWidth="0" w:num="2">
            <w:col w:w="700" w:space="360"/>
            <w:col w:w="10080"/>
          </w:cols>
          <w:pgMar w:left="240" w:top="459" w:right="519" w:bottom="1440" w:gutter="0" w:footer="0" w:header="0"/>
          <w:type w:val="continuous"/>
        </w:sectPr>
      </w:pPr>
    </w:p>
    <w:p>
      <w:pPr>
        <w:jc w:val="center"/>
        <w:ind w:right="-2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40"/>
          </w:cols>
          <w:pgMar w:left="240" w:top="459" w:right="51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common share immediately after this offering.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historical net tangible book (deficit) as of March 31, 2018 was $33.5 million, or $(3.14) per share of common stock. Our historical net tangible book (deficit) is the amount of our total tangible assets less our total liabilities and the carrying value of redeemable convertible preferred stock, which is not included within shareholders’ (deficit). Historical net tangible book (deficit) per share represents historical net tangible book (deficit) divided by the 10,666,667 shares of our common stock outstanding as of March 31, 2018.</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pro forma net tangible book value as of March 31, 2018 was $54.0 million, or $0.73 per share of common stock. Pro forma net tangible book value represents the amount of our total tangible assets less our total liabilities, after giving effect to:</w:t>
      </w:r>
    </w:p>
    <w:p>
      <w:pPr>
        <w:spacing w:after="0" w:line="76" w:lineRule="exact"/>
        <w:rPr>
          <w:sz w:val="20"/>
          <w:szCs w:val="20"/>
          <w:color w:val="auto"/>
        </w:rPr>
      </w:pPr>
    </w:p>
    <w:p>
      <w:pPr>
        <w:ind w:left="1060" w:right="14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of all outstanding shares of redeemable convertible preferred stock into an aggregate of 63,303,154 shares of common stock upon the closing of this offering;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conversion of our warrant to purchase preferred stock into a warrant to purchase common stock upon the closing of this offering.</w:t>
      </w:r>
    </w:p>
    <w:p>
      <w:pPr>
        <w:spacing w:after="0" w:line="23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Pro forma net tangible book value per share represents our pro forma net tangible book value divided by the total number of shares of our common stock outstanding as of March 31, 2018, after giving effect to the pro forma adjustments described above.</w:t>
      </w:r>
    </w:p>
    <w:p>
      <w:pPr>
        <w:spacing w:after="0" w:line="170" w:lineRule="exact"/>
        <w:rPr>
          <w:sz w:val="20"/>
          <w:szCs w:val="20"/>
          <w:color w:val="auto"/>
        </w:rPr>
      </w:pPr>
    </w:p>
    <w:p>
      <w:pPr>
        <w:ind w:left="200" w:right="140" w:firstLine="441"/>
        <w:spacing w:after="0" w:line="274" w:lineRule="auto"/>
        <w:rPr>
          <w:sz w:val="20"/>
          <w:szCs w:val="20"/>
          <w:color w:val="auto"/>
        </w:rPr>
      </w:pPr>
      <w:r>
        <w:rPr>
          <w:rFonts w:ascii="Arial" w:cs="Arial" w:eastAsia="Arial" w:hAnsi="Arial"/>
          <w:sz w:val="17"/>
          <w:szCs w:val="17"/>
          <w:color w:val="auto"/>
        </w:rPr>
        <w:t>After giving further effect to (i) our issuance and sale of shares of common stock in this offering at the assumed initial public offering price of $ per share, the midpoint of the price range set forth on the cover page of this prospectus, after deducting estimated underwriting discounts</w:t>
      </w:r>
    </w:p>
    <w:p>
      <w:pPr>
        <w:ind w:left="200" w:right="200"/>
        <w:spacing w:after="0" w:line="280" w:lineRule="auto"/>
        <w:rPr>
          <w:sz w:val="20"/>
          <w:szCs w:val="20"/>
          <w:color w:val="auto"/>
        </w:rPr>
      </w:pPr>
      <w:r>
        <w:rPr>
          <w:rFonts w:ascii="Arial" w:cs="Arial" w:eastAsia="Arial" w:hAnsi="Arial"/>
          <w:sz w:val="16"/>
          <w:szCs w:val="16"/>
          <w:color w:val="auto"/>
        </w:rPr>
        <w:t>and commissions and estimated offering expenses payable by us, and (ii) the payment by us of an aggregate of $2.0 million to University Health Network pursuant to the Stock Purchase Agreement, dated as of January 27, 2016, between us and University Health Network,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160"/>
        <w:spacing w:after="0" w:line="288" w:lineRule="auto"/>
        <w:rPr>
          <w:sz w:val="20"/>
          <w:szCs w:val="20"/>
          <w:color w:val="auto"/>
        </w:rPr>
      </w:pPr>
      <w:r>
        <w:rPr>
          <w:rFonts w:ascii="Arial" w:cs="Arial" w:eastAsia="Arial" w:hAnsi="Arial"/>
          <w:sz w:val="16"/>
          <w:szCs w:val="16"/>
          <w:color w:val="auto"/>
        </w:rPr>
        <w:t>offering, our pro forma as adjusted net tangible book value as of March 31, 2018 would have been $ million, or $ per share. This represents an immediate increase in pro forma as adjusted net tangible book value per share of $ to existing shareholders and immediate dilution in pro forma as adjusted net tangible book value per share of $ to new investors purchasing common stock in this offering. Dilution per share to new investors is</w:t>
      </w:r>
    </w:p>
    <w:p>
      <w:pPr>
        <w:ind w:left="200" w:right="120"/>
        <w:spacing w:after="0" w:line="261" w:lineRule="auto"/>
        <w:rPr>
          <w:sz w:val="20"/>
          <w:szCs w:val="20"/>
          <w:color w:val="auto"/>
        </w:rPr>
      </w:pPr>
      <w:r>
        <w:rPr>
          <w:rFonts w:ascii="Arial" w:cs="Arial" w:eastAsia="Arial" w:hAnsi="Arial"/>
          <w:sz w:val="18"/>
          <w:szCs w:val="18"/>
          <w:color w:val="auto"/>
        </w:rPr>
        <w:t>determined by subtracting pro forma as adjusted net tangible book value per share after this offering from the initial public offering price per share paid by new investors. The following table illustrates this dilution on a per share basis: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7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Historical net tangible book value (deficit) per share as of March 31, 2018</w:t>
            </w:r>
          </w:p>
        </w:tc>
        <w:tc>
          <w:tcPr>
            <w:tcW w:w="4060" w:type="dxa"/>
            <w:vAlign w:val="bottom"/>
            <w:gridSpan w:val="3"/>
          </w:tcPr>
          <w:p>
            <w:pPr>
              <w:jc w:val="right"/>
              <w:ind w:right="600"/>
              <w:spacing w:after="0"/>
              <w:rPr>
                <w:sz w:val="20"/>
                <w:szCs w:val="20"/>
                <w:color w:val="auto"/>
              </w:rPr>
            </w:pPr>
            <w:r>
              <w:rPr>
                <w:rFonts w:ascii="Arial" w:cs="Arial" w:eastAsia="Arial" w:hAnsi="Arial"/>
                <w:sz w:val="18"/>
                <w:szCs w:val="18"/>
                <w:color w:val="auto"/>
              </w:rPr>
              <w:t>$(3.14)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Increase per share attributable to the pro forma adjustments described above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March 31, 2018</w:t>
            </w:r>
          </w:p>
        </w:tc>
        <w:tc>
          <w:tcPr>
            <w:tcW w:w="29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1020" w:type="dxa"/>
            <w:vAlign w:val="bottom"/>
            <w:gridSpan w:val="6"/>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purchasing</w:t>
            </w: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stock in this offering</w:t>
            </w:r>
          </w:p>
        </w:tc>
        <w:tc>
          <w:tcPr>
            <w:tcW w:w="29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0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Dilution in pro forma as adjusted net tangible book value per share to new investors purchasing common stock in this</w:t>
            </w: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47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4760" w:type="dxa"/>
            <w:vAlign w:val="bottom"/>
            <w:gridSpan w:val="5"/>
          </w:tcPr>
          <w:p>
            <w:pPr>
              <w:ind w:left="180"/>
              <w:spacing w:after="0"/>
              <w:rPr>
                <w:sz w:val="20"/>
                <w:szCs w:val="20"/>
                <w:color w:val="auto"/>
              </w:rPr>
            </w:pPr>
            <w:r>
              <w:rPr>
                <w:rFonts w:ascii="Arial" w:cs="Arial" w:eastAsia="Arial" w:hAnsi="Arial"/>
                <w:sz w:val="18"/>
                <w:szCs w:val="18"/>
                <w:color w:val="auto"/>
                <w:w w:val="90"/>
              </w:rPr>
              <w:t>per share, the midpoint of the price range set forth on the cover</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page of this prospectus, would increase (decrease) the pro forma as</w:t>
            </w:r>
          </w:p>
        </w:tc>
        <w:tc>
          <w:tcPr>
            <w:tcW w:w="2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5"/>
        </w:trPr>
        <w:tc>
          <w:tcPr>
            <w:tcW w:w="6280" w:type="dxa"/>
            <w:vAlign w:val="bottom"/>
            <w:gridSpan w:val="2"/>
          </w:tcPr>
          <w:p>
            <w:pPr>
              <w:jc w:val="right"/>
              <w:ind w:right="590"/>
              <w:spacing w:after="0"/>
              <w:rPr>
                <w:sz w:val="20"/>
                <w:szCs w:val="20"/>
                <w:color w:val="auto"/>
              </w:rPr>
            </w:pPr>
            <w:r>
              <w:rPr>
                <w:rFonts w:ascii="Arial" w:cs="Arial" w:eastAsia="Arial" w:hAnsi="Arial"/>
                <w:sz w:val="18"/>
                <w:szCs w:val="18"/>
                <w:color w:val="auto"/>
              </w:rPr>
              <w:t>63</w:t>
            </w: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5280" w:val="left"/>
        </w:tabs>
        <w:rPr>
          <w:sz w:val="20"/>
          <w:szCs w:val="20"/>
          <w:color w:val="auto"/>
        </w:rPr>
      </w:pPr>
      <w:r>
        <w:rPr>
          <w:rFonts w:ascii="Arial" w:cs="Arial" w:eastAsia="Arial" w:hAnsi="Arial"/>
          <w:sz w:val="18"/>
          <w:szCs w:val="18"/>
          <w:color w:val="auto"/>
        </w:rPr>
        <w:t>adjusted net tangible book value per share after this offering by $</w:t>
      </w:r>
      <w:r>
        <w:rPr>
          <w:sz w:val="20"/>
          <w:szCs w:val="20"/>
          <w:color w:val="auto"/>
        </w:rPr>
        <w:tab/>
      </w:r>
      <w:r>
        <w:rPr>
          <w:rFonts w:ascii="Arial" w:cs="Arial" w:eastAsia="Arial" w:hAnsi="Arial"/>
          <w:sz w:val="16"/>
          <w:szCs w:val="16"/>
          <w:color w:val="auto"/>
        </w:rPr>
        <w:t>and dilution per share to new investors purchasing shares in this offering by</w:t>
      </w:r>
    </w:p>
    <w:p>
      <w:pPr>
        <w:spacing w:after="0" w:line="23" w:lineRule="exact"/>
        <w:rPr>
          <w:sz w:val="20"/>
          <w:szCs w:val="20"/>
          <w:color w:val="auto"/>
        </w:rPr>
      </w:pPr>
    </w:p>
    <w:p>
      <w:pPr>
        <w:jc w:val="center"/>
        <w:ind w:left="200" w:right="180" w:firstLine="4"/>
        <w:spacing w:after="0" w:line="281" w:lineRule="auto"/>
        <w:tabs>
          <w:tab w:leader="none" w:pos="6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net tangible book</w:t>
      </w:r>
    </w:p>
    <w:p>
      <w:pPr>
        <w:spacing w:after="0" w:line="2" w:lineRule="exact"/>
        <w:rPr>
          <w:sz w:val="20"/>
          <w:szCs w:val="20"/>
          <w:color w:val="auto"/>
        </w:rPr>
      </w:pPr>
    </w:p>
    <w:p>
      <w:pPr>
        <w:ind w:left="200" w:right="200"/>
        <w:spacing w:after="0" w:line="254" w:lineRule="auto"/>
        <w:rPr>
          <w:sz w:val="20"/>
          <w:szCs w:val="20"/>
          <w:color w:val="auto"/>
        </w:rPr>
      </w:pPr>
      <w:r>
        <w:rPr>
          <w:rFonts w:ascii="Arial" w:cs="Arial" w:eastAsia="Arial" w:hAnsi="Arial"/>
          <w:sz w:val="18"/>
          <w:szCs w:val="18"/>
          <w:color w:val="auto"/>
        </w:rPr>
        <w:t>value per share after this offering by $ and dilution per share to new investors purchasing shares in this offering by $ ,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underwriters exercise their over-allotment option in this offering in full, the pro forma as adjusted net tangible book value per share after this</w:t>
      </w:r>
    </w:p>
    <w:p>
      <w:pPr>
        <w:spacing w:after="0" w:line="46" w:lineRule="exact"/>
        <w:rPr>
          <w:sz w:val="20"/>
          <w:szCs w:val="20"/>
          <w:color w:val="auto"/>
        </w:rPr>
      </w:pPr>
    </w:p>
    <w:p>
      <w:pPr>
        <w:ind w:left="200"/>
        <w:spacing w:after="0"/>
        <w:tabs>
          <w:tab w:leader="none" w:pos="202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6"/>
          <w:szCs w:val="16"/>
          <w:color w:val="auto"/>
        </w:rPr>
        <w:t>per share, and the dilution in pro forma as adjusted net tangible book value per share to new investors purchasing common</w:t>
      </w:r>
    </w:p>
    <w:p>
      <w:pPr>
        <w:spacing w:after="0" w:line="9"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shares in this offering would be $ per share, after deducting estimated underwriting discounts and commissions and estimated offering expenses payable by us.</w:t>
      </w:r>
    </w:p>
    <w:p>
      <w:pPr>
        <w:spacing w:after="0" w:line="184"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as of March 31, 2018, the total number of shares of common stock purchased from us, the total consideration paid or to be paid, and the average price per share paid or to be paid by existing shareholders and by</w:t>
      </w:r>
    </w:p>
    <w:p>
      <w:pPr>
        <w:ind w:left="200" w:right="180"/>
        <w:spacing w:after="0" w:line="290" w:lineRule="auto"/>
        <w:rPr>
          <w:sz w:val="20"/>
          <w:szCs w:val="20"/>
          <w:color w:val="auto"/>
        </w:rPr>
      </w:pPr>
      <w:r>
        <w:rPr>
          <w:rFonts w:ascii="Arial" w:cs="Arial" w:eastAsia="Arial" w:hAnsi="Arial"/>
          <w:sz w:val="17"/>
          <w:szCs w:val="17"/>
          <w:color w:val="auto"/>
        </w:rPr>
        <w:t>new investors in this offering at the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2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236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Total Consideration</w:t>
            </w: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Amount</w:t>
            </w: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73,969,821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$88,183,696</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investors</w:t>
            </w:r>
          </w:p>
        </w:tc>
        <w:tc>
          <w:tcPr>
            <w:tcW w:w="17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040" w:type="dxa"/>
            <w:vAlign w:val="bottom"/>
            <w:gridSpan w:val="4"/>
          </w:tcPr>
          <w:p>
            <w:pPr>
              <w:ind w:left="4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980" w:type="dxa"/>
            <w:vAlign w:val="bottom"/>
            <w:gridSpan w:val="13"/>
          </w:tcPr>
          <w:p>
            <w:pPr>
              <w:ind w:left="180"/>
              <w:spacing w:after="0"/>
              <w:rPr>
                <w:sz w:val="20"/>
                <w:szCs w:val="20"/>
                <w:color w:val="auto"/>
              </w:rPr>
            </w:pPr>
            <w:r>
              <w:rPr>
                <w:rFonts w:ascii="Arial" w:cs="Arial" w:eastAsia="Arial" w:hAnsi="Arial"/>
                <w:sz w:val="18"/>
                <w:szCs w:val="18"/>
                <w:color w:val="auto"/>
                <w:w w:val="94"/>
              </w:rPr>
              <w:t>per share, the midpoint of the price range set forth on the cover</w:t>
            </w:r>
          </w:p>
        </w:tc>
      </w:tr>
      <w:tr>
        <w:trPr>
          <w:trHeight w:val="230"/>
        </w:trPr>
        <w:tc>
          <w:tcPr>
            <w:tcW w:w="9120" w:type="dxa"/>
            <w:vAlign w:val="bottom"/>
            <w:gridSpan w:val="12"/>
          </w:tcPr>
          <w:p>
            <w:pPr>
              <w:spacing w:after="0"/>
              <w:rPr>
                <w:sz w:val="20"/>
                <w:szCs w:val="20"/>
                <w:color w:val="auto"/>
              </w:rPr>
            </w:pPr>
            <w:r>
              <w:rPr>
                <w:rFonts w:ascii="Arial" w:cs="Arial" w:eastAsia="Arial" w:hAnsi="Arial"/>
                <w:sz w:val="18"/>
                <w:szCs w:val="18"/>
                <w:color w:val="auto"/>
                <w:w w:val="90"/>
              </w:rPr>
              <w:t>page of this prospectus, would increase (decrease) the total consideration paid by investors in this offering by approximately $</w:t>
            </w:r>
          </w:p>
        </w:tc>
        <w:tc>
          <w:tcPr>
            <w:tcW w:w="1920" w:type="dxa"/>
            <w:vAlign w:val="bottom"/>
            <w:gridSpan w:val="6"/>
          </w:tcPr>
          <w:p>
            <w:pPr>
              <w:ind w:left="340"/>
              <w:spacing w:after="0"/>
              <w:rPr>
                <w:sz w:val="20"/>
                <w:szCs w:val="20"/>
                <w:color w:val="auto"/>
              </w:rPr>
            </w:pPr>
            <w:r>
              <w:rPr>
                <w:rFonts w:ascii="Arial" w:cs="Arial" w:eastAsia="Arial" w:hAnsi="Arial"/>
                <w:sz w:val="18"/>
                <w:szCs w:val="18"/>
                <w:color w:val="auto"/>
                <w:w w:val="92"/>
              </w:rPr>
              <w:t>million, assuming the</w:t>
            </w:r>
          </w:p>
        </w:tc>
      </w:tr>
    </w:tbl>
    <w:p>
      <w:pPr>
        <w:ind w:left="200" w:right="60"/>
        <w:spacing w:after="0" w:line="280"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estimated underwriting discounts and commissions and estimated offering expenses payable by us. Similarly, each increase (decrease) of 1,000,000 shares in the number of shares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by us in this offering would increase (decrease) the total consideration paid by investors in this offering by approximately $ million, assuming the assumed initial public offering price of $ per share, the midpoint of the price range set forth on the cover page of this prospectus, remains the same,</w:t>
      </w:r>
    </w:p>
    <w:p>
      <w:pPr>
        <w:ind w:left="200" w:right="240"/>
        <w:spacing w:after="0" w:line="290" w:lineRule="auto"/>
        <w:rPr>
          <w:sz w:val="20"/>
          <w:szCs w:val="20"/>
          <w:color w:val="auto"/>
        </w:rPr>
      </w:pPr>
      <w:r>
        <w:rPr>
          <w:rFonts w:ascii="Arial" w:cs="Arial" w:eastAsia="Arial" w:hAnsi="Arial"/>
          <w:sz w:val="17"/>
          <w:szCs w:val="17"/>
          <w:color w:val="auto"/>
        </w:rPr>
        <w:t>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62"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table above assumes no exercise of the underwriters’ over-allotment option in this offering. If the underwriters’ over-allotment option is exercised in full, the number of shares of common stock held by new investors purchasing common stock in this offering would be increased to % of the total number of shares of common stock outstanding after this offering, and the number of shares held by existing shareholders would be reduced to</w:t>
      </w:r>
    </w:p>
    <w:p>
      <w:pPr>
        <w:ind w:left="380"/>
        <w:spacing w:after="0"/>
        <w:rPr>
          <w:sz w:val="20"/>
          <w:szCs w:val="20"/>
          <w:color w:val="auto"/>
        </w:rPr>
      </w:pPr>
      <w:r>
        <w:rPr>
          <w:rFonts w:ascii="Arial" w:cs="Arial" w:eastAsia="Arial" w:hAnsi="Arial"/>
          <w:sz w:val="18"/>
          <w:szCs w:val="18"/>
          <w:color w:val="auto"/>
        </w:rPr>
        <w:t>% of the total number of shares of common stock outstanding after this offering.</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and discussion above do not include:</w:t>
      </w:r>
    </w:p>
    <w:p>
      <w:pPr>
        <w:spacing w:after="0" w:line="131" w:lineRule="exact"/>
        <w:rPr>
          <w:sz w:val="20"/>
          <w:szCs w:val="20"/>
          <w:color w:val="auto"/>
        </w:rPr>
      </w:pPr>
    </w:p>
    <w:p>
      <w:pPr>
        <w:ind w:left="1060" w:right="220" w:hanging="424"/>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7,391,214 shares of common stock issuable upon the exercise of stock options outstanding as of March 31, 2018, with a weighted average exercise price of $0.62 per share;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424"/>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28,305 shares of common stock issuable upon the exercise of a warrant to purchase preferred stock outstanding as of March 31, 2018 that will automatically become a warrant to purchase common stock upon the completion of this offering, with an exercise price of $0.7949 per share;</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additional 241,506 shares of common stock available for future issuance under our Amended and Restated 2015 Stock Option and Grant Plan as of March 31, 2018;</w:t>
      </w:r>
    </w:p>
    <w:p>
      <w:pPr>
        <w:sectPr>
          <w:pgSz w:w="11900" w:h="16838" w:orient="portrait"/>
          <w:cols w:equalWidth="0" w:num="1">
            <w:col w:w="11160"/>
          </w:cols>
          <w:pgMar w:left="240" w:top="459" w:right="499" w:bottom="1440" w:gutter="0" w:footer="0" w:header="0"/>
        </w:sectPr>
      </w:pP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Stock Option and Grant Plan upon the effectiveness of the registration statement of which this prospectus forms a part; and</w:t>
      </w:r>
    </w:p>
    <w:p>
      <w:pPr>
        <w:spacing w:after="0" w:line="76" w:lineRule="exact"/>
        <w:rPr>
          <w:sz w:val="20"/>
          <w:szCs w:val="20"/>
          <w:color w:val="auto"/>
        </w:rPr>
      </w:pPr>
    </w:p>
    <w:p>
      <w:pPr>
        <w:sectPr>
          <w:pgSz w:w="11900" w:h="16838" w:orient="portrait"/>
          <w:cols w:equalWidth="0" w:num="2">
            <w:col w:w="700" w:space="360"/>
            <w:col w:w="10100"/>
          </w:cols>
          <w:pgMar w:left="240" w:top="459" w:right="49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an additional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sectPr>
          <w:pgSz w:w="11900" w:h="16838" w:orient="portrait"/>
          <w:cols w:equalWidth="0" w:num="2">
            <w:col w:w="700" w:space="360"/>
            <w:col w:w="10100"/>
          </w:cols>
          <w:pgMar w:left="240" w:top="459" w:right="499" w:bottom="1440" w:gutter="0" w:footer="0" w:header="0"/>
          <w:type w:val="continuous"/>
        </w:sectPr>
      </w:pPr>
    </w:p>
    <w:p>
      <w:pPr>
        <w:ind w:left="200" w:right="240" w:firstLine="441"/>
        <w:spacing w:after="0" w:line="257" w:lineRule="auto"/>
        <w:rPr>
          <w:sz w:val="20"/>
          <w:szCs w:val="20"/>
          <w:color w:val="auto"/>
        </w:rPr>
      </w:pPr>
      <w:r>
        <w:rPr>
          <w:rFonts w:ascii="Arial" w:cs="Arial" w:eastAsia="Arial" w:hAnsi="Arial"/>
          <w:sz w:val="18"/>
          <w:szCs w:val="18"/>
          <w:color w:val="auto"/>
        </w:rPr>
        <w:t>To the extent that stock options or warrants are exercised, new stock options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459" w:right="4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selected consolidated statements of operations data for the years ended December 31, 2016 and 2017 and the selected consolidated balance sheet data as of December 31, 2016 and 2017 are derived from our audited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selected financial data together with the information in the sections titled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00" w:type="dxa"/>
            <w:vAlign w:val="bottom"/>
            <w:gridSpan w:val="8"/>
          </w:tcPr>
          <w:p>
            <w:pPr>
              <w:jc w:val="right"/>
              <w:ind w:right="100"/>
              <w:spacing w:after="0" w:line="155"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ind w:left="7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(18,648)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w w:val="94"/>
              </w:rPr>
              <w:t>Reconciliation of net loss to net loss attributable to common stockholders: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(18,648)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6"/>
              </w:rPr>
              <w:t>Accretion of redeemable convertible preferred stock to redemption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(18,733)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8,421,130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9,014,861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9,606,064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w w:val="95"/>
              </w:rPr>
              <w:t>Pro forma net loss per share attributable to common stockholders—basic</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 forma weighted-average common shares outstanding—basic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66,888,472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340" w:hanging="436"/>
        <w:spacing w:after="0" w:line="312"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60" w:type="dxa"/>
            <w:vAlign w:val="bottom"/>
            <w:gridSpan w:val="2"/>
            <w:vMerge w:val="restart"/>
          </w:tcPr>
          <w:p>
            <w:pPr>
              <w:jc w:val="right"/>
              <w:ind w:right="154"/>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vMerge w:val="restart"/>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60" w:type="dxa"/>
            <w:vAlign w:val="bottom"/>
            <w:tcBorders>
              <w:bottom w:val="single" w:sz="8" w:color="auto"/>
            </w:tcBorders>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ind w:left="3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$ 5,357</w:t>
            </w:r>
          </w:p>
        </w:tc>
        <w:tc>
          <w:tcPr>
            <w:tcW w:w="880" w:type="dxa"/>
            <w:vAlign w:val="bottom"/>
          </w:tcPr>
          <w:p>
            <w:pPr>
              <w:jc w:val="right"/>
              <w:spacing w:after="0"/>
              <w:rPr>
                <w:sz w:val="20"/>
                <w:szCs w:val="20"/>
                <w:color w:val="auto"/>
              </w:rPr>
            </w:pPr>
            <w:r>
              <w:rPr>
                <w:rFonts w:ascii="Arial" w:cs="Arial" w:eastAsia="Arial" w:hAnsi="Arial"/>
                <w:sz w:val="18"/>
                <w:szCs w:val="18"/>
                <w:color w:val="auto"/>
              </w:rPr>
              <w:t>$  5,963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$ 57,928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4,485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5,400</w:t>
            </w:r>
          </w:p>
        </w:tc>
        <w:tc>
          <w:tcPr>
            <w:tcW w:w="880" w:type="dxa"/>
            <w:vAlign w:val="bottom"/>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Derivative liability</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88</w:t>
            </w: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720" w:type="dxa"/>
            <w:vAlign w:val="bottom"/>
            <w:gridSpan w:val="2"/>
          </w:tcPr>
          <w:p>
            <w:pPr>
              <w:jc w:val="right"/>
              <w:ind w:right="79"/>
              <w:spacing w:after="0"/>
              <w:rPr>
                <w:sz w:val="20"/>
                <w:szCs w:val="20"/>
                <w:color w:val="auto"/>
              </w:rPr>
            </w:pPr>
            <w:r>
              <w:rPr>
                <w:rFonts w:ascii="Arial" w:cs="Arial" w:eastAsia="Arial" w:hAnsi="Arial"/>
                <w:sz w:val="18"/>
                <w:szCs w:val="18"/>
                <w:color w:val="auto"/>
              </w:rPr>
              <w:t>(4,579)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(23,135)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 xml:space="preserve">We are a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Through March 31, 2018, we had received gross proceeds of $87.5 million from the sales of our preferred stock.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$4.7 million and $18.6 million for the years ended December 31, 2016 and 2017, respectively, and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$8.2 million for the three months ended March 31, 2018. As of March 31, 2018 we had an accumulated deficit of $33.6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18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anticipated net proceeds from this offering.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March 31, 2018, we had cash and cash equivalents of $57.9 million. We believe that the anticipated net proceeds from this offering, together</w:t>
      </w:r>
    </w:p>
    <w:p>
      <w:pPr>
        <w:spacing w:after="0" w:line="46"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with our existing cash and cash equivalents, will enable us to fund our operating expenses and capital expenditure requirements into . We have based this estimate on assumptions that may prove to be wrong, and we could exhaust our available capital resources sooner than we expect. See “— Liquidity and Capital Resources.”</w:t>
      </w:r>
    </w:p>
    <w:p>
      <w:pPr>
        <w:spacing w:after="0" w:line="19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Without giving effect to the anticipated net proceeds from this offering, we expect that our existing cash and cash equivalents will be sufficient to fund our operating expenses and capital expenditure requirements until at least the middle of 2019. To finance our operations beyond that point, we will need to raise additional capital, which cannot be assured.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Ended March 31,</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Gaucher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Cystinosis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2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1,723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4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income from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entering into our loan agreement, we agreed to issue a warrant to purchase shares of our preferred stock to the lender. We classify the warrant as a liability on our consolidated balance sheet and we are required to remeasure to fair value at each reporting date. We recognize changes in the fair value of the warrant liability as a component of other income (expense), net in our consolidated statements of operations and comprehensive loss. We will continue to recognize changes in the fair value of the warrant liability until the warrants are exercised, expire or qualify for equity classification.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stock purchase agreement with University Health Network, or UHN, provides for a payment to UHN upon completion of an initial public offering, or IPO, which includes this offering,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We will continue to recognize changes in the fair value of the derivative liability until an IPO occurs.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years ended December 31, 2016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$ 2,663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$ 15,191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(4,625)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8"/>
                <w:szCs w:val="18"/>
                <w:color w:val="auto"/>
              </w:rPr>
            </w:pPr>
          </w:p>
        </w:tc>
        <w:tc>
          <w:tcPr>
            <w:tcW w:w="820" w:type="dxa"/>
            <w:vAlign w:val="bottom"/>
            <w:gridSpan w:val="4"/>
          </w:tcPr>
          <w:p>
            <w:pPr>
              <w:jc w:val="right"/>
              <w:ind w:right="127"/>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8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(4,664</w:t>
            </w:r>
          </w:p>
        </w:tc>
        <w:tc>
          <w:tcPr>
            <w:tcW w:w="240" w:type="dxa"/>
            <w:vAlign w:val="bottom"/>
          </w:tcPr>
          <w:p>
            <w:pPr>
              <w:jc w:val="right"/>
              <w:ind w:right="127"/>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(18,648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(13,984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Research and Development Expenses</w:t>
            </w: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20" w:type="dxa"/>
            <w:vAlign w:val="bottom"/>
            <w:gridSpan w:val="3"/>
          </w:tcPr>
          <w:p>
            <w:pPr>
              <w:spacing w:after="0"/>
              <w:rPr>
                <w:sz w:val="12"/>
                <w:szCs w:val="12"/>
                <w:color w:val="auto"/>
              </w:rPr>
            </w:pPr>
          </w:p>
        </w:tc>
        <w:tc>
          <w:tcPr>
            <w:tcW w:w="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Fabry</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  105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$ 6,101</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AML</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785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Pompe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1,298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2,663</w:t>
            </w:r>
          </w:p>
        </w:tc>
        <w:tc>
          <w:tcPr>
            <w:tcW w:w="38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Research and development expenses were $2.7 million for the year ended December 31, 2016, compared to $15.2 million for the year ended December 31, 2017. The increase of $12.5 million was primarily due to increases of $6.0 million in direct costs for our Fabry program, $2.6 million in direct costs connected with our Gaucher program, $1.0 million in direct costs related to our Cystinosis program, $1.0 million in direct costs connected with our Pompe program, and $2.5 million in research and discovery and unallocated costs, all partially offset by a decrease of $0.6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$3.1 million, as well as CMO, CRO and consulting fees of $2.5 million.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$1.2 million, as well as CMO fees of $1.0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upfront license cost of $1.0 million paid to GenStem.</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increase in direct costs for our Pompe program was primarily due to upfront license cost of $0.5 million paid and $0.5 million payable to BioMarin.</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increase in research and discovery and unallocated costs was primarily due to an increase of $1.9 million in personnel-related costs, including stock-based compensation, as a result of hiring additional personnel in our research and development department and an increase of $0.6 million in unallocated consulting expenses and facility costs and rent expense. Personnel-related costs for the years ended December 31, 2016 and 2017 included stock-based compensation expense of less than $0.1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General and administrative expenses were $2.0 million for the year ended December 31, 2016, compared to $3.2 million for the year ended December 31, 2017. The increase of $1.2 million was primarily due to increases of $0.4 million in personnel-related costs, including stock-based compensation, $0.3 million in consulting expense, $0.1 million in professional fees and $0.2 million in facility expense. The increase in personnel-related costs was due to the hiring of additional personnel in our general and administrative functions, including the hiring of our CFO in late 2017. Professional fees increased due to costs associated with the preparation of our financial statements as well as ongoing business operations. The increase in facility expense was primarily due to the addition of increased office space as a result of the continued growth of the employee headcount.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(expense), net was not significant during either of the years ended December 31, 2016 or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March 31, 2017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$ 1,434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$ 5,647</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35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(7,788)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3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35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35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3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(2,077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(8,242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Arial" w:cs="Arial" w:eastAsia="Arial" w:hAnsi="Arial"/>
                <w:sz w:val="18"/>
                <w:szCs w:val="18"/>
                <w:color w:val="auto"/>
              </w:rPr>
              <w:t>74</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Ended March 31,</w:t>
            </w:r>
          </w:p>
        </w:tc>
        <w:tc>
          <w:tcPr>
            <w:tcW w:w="10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Fabry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AML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Pompe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1,621</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1,434</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Research and development expenses were $1.4 million for the three months ended March 31, 2017, compared to $5.6 million for the three months ended March 31, 2018. The increase of $4.2 million was primarily due to increases of $1.5 million in direct costs for our Fabry program, $0.8 million in direct costs connected with our Gaucher program, $0.1 million in direct costs related to our Cystinosis program, $0.1 million in direct costs related to our Pompe program, and $1.6 million in research and discovery and unallocated costs, all partially offset by a decrease of $0.1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$1.1 million, as well as CMO, CRO and consulting fees of $0.4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$0.8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consulting fees of $0.1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Pompe program was primarily due to development costs of $0.1 million.</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increase in research and discovery and unallocated costs was primarily due to an increase of $1.0 million in personnel-related costs, including stock-based compensation, as a result of hiring additional personnel in our research and development department and an increase of $0.8 million in unallocated consulting expenses and facility costs and rent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General and administrative expenses were $0.6 million for the three months ended March 31, 2017, compared to $2.1 million for the three months ended March 31, 2018. The increase of $1.5 million was primarily due to increases of $0.6 million in personnel-related costs, including stock-based compensation, $0.6 million in consulting expense, $0.2 million in professional fees and $0.1 million in legal expense. The increase in personnel-related costs was due to the hiring of additional personnel in our general and administrative functions, including the hiring of our CFO in late 2017. Professional fees increased due to costs associated with the preparation of our consolidated financial statements as well as ongoing business operations.</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Other income (expense), net was a loss of less than $0.1 million for the three months ended March 31, 2017, compared to a loss of $0.5 million for the three months ended March 31, 2018. The increase in other expense of $0.4 million was primarily due to increase of $0.6 million in change fair value of derivative liability, partially offset by a $0.2 million increase in interest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Through March 31, 2018, we had received gross cash proceeds of $87.5 million from sales of our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68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$(3,314)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(16,382)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(5,980)</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(55)</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51,965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During the three months ended March 31, 2018, operating activities used $6.0 million of cash and cash equivalents, resulting from our net loss of $8.2 million, partially offset by non-cash charges of $0.9 million and net cash provided by changes in our operating assets and liabilities of $1.3 million. The net changes in our operating assets and liabilities was primarily due to increases in liabilities of $1.8 million due to ongoing research, development, and clinical trial efforts and partially offset by increases in assets of $0.5 million, including an increase due to a $0.2 million security deposit for a new lease that was executed in 2018.</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During the three months ended March 31, 2017, operating activities used $2.0 million of cash and cash equivalents, resulting from our net loss of $2.1 million, primarily offset by non-cash charges of $0.2 million and net cash used by changes in our operating assets and liabilities of $0.1 million. Net cash used by changes in our operating assets and liabilities for the three months ended March 31, 2017 consisted primarily of a $0.1 million increase in prepaid expenses and other current assets.</w:t>
      </w:r>
    </w:p>
    <w:p>
      <w:pPr>
        <w:spacing w:after="0" w:line="187"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During the year ended December 31, 2017, operating activities used $16.4 million of cash and cash equivalents, resulting from our net loss of $18.6 million, partially offset by non-cash charges of $0.7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auto"/>
        </w:rPr>
        <w:t>$1.6 million. Net cash provided by changes in our operating assets and liabilities for the year ended December 31, 2017 consisted primarily of a</w:t>
      </w:r>
    </w:p>
    <w:p>
      <w:pPr>
        <w:spacing w:after="0" w:line="21"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$1.5 million increase in accrued expenses and other current liabilities, a $0.5 million increase in other long-term liability and a $0.2 million increase in accounts payable, partially offset by a $0.2 million increase in other assets and a $0.3 million increase in prepaid expenses and other current assets. The increases in accrued expenses and other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current liabilities were primarily due to ongoing research, development, and clinical trial work, and an increase in the incentive bonus accrual as of December 31, 2017. The increase in prepaid expenses and other current assets was primarily due to a $0.1 million increase in prepaid development costs associated with our Gaucher program and a $0.1 million increase in prepaid rent upon commencement of two new leases during 2017.</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year ended December 31, 2016, operating activities used $3.3 million of cash and cash equivalents, resulting from our net loss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$4.7 million, primarily offset by non-cash charges of $0.6 million and net cash provided by changes in our operating assets and liabilities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$0.8 million. Net cash provided by changes in our operating assets and liabilities for the year ended December 31, 2016 consisted primarily of a</w:t>
      </w:r>
    </w:p>
    <w:p>
      <w:pPr>
        <w:spacing w:after="0" w:line="21"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$0.6 million increase in accrued expenses and other current liabilities and $0.2 million increase in accounts payable. The increase in accrued expenses and other current liabilities was due to an increase in professional fees and personnel costs associated with establishing our Cambridge, Massachusetts operations.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During the three months ended March 31, 2018, we used $0.3 million of cash and cash equivalents in investing activities consisting of purchases of property and equipment. During the three months ended March 31, 2017, we used less than $0.1 million of cash and cash equivalents in purchases of property and equipment.</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During the year ended December 31, 2017, we used $0.4 million of cash and cash equivalents in investing activities consisting of purchases of property and equipment. During the year ended December 31, 2016, we used an insignificant amount of cash and cash equivalents in investing activities consisting of payment of a leasing deposit.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2018, net cash provided by financing activities was $58.2 million, primarily consisting of net cash proceeds from our issuance of Series B preferred stock in January 2018.</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During the three months ended March 31, 2017, net cash provided by financing activities was $3.5 million, consisting of net cash proceeds from our issuance of Series A preferred stock in March 2017.</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$17.4 million, primarily consisting of net cash proceeds of $17.4 million from our issuance of Series A preferred stock in March 2017 and October 2017.</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year ended December 31, 2016, net cash provided by financing activities was $8.7 million, primarily consisting of net cash proceeds of $1.4 million from our issuance of Series Seed preferred stock in January 2016 and net proceeds of $7.3 million from our issuance of Series A preferred stock in July 2016.</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March 31, 2018, we had not drawn down from the facility and the $3.5 million first tranche was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met certain clinical and developmental milestones, or we have subsequently obtained at least $7.5 million in cash proceeds from the sale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of our equity securities from investors reasonably acceptable to SVB. The third tranche of $3.0 million will be made available after the funding of the first and second tranche amounts and upon confirmation by SVB that we have subsequently obtained at least an additional $6.5 million in cash proceeds from the sale of our equity securities to investors reasonably acceptable to SVB, and we have received a signed and enforceable term sheet from investors acceptable to SVB committing to provide financing on or before March 31, 2018 in an amount equal to at least 12 months of operating expenses. In January 2018, we received gross cash proceeds of $60.5 million from the sale of our Series B preferred stock.</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In connection with the Loan Agreement, we issued a warrant to SVB to purchase shares of our Series A preferred stock at an exercise price of $0.7949 per share. This warrant is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w:t>
      </w:r>
    </w:p>
    <w:p>
      <w:pPr>
        <w:spacing w:after="0" w:line="17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upon the closing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offering, we expect to incur additional costs associated with operating as a public company. Our expenses will also increase as we:</w:t>
      </w:r>
    </w:p>
    <w:p>
      <w:pPr>
        <w:spacing w:after="0" w:line="131" w:lineRule="exact"/>
        <w:rPr>
          <w:sz w:val="20"/>
          <w:szCs w:val="20"/>
          <w:color w:val="auto"/>
        </w:rPr>
      </w:pPr>
    </w:p>
    <w:p>
      <w:pPr>
        <w:ind w:left="1060" w:hanging="424"/>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initiating and conducting our planned Phase 2 clinical trial for AVR-RD-01;</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the anticipated net proceeds from this offering, together with our existing cash and cash equivalents, will enable us to fund our</w:t>
      </w:r>
    </w:p>
    <w:p>
      <w:pPr>
        <w:spacing w:after="0" w:line="46"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operating expenses and capital expenditure requirements into .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90"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effects that such obligations are expected to have on our liquidity and cash flows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6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36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4"/>
              </w:rPr>
              <w:t>4 to 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3420" w:type="dxa"/>
            <w:vAlign w:val="bottom"/>
            <w:gridSpan w:val="2"/>
            <w:shd w:val="clear" w:color="auto" w:fill="CCEEFF"/>
          </w:tcPr>
          <w:p>
            <w:pPr>
              <w:jc w:val="center"/>
              <w:ind w:left="28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vMerge w:val="restart"/>
          </w:tcPr>
          <w:p>
            <w:pPr>
              <w:jc w:val="right"/>
              <w:ind w:right="1010"/>
              <w:spacing w:after="0"/>
              <w:rPr>
                <w:sz w:val="20"/>
                <w:szCs w:val="20"/>
                <w:color w:val="auto"/>
              </w:rPr>
            </w:pPr>
            <w:r>
              <w:rPr>
                <w:rFonts w:ascii="Arial" w:cs="Arial" w:eastAsia="Arial" w:hAnsi="Arial"/>
                <w:sz w:val="18"/>
                <w:szCs w:val="18"/>
                <w:color w:val="auto"/>
              </w:rPr>
              <w:t>79</w:t>
            </w: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Additionally, the table above excludes the payment that may be due to UHN upon the closing of the sale of shares of common stock in an IPO, which includes this offering. If UHN’s fully-diluted percentage ownership of our company is reduced within a range of specified percentages in an IPO, then we are obligated to pay UHN an amount up to $2.0 million. We have not included the UHN dilution payment in the preceding table as the amount, timing and likelihood of such payments are not known.</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prospectus,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research institutions and CROs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only issued stock options with service-based vesting conditions and record the expense for these awards using the straight-line method.</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stock-based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76" w:lineRule="exact"/>
        <w:rPr>
          <w:sz w:val="20"/>
          <w:szCs w:val="20"/>
          <w:color w:val="auto"/>
        </w:rPr>
      </w:pPr>
    </w:p>
    <w:p>
      <w:pPr>
        <w:ind w:left="1060" w:right="18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Prior to this offering, our stock was not publicly traded, and therefore we estimated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discussed in “Determination of the Fair Value of Common Stock” below.</w:t>
      </w:r>
    </w:p>
    <w:p>
      <w:pPr>
        <w:spacing w:after="0" w:line="75" w:lineRule="exact"/>
        <w:rPr>
          <w:rFonts w:ascii="Arial" w:cs="Arial" w:eastAsia="Arial" w:hAnsi="Arial"/>
          <w:sz w:val="18"/>
          <w:szCs w:val="18"/>
          <w:color w:val="auto"/>
        </w:rPr>
      </w:pPr>
    </w:p>
    <w:p>
      <w:pPr>
        <w:ind w:left="1060" w:right="22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86"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date of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constant maturity notes with terms approximately equal to the stock-based award’s expected term.</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a trading history of our common stock, the expected volatility was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public companies within our industry that we consider to be comparable to our business over a period equivalent to the expected term of the stock-based awards.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is zero as we have not paid and do not anticipate paying any dividends in the foreseeable future.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weighted-average fair values of options granted during the years ended December 31, 2016 and 2017 were $0.12 and $0.36, respectively. No options were granted during the three months ended March 31, 2017. The weighted-average fair value of options granted during the three months ended March 31, 2018 was $1.09. The weighted-average assumptions utilized to determine the fair value of options granted are presented in the following table:</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4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March 31, 2018</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86.00%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84.54%</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Awards Granted</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options granted since January 1, 2017, the per share exercise price of the options, the fair value of common stock per share on each grant date, and the per share estimated fair value of the options: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6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880" w:type="dxa"/>
            <w:vAlign w:val="bottom"/>
            <w:gridSpan w:val="2"/>
          </w:tcPr>
          <w:p>
            <w:pPr>
              <w:jc w:val="center"/>
              <w:ind w:left="2872"/>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Exercise</w:t>
            </w:r>
          </w:p>
        </w:tc>
        <w:tc>
          <w:tcPr>
            <w:tcW w:w="152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9"/>
              </w:rPr>
              <w:t>per Common</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Options</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Price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Share on</w:t>
            </w:r>
          </w:p>
        </w:tc>
        <w:tc>
          <w:tcPr>
            <w:tcW w:w="0" w:type="dxa"/>
            <w:vAlign w:val="bottom"/>
          </w:tcPr>
          <w:p>
            <w:pPr>
              <w:spacing w:after="0"/>
              <w:rPr>
                <w:sz w:val="1"/>
                <w:szCs w:val="1"/>
                <w:color w:val="auto"/>
              </w:rPr>
            </w:pPr>
          </w:p>
        </w:tc>
      </w:tr>
      <w:tr>
        <w:trPr>
          <w:trHeight w:val="191"/>
        </w:trPr>
        <w:tc>
          <w:tcPr>
            <w:tcW w:w="4380" w:type="dxa"/>
            <w:vAlign w:val="bottom"/>
            <w:gridSpan w:val="3"/>
            <w:vMerge w:val="continue"/>
          </w:tcPr>
          <w:p>
            <w:pPr>
              <w:spacing w:after="0"/>
              <w:rPr>
                <w:sz w:val="16"/>
                <w:szCs w:val="16"/>
                <w:color w:val="auto"/>
              </w:rPr>
            </w:pPr>
          </w:p>
        </w:tc>
        <w:tc>
          <w:tcPr>
            <w:tcW w:w="29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Options</w:t>
            </w:r>
          </w:p>
        </w:tc>
        <w:tc>
          <w:tcPr>
            <w:tcW w:w="640" w:type="dxa"/>
            <w:vAlign w:val="bottom"/>
          </w:tcPr>
          <w:p>
            <w:pPr>
              <w:spacing w:after="0"/>
              <w:rPr>
                <w:sz w:val="16"/>
                <w:szCs w:val="16"/>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June 13,</w:t>
            </w:r>
          </w:p>
        </w:tc>
        <w:tc>
          <w:tcPr>
            <w:tcW w:w="3680" w:type="dxa"/>
            <w:vAlign w:val="bottom"/>
            <w:tcBorders>
              <w:top w:val="single" w:sz="8" w:color="CCEEFF"/>
            </w:tcBorders>
            <w:shd w:val="clear" w:color="auto" w:fill="CCEEFF"/>
          </w:tcPr>
          <w:p>
            <w:pPr>
              <w:jc w:val="right"/>
              <w:ind w:right="3295"/>
              <w:spacing w:after="0" w:line="189" w:lineRule="exact"/>
              <w:rPr>
                <w:sz w:val="20"/>
                <w:szCs w:val="20"/>
                <w:color w:val="auto"/>
              </w:rPr>
            </w:pPr>
            <w:r>
              <w:rPr>
                <w:rFonts w:ascii="Arial" w:cs="Arial" w:eastAsia="Arial" w:hAnsi="Arial"/>
                <w:sz w:val="17"/>
                <w:szCs w:val="17"/>
                <w:color w:val="auto"/>
                <w:w w:val="73"/>
              </w:rPr>
              <w:t>2017</w:t>
            </w:r>
          </w:p>
        </w:tc>
        <w:tc>
          <w:tcPr>
            <w:tcW w:w="29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796,822</w:t>
            </w: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16,666</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2017</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35,224</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July 17,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50,320</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2017</w:t>
            </w:r>
            <w:r>
              <w:rPr>
                <w:rFonts w:ascii="Arial" w:cs="Arial" w:eastAsia="Arial" w:hAnsi="Arial"/>
                <w:sz w:val="15"/>
                <w:szCs w:val="15"/>
                <w:color w:val="auto"/>
              </w:rPr>
              <w:t>(1)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654,170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October 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17, 2017</w:t>
            </w:r>
            <w:r>
              <w:rPr>
                <w:rFonts w:ascii="Arial" w:cs="Arial" w:eastAsia="Arial" w:hAnsi="Arial"/>
                <w:sz w:val="15"/>
                <w:szCs w:val="15"/>
                <w:color w:val="auto"/>
              </w:rPr>
              <w:t>(2)</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October 24,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201,396</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2018</w:t>
            </w:r>
            <w:r>
              <w:rPr>
                <w:rFonts w:ascii="Arial" w:cs="Arial" w:eastAsia="Arial" w:hAnsi="Arial"/>
                <w:sz w:val="15"/>
                <w:szCs w:val="15"/>
                <w:color w:val="auto"/>
              </w:rPr>
              <w:t>(3)</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3,114,710</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the time of the option grants in August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this date was adjusted to $0.53 per share in connection with a retrospective fair value assessment for financial reporting purposes.</w:t>
      </w:r>
    </w:p>
    <w:p>
      <w:pPr>
        <w:spacing w:after="0" w:line="2"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At the time of the option grants in October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the date of these grants was adjusted to $0.99 per share in connection with a retrospective fair value assessment for financial reporting purposes.</w:t>
      </w:r>
    </w:p>
    <w:p>
      <w:pPr>
        <w:ind w:left="640" w:right="20" w:hanging="436"/>
        <w:spacing w:after="0" w:line="253"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the time of the option grants in March 2018, our board of directors determined that the fair value of our common stock of $1.21 per share calculated in the contemporaneous valuation as of January 31, 2018 reasonably reflected the per share fair value of one share of our common stock as of the grant date. However, in connection with the preparation of the Company’s unaudited condensed consolidated financial statements for the three months ended March 31, 2018, the fair value of our common stock at the date of these grants was adjusted to $1.46 per share as a result of a contemporaneous valuation performed as of March 31, 2018.</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 there has been no public market for our common stock to date, the estimated fair value of our common stock has been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Once a public trading market for our common stock has been established following the closing of this offering, it will no longer be necessary for our board of directors to estimate the fair market value of our common stock in connection with our accounting for granted equity awards.</w:t>
      </w:r>
    </w:p>
    <w:p>
      <w:pPr>
        <w:spacing w:after="0" w:line="192"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For financial reporting purposes, we performed ordinary share valuations, with the assistance of a third-party specialist, at various dates, which resulted in valuations of our common stock of $0.10 per share as of January 31, 2016, $0.29 per share as of August 31, 2016, $0.22 per share as of March 31, 2017, $0.53 per share as of August 31, 2017, $0.99 per share as of October 31, 2017, $1.21 per share as of January 31, 2018, and $1.46 as of March 31, 2018. In conducting the valuations, our board of directors, with input from management, considered various objective and subjective factors to determine the fair value of our common stock as of each grant date, including:</w:t>
      </w:r>
    </w:p>
    <w:p>
      <w:pPr>
        <w:spacing w:after="0" w:line="78" w:lineRule="exact"/>
        <w:rPr>
          <w:sz w:val="20"/>
          <w:szCs w:val="20"/>
          <w:color w:val="auto"/>
        </w:rPr>
      </w:pPr>
    </w:p>
    <w:p>
      <w:pPr>
        <w:ind w:left="1060" w:right="2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prices at which we sold preferred stock and the superior rights and preferences of the preferred stock relative to our common stock at the time of each grant;</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planned clinical trials for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dates of our valuations have not always coincided with the dates of our stock option grants. In determining the fair value of the shares underlying options set forth in the table above, we considered, among other things, the most recent contemporaneous valuations of our ordinary shares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and commercialization and our business strategy, our operating and financial performance and current business conditions.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closing of this offering, the fair value of our common stock will be determined based on the quoted market price of our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common stock valuations were prepared using the option-pricing method, or OPM, which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future value of the common stock is discounted back to the valuation date at an appropriate risk-adjusted discount rate and probability weighted to arrive at an indication of value for the common stock.</w:t>
      </w:r>
    </w:p>
    <w:p>
      <w:pPr>
        <w:spacing w:after="0" w:line="19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Beginning with the August 23, 2017 valuation, we changed the methodology for allocating our equity value to our common stock to a hybrid method, which is a combination of a probability weighted expected return method, or PWERM and an OPM. We made this change as greater certainty developed regarding a possible liquidity event. The PWERM methodology relies on a forward-looking analysis to predict the possible future value of a company. Under this method, discrete future outcomes, such as an IPO, non-IPO scenarios, and a merger or sale are weighted based on our estimate of the probability of each scenario. In our application of the hybrid method, we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 Liability</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PWERM, which considered as inputs the type and probability of occurrence of an IPO dilution event, the amount of the payment, the expected timing of an IPO dilution event and a risk-adjusted discount rate.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connection with entering into a loan agreement, we agreed to issue a warrant to purchase shares of our Series A preferred stock to the lender. We classify the warrant as a liability on our consolidated balance sheet because the warrant represents a free-standing financial instrument that may require us to transfer assets upon exercise. The warrant liability was initially recorded at fair value upon the date of the warrant issuance and is subsequently remeasured to fair value at each reporting date. Changes in the fair value of the warrant liability are recognized as a component of other income (expense), net in the consolidated statements of operations and will continue to be recognized until the warrant is exercised, expires or qualifies for equity classification.</w:t>
      </w:r>
    </w:p>
    <w:p>
      <w:pPr>
        <w:spacing w:after="0" w:line="193"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We utilize the Black-Scholes option-pricing model, which incorporates assumptions and estimates, to value the warrant. We assess these assumptions and estimates on a quarterly basis as additional information impacting the assumptions is obtained. Estimates and assumptions impacting the fair value measurement include the fair value per share of the underlying equity instruments issuable upon exercise of the warrant, the remaining contractual term of the warrant, risk-free interest rate, expected dividend yield and expected volatility of the underlying preferred stock. We have historically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have estimated a 0% dividend yield based on the fact that we have never paid or declared dividends.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Upon the closing of this offering, the preferred stock warrant will become exercisable for common stock instead of preferred stock, and the remeasured fair value of the warrant liability will be reclassified to additional paid-in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As of March 31, 2018, we had cash and cash equivalents of $57.9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and research and development costs are incurred in U.S. dollars. A portion of our research and development costs are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our subsidiaries in Australia and Canada, whose functional currencies are the U.S. dollar but engage in transactions in Australian dollars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Canadian dollars, respectively. During each of the years ended December 31, 2016 and 2017, we recognized foreign currency transaction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$6,000 and $19,000, respectively. During each of the three months ended March 31, 2017 and 2018, we recognized foreign currency transaction losses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$5,000 and $13,000, respectively. These losses primarily related to unrealized and realized foreign currency gains and losses as a result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entered into by our Australian and Canadian subsidiaries in currencies other than the U.S. dollar. These foreign currency transaction gains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losses were recorded in other expense, net in our consolidated statements of operations. We believe that a 10% change in the exchange rate between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U.S. dollar, Australian dollar and Canadian dollar would not have a material impact on our financial position or results of operations.</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15 to our unaudited condensed consolidated financial statements appearing elsewhere in this prospectus.</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700"/>
          </w:cols>
          <w:pgMar w:left="240" w:top="459" w:right="9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 xml:space="preserve">We are a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 Phase 1 clinical trial and has demonstrated clinically significant increased enzyme activity to date. We expect to initiate our Phase 2 clinical trial of AVR-RD-01 in mid-2018. In addition, Phase 1/2 clinical trials for both AVR-RD-02 and AVR-RD-04 are being planned and we expect patients will be dosed in 2019.</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with lasting benefits in third parties’ ongoing clinical trials for rare diseases such as beta thalassemia, ALD and ADA-SCID. To date, over 200 patients have been treated with lentiviral-based gene therapies in third parties’ clinical trials. Historically,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programs leverage years of extensive preclinical and early clinical research by leading researchers, as well as our internal research efforts.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status of our initial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Our lead product candidate, AVR-RD-01 for the treatment of Fabry disease, is derived from hematopoietic stem cells to which the gene encoding the enzyme a-galactosidase A, or AGA, is added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process using a lentiviral vector. In an ongoing Phase 1 clinical trial of patients with Fabry disease, AVR-RD-01 has been well-tolerated and has led to the production of active AGA enzyme in the two patients treated to date. The first patient dosed in this trial continues to express plasma activity levels of AGA enzyme above the range for males with classic Fabry disease twelve months after receiving AVR-RD-01. Plasma AGA enzyme activity levels in the second patient also began increasing after receiving AVR-RD-01 and remained above the range for males with classic Fabry disease one month after treatment. We anticipate initiating our Phase 2 clinical trial of AVR-RD-01 in mid-2018.</w:t>
      </w:r>
    </w:p>
    <w:p>
      <w:pPr>
        <w:spacing w:after="0" w:line="16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Preclinical data for both our Gaucher and cystinosis programs have demonstrated positive results and we expect to begin dosing patients in Phase 1/2 clinical trials for both AVR-RD-02 (Gaucher) and AVR-RD-04 (cystinosis) in 2019. AVR-RD-03 for Pompe disease is currently in early preclinical development. 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which we expect to complete by the end of 2019. We also utilize a cryopreservation process that we believe will allow for the global distribution and, if approved, commercialization of our gene therapies.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led by biopharmaceutical experts with extensive experience in gene and cellular therapy and rare diseases. Our team has broad expertise in the clinical, regulatory and commercialization aspects of rare diseases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0"/>
        <w:spacing w:after="0" w:line="264" w:lineRule="auto"/>
        <w:rPr>
          <w:sz w:val="20"/>
          <w:szCs w:val="20"/>
          <w:color w:val="auto"/>
        </w:rPr>
      </w:pPr>
      <w:r>
        <w:rPr>
          <w:rFonts w:ascii="Arial" w:cs="Arial" w:eastAsia="Arial" w:hAnsi="Arial"/>
          <w:sz w:val="18"/>
          <w:szCs w:val="18"/>
          <w:color w:val="auto"/>
        </w:rPr>
        <w:t>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060" w:hanging="424"/>
        <w:spacing w:after="0" w:line="271"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Rapidly Advance Our Initial Gene Therapies. </w:t>
      </w:r>
      <w:r>
        <w:rPr>
          <w:rFonts w:ascii="Arial" w:cs="Arial" w:eastAsia="Arial" w:hAnsi="Arial"/>
          <w:sz w:val="17"/>
          <w:szCs w:val="17"/>
          <w:color w:val="auto"/>
        </w:rPr>
        <w:t>We are developing a deep pipeline of four gene therapies to treat Fabry disease, Gaucher</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Pompe disease and cystinosis. We intend to rapidly advance these gene therapies into clinical trials and obtain initial efficacy data in patients from these development programs. AVR-RD-01 has been well tolerated and demonstrated clinically significant increased enzyme activity to date in an ongoing Phase 1 clinical trial. We intend to initiate our Phase 2 clinical trial for AVR-RD-01 in mid-2018 in Australia and Canada, with enrollment in the United States and Japan beginning in 2019. Phase 1/2 clinical trials of both AVR-RD-02 and AVR-RD-04 are being planned and we expect patients will be dosed in 2019.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84" w:lineRule="exact"/>
        <w:rPr>
          <w:rFonts w:ascii="Arial" w:cs="Arial" w:eastAsia="Arial" w:hAnsi="Arial"/>
          <w:sz w:val="17"/>
          <w:szCs w:val="17"/>
          <w:color w:val="auto"/>
        </w:rPr>
      </w:pPr>
    </w:p>
    <w:p>
      <w:pPr>
        <w:ind w:left="1060" w:right="100" w:hanging="424"/>
        <w:spacing w:after="0" w:line="27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Develop First-Line Gene Therapies for Lysosomal Storage Diseases. </w:t>
      </w:r>
      <w:r>
        <w:rPr>
          <w:rFonts w:ascii="Arial" w:cs="Arial" w:eastAsia="Arial" w:hAnsi="Arial"/>
          <w:sz w:val="17"/>
          <w:szCs w:val="17"/>
          <w:color w:val="auto"/>
        </w:rPr>
        <w:t>We are initially targeting lysosomal storage diseases and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clinical trials in both treatment-experienced and treatment-naïve patient groups in order to maximize the potential of our lentiviral-based gene therapies for patients. We are pioneering the use of a milder conditioning regimen, designed to be performed in an outpatient setting, as we believe this will enable us to pursue early intervention for the treatment of lysosomal storage diseases and expand into a wide range of diseases where lentiviral-based gene therapy has not been previously utilized. We will continue to leverage advancements in stem cell transplantation in order to improve patient tolerability of our lentiviral-based gene therapies.</w:t>
      </w:r>
    </w:p>
    <w:p>
      <w:pPr>
        <w:spacing w:after="0" w:line="83" w:lineRule="exact"/>
        <w:rPr>
          <w:rFonts w:ascii="Arial" w:cs="Arial" w:eastAsia="Arial" w:hAnsi="Arial"/>
          <w:sz w:val="17"/>
          <w:szCs w:val="17"/>
          <w:color w:val="auto"/>
        </w:rPr>
      </w:pPr>
    </w:p>
    <w:p>
      <w:pPr>
        <w:ind w:left="1060" w:right="6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Globally Develop, Manufacture and Commercialize Our Gene Therapies. </w:t>
      </w:r>
      <w:r>
        <w:rPr>
          <w:rFonts w:ascii="Arial" w:cs="Arial" w:eastAsia="Arial" w:hAnsi="Arial"/>
          <w:sz w:val="18"/>
          <w:szCs w:val="18"/>
          <w:color w:val="auto"/>
        </w:rPr>
        <w:t>Lysosomal storage diseases afflict patients globally and we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build global infrastructure in order to provide treatment to patients around the world. We currently intend to conduct clinical trials across multiple geographies, including the United States, Canada, Australia, Japan, Europe and Israel. We have established a global network of suppliers and contract manufacturing organizations, or CMOs.</w:t>
      </w:r>
    </w:p>
    <w:p>
      <w:pPr>
        <w:spacing w:after="0" w:line="92" w:lineRule="exact"/>
        <w:rPr>
          <w:rFonts w:ascii="Arial" w:cs="Arial" w:eastAsia="Arial" w:hAnsi="Arial"/>
          <w:sz w:val="18"/>
          <w:szCs w:val="18"/>
          <w:color w:val="auto"/>
        </w:rPr>
      </w:pPr>
    </w:p>
    <w:p>
      <w:pPr>
        <w:ind w:left="1060" w:right="60" w:hanging="424"/>
        <w:spacing w:after="0" w:line="30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Industrialize Lentiviral-Based Gene Therapy. </w:t>
      </w:r>
      <w:r>
        <w:rPr>
          <w:rFonts w:ascii="Arial" w:cs="Arial" w:eastAsia="Arial" w:hAnsi="Arial"/>
          <w:sz w:val="16"/>
          <w:szCs w:val="16"/>
          <w:color w:val="auto"/>
        </w:rPr>
        <w:t>We are developing a manufacturing process that is both reproducible and scalable.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our innovations in viral vector design, cellular manufacturing and other related processes are important steps towards advancing the field of lentiviral-based gene therapy and realizing its full potential to treat a number of diseases. We intend to leverage our core competencies to implement a closed, automated manufacturing system that will enable us to deliver our gene therapies to patients at an industrialized scale.</w:t>
      </w:r>
    </w:p>
    <w:p>
      <w:pPr>
        <w:spacing w:after="0" w:line="59" w:lineRule="exact"/>
        <w:rPr>
          <w:rFonts w:ascii="Arial" w:cs="Arial" w:eastAsia="Arial" w:hAnsi="Arial"/>
          <w:sz w:val="16"/>
          <w:szCs w:val="16"/>
          <w:color w:val="auto"/>
        </w:rPr>
      </w:pPr>
    </w:p>
    <w:p>
      <w:pPr>
        <w:ind w:left="1060" w:right="44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Approach Beyond Our Initial Indications. </w:t>
      </w:r>
      <w:r>
        <w:rPr>
          <w:rFonts w:ascii="Arial" w:cs="Arial" w:eastAsia="Arial" w:hAnsi="Arial"/>
          <w:sz w:val="18"/>
          <w:szCs w:val="18"/>
          <w:color w:val="auto"/>
        </w:rPr>
        <w:t>We are initially developing gene therapies for the treatment of four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lysosomal storage 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We develop therapies utilizing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 xml:space="preserve">in the cell and can be reproduced as the cell divides. We focus on delivering our lentiviral-based gene therapies to hematopoietic stem cells, which are primitive stem cells that develop into all types of blood cells, including white blood cells, red blood cells and platelets. To accomplish this, we extract a patient’s hematopoietic stem cells and modify them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to add a new, functional copy of the gene that is defective in the target disease. We then infuse the modified cells back into the patient. Our gene therapies are designed to be administered to the patient as a one-time therapy in an outpatient setting following a milder outpatient conditioning regimen.</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We are initially focused on employing our approach to treat and potentially cure lysosomal storage diseases. These diseases have well understood biologies, identified patient populations and represent large markets with approximately $4.0 billion in worldwide net sales in 2017. We are industrializing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into a robust, scalable and, if approved, commercially viable process that will allow us to deliver our potentially curative therapies to patients with these and other serious monogenic disorders.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Lentiviral-Based Gene Therapy Approach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lentiviral-based gene therapy provides numerous advantages, including:</w:t>
      </w:r>
    </w:p>
    <w:p>
      <w:pPr>
        <w:spacing w:after="0" w:line="131" w:lineRule="exact"/>
        <w:rPr>
          <w:sz w:val="20"/>
          <w:szCs w:val="20"/>
          <w:color w:val="auto"/>
        </w:rPr>
      </w:pPr>
    </w:p>
    <w:p>
      <w:pPr>
        <w:ind w:left="1060" w:right="80" w:hanging="424"/>
        <w:spacing w:after="0" w:line="34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Lentiviral vectors have the potential to provide life-long benefits with a single dose. Lentiviral vectors can integrate stably</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genes of hematopoietic stem cells and, when these cells replicate, they pass the integrated genes on to their progeny cells.</w:t>
      </w:r>
    </w:p>
    <w:p>
      <w:pPr>
        <w:spacing w:after="0" w:line="29" w:lineRule="exact"/>
        <w:rPr>
          <w:rFonts w:ascii="Arial" w:cs="Arial" w:eastAsia="Arial" w:hAnsi="Arial"/>
          <w:sz w:val="16"/>
          <w:szCs w:val="16"/>
          <w:color w:val="auto"/>
        </w:rPr>
      </w:pPr>
    </w:p>
    <w:p>
      <w:pPr>
        <w:ind w:left="1060" w:right="32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Systemic Therapeutic Effect. </w:t>
      </w:r>
      <w:r>
        <w:rPr>
          <w:rFonts w:ascii="Arial" w:cs="Arial" w:eastAsia="Arial" w:hAnsi="Arial"/>
          <w:sz w:val="18"/>
          <w:szCs w:val="18"/>
          <w:color w:val="auto"/>
        </w:rPr>
        <w:t>Progeny cells circulate systemically and therefore have the ability to provide therapeutic benefit to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tissues and organs throughout the body.</w:t>
      </w:r>
    </w:p>
    <w:p>
      <w:pPr>
        <w:spacing w:after="0" w:line="75"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History of Safety. </w:t>
      </w:r>
      <w:r>
        <w:rPr>
          <w:rFonts w:ascii="Arial" w:cs="Arial" w:eastAsia="Arial" w:hAnsi="Arial"/>
          <w:sz w:val="18"/>
          <w:szCs w:val="18"/>
          <w:color w:val="auto"/>
        </w:rPr>
        <w:t>Over the past 10 years, no instances of insertional mutagenesis or leukemogenesis from lentiviral vectors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observed in clinical trials in which over 200 total patients have been treated.</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w:t>
      </w:r>
      <w:r>
        <w:rPr>
          <w:rFonts w:ascii="Arial" w:cs="Arial" w:eastAsia="Arial" w:hAnsi="Arial"/>
          <w:sz w:val="18"/>
          <w:szCs w:val="18"/>
          <w:i w:val="1"/>
          <w:iCs w:val="1"/>
          <w:color w:val="auto"/>
        </w:rPr>
        <w:t xml:space="preserve"> </w:t>
      </w:r>
      <w:r>
        <w:rPr>
          <w:rFonts w:ascii="Arial" w:cs="Arial" w:eastAsia="Arial" w:hAnsi="Arial"/>
          <w:sz w:val="18"/>
          <w:szCs w:val="18"/>
          <w:color w:val="auto"/>
        </w:rPr>
        <w:t>and to patients who may be ineligible for other types of gene therapy due to the presence of preexisting antibodies that fight against viral vectors.</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lentiviruses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There are approximately 50 identified lysosomal storage diseases, which are characterized by an abnormal toxic build-up of by-products in the body’s cells. We are initially targeting Fabry disease, Gaucher disease, Pompe disease and cystinsois. Each of these diseases affects a meaningful number of patients, has a suboptimal standard of care and, we believe, is appropriate for lentiviral-based gene therapy. We believe our approach addresses the shortcomings of existing therapies where patients’ disease continues to progress despite chronic dosing and that our approach has the potential to cure these diseases.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Clinical proof of concept already exists for allogeneic bone marrow transplant in some lysosomal storage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allows patients to be their own cell donor, eliminating the need to find a matched bone marrow donor, while reducing the risk of complications related to more intensive conditioning regimens and short-term immunosuppressants utilized in allogeneic cell transplant.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Outpatient Conditioning</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diseases. We believe that we will be able to demonstrate durable effects in our targeted diseases with a milder conditioning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regimen which has the potential for reduced short- and long-term toxicities. This, in turn, will make lentiviral-based gene therapy a therapeutic option for less acutely severe diseases or diseases with approved therapies in which large unmet medical needs remain.</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Prior to the reintroduction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modified stem cells, a conditioning regimen is generally required to remove cells from the bone marrow. These conditioning regimens create sufficient space in the bone marrow for the modified hematopoietic stem cells to engraft and produce their progeny cells. Ablation requires the use of cytotoxic drugs that can compromise the patient’s immune system. The degree of immune system compromise increases with the degree of cell removal, so the need for ablation has historically required a risk/benefit assessment to balance the risks of immune system compromise with potential therapeutic benefit in the targeted disease.</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with lasting clinical benefits in third parties’ ongoing clinical trials for diseases such as beta thalassemia, ALD and ADA-SCID. Lentiviral vectors also serve as the tool for gene transfer for CAR-T therapies in cancer. Within gene therapy,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In contrast to other diseases with pathophysiologies where gene therapy requires aggressive conditioning regimens, we believe we can generally achieve sufficient cell engraftment in the lysosomal storage diseases on which we are focused by utilizing a milder conditioning regimen. We believe this approach will lead to less immunosuppression and therefore potentially necessitate only an outpatient conditioning regimen. This outpatient regimen has the potential to improve patient tolerability and extend the reach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therapy into a number of diseases.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Enhancing Our Gene Therapies and Industrializing Our Manufacturing Capabilities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Key to our strategy is to continuously improve our technology and production processes and to leverage these improvements across our gene therapies.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utilize our core expertise in the development and optimization of lentiviral vectors to continuously improve the vectors used in our gene therapies. We have made and expect to continue to make enhancements to our lentiviral vectors to improve efficacy, efficiency and safety. Our goal is to employ vectors that are state of the art and that can be produced in a cost-effective and scalable manner.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 xml:space="preserve">As one example from early, small-scale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the figures below show the improved efficacy of our optimized proprietary four-plasmid-produced lentiviral vector, or LV2, over the three-plasmid-produced lentiviral vector, or LV1, for Fabry disease and Gaucher disease, as measured by increases in both vector copy number, or VCN, and enzyme activity. VCN refers to the average number of copies of the lentiviral-vector inserted gene that are integrated into the genome of a cell, and multiplicity of infection refers to a measure of the number of infectious viral particles added to an </w:t>
      </w:r>
      <w:r>
        <w:rPr>
          <w:rFonts w:ascii="Arial" w:cs="Arial" w:eastAsia="Arial" w:hAnsi="Arial"/>
          <w:sz w:val="16"/>
          <w:szCs w:val="16"/>
          <w:i w:val="1"/>
          <w:iCs w:val="1"/>
          <w:color w:val="auto"/>
        </w:rPr>
        <w:t xml:space="preserve">in-vitro </w:t>
      </w:r>
      <w:r>
        <w:rPr>
          <w:rFonts w:ascii="Arial" w:cs="Arial" w:eastAsia="Arial" w:hAnsi="Arial"/>
          <w:sz w:val="16"/>
          <w:szCs w:val="16"/>
          <w:color w:val="auto"/>
        </w:rPr>
        <w:t>cell culture in relation to the total number of cells in the culture. As shown in the figures below, increasing the number of infectious viral particles</w:t>
      </w:r>
      <w:r>
        <w:rPr>
          <w:rFonts w:ascii="Arial" w:cs="Arial" w:eastAsia="Arial" w:hAnsi="Arial"/>
          <w:sz w:val="16"/>
          <w:szCs w:val="16"/>
          <w:i w:val="1"/>
          <w:iCs w:val="1"/>
          <w:color w:val="auto"/>
        </w:rPr>
        <w:t xml:space="preserve"> </w:t>
      </w:r>
      <w:r>
        <w:rPr>
          <w:rFonts w:ascii="Arial" w:cs="Arial" w:eastAsia="Arial" w:hAnsi="Arial"/>
          <w:sz w:val="16"/>
          <w:szCs w:val="16"/>
          <w:color w:val="auto"/>
        </w:rPr>
        <w:t>in a cell culture in order to transduce a constant number of cells results in increases in VCN and enzyme activity levels.</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Increased Enzyme Activity and VCN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with LV2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5196840" cy="1792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9684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Development of Industrialized Manufacturing Processes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establishing global manufacturing relationships that will provide us with drug product manufacturing capabilities to support all aspects of the development and eventual commercialization of our gene therapies. We have key manufacturing partnerships in place for the production of plasmids and vectors used in our gene therapies.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team has significant experience in cell processing and commercial-scale cellular therapy manufacturing. We have developed and are implementing a detailed plan for the more cost efficient and scalable manufacturing of our gene therapies. In contrast to a number of other gene therapy companies that have not developed their commercial scale plans from the outset, we are currently executing on our plans to move to a closed suspension bioreactor system for vector production as well as a closed, automated system for manufacturing our gene therapy product. We currently have a CMO partner for the production of our cellular drug product in Australia and we have established two CMO partners in the United States who are currently preparing for production with CGMP-readiness in process for AVR-RD-01 and AVR-RD-02. We also plan to establish a CMO partner in Europe.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Advantages of Cryopreservation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drug product is cryopreserved. In production of our gene therapy for the ongoing Phase 1 clinical trial for AVR-RD-01, greater than 75% cell viability was observed after thaw. Cryopreserved drug product allows for multiple benefits for patients and across the supply chain, including extensive safety testing of the drug product prior to patient administration, convenient patient/clinic scheduling and overall flexibility of supply chain logistics.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gene therapy solutions offer several potential advantages over existing therapies for lysosomal storage diseases, including:</w:t>
      </w:r>
    </w:p>
    <w:p>
      <w:pPr>
        <w:spacing w:after="0" w:line="142" w:lineRule="exact"/>
        <w:rPr>
          <w:sz w:val="20"/>
          <w:szCs w:val="20"/>
          <w:color w:val="auto"/>
        </w:rPr>
      </w:pPr>
    </w:p>
    <w:p>
      <w:pPr>
        <w:ind w:left="1060" w:hanging="424"/>
        <w:spacing w:after="0" w:line="293"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can Halt or Reverse Disease Progression. </w:t>
      </w:r>
      <w:r>
        <w:rPr>
          <w:rFonts w:ascii="Arial" w:cs="Arial" w:eastAsia="Arial" w:hAnsi="Arial"/>
          <w:sz w:val="16"/>
          <w:szCs w:val="16"/>
          <w:color w:val="auto"/>
        </w:rPr>
        <w:t>Existing ERTs for Fabry, Gaucher and Pompe and oral therapies for</w:t>
      </w:r>
      <w:r>
        <w:rPr>
          <w:rFonts w:ascii="Arial" w:cs="Arial" w:eastAsia="Arial" w:hAnsi="Arial"/>
          <w:sz w:val="16"/>
          <w:szCs w:val="16"/>
          <w:i w:val="1"/>
          <w:iCs w:val="1"/>
          <w:color w:val="auto"/>
        </w:rPr>
        <w:t xml:space="preserve"> </w:t>
      </w:r>
      <w:r>
        <w:rPr>
          <w:rFonts w:ascii="Arial" w:cs="Arial" w:eastAsia="Arial" w:hAnsi="Arial"/>
          <w:sz w:val="16"/>
          <w:szCs w:val="16"/>
          <w:color w:val="auto"/>
        </w:rPr>
        <w:t>cystinosis provide some therapeutic benefit to patients. However, because of their suboptimal pharmacokinetics, these ERTs only temporarily increase plasma enzyme levels and the therapies for cystinosis require multiple doses throughout the day. In contrast, our lentiviral-based gene therapies are designed to cause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4999990" cy="22726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999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140" w:hanging="424"/>
        <w:spacing w:after="0" w:line="259"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w:t>
      </w:r>
      <w:r>
        <w:rPr>
          <w:rFonts w:ascii="Arial" w:cs="Arial" w:eastAsia="Arial" w:hAnsi="Arial"/>
          <w:sz w:val="18"/>
          <w:szCs w:val="18"/>
          <w:i w:val="1"/>
          <w:iCs w:val="1"/>
          <w:color w:val="auto"/>
        </w:rPr>
        <w:t xml:space="preserve"> </w:t>
      </w:r>
      <w:r>
        <w:rPr>
          <w:rFonts w:ascii="Arial" w:cs="Arial" w:eastAsia="Arial" w:hAnsi="Arial"/>
          <w:sz w:val="18"/>
          <w:szCs w:val="18"/>
          <w:color w:val="auto"/>
        </w:rPr>
        <w:t>oral 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92" w:lineRule="exact"/>
        <w:rPr>
          <w:rFonts w:ascii="Arial" w:cs="Arial" w:eastAsia="Arial" w:hAnsi="Arial"/>
          <w:sz w:val="18"/>
          <w:szCs w:val="18"/>
          <w:color w:val="auto"/>
        </w:rPr>
      </w:pPr>
    </w:p>
    <w:p>
      <w:pPr>
        <w:ind w:left="1060" w:right="20" w:hanging="424"/>
        <w:spacing w:after="0" w:line="312"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these therapies require frequent doses of expensive treatments to manage symptoms. Our single-dose gene therapies are designed to replace the costly chronic intravenous and oral therapies that are the current standard of care for patients with lysosomal storage diseases.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Our initial gene therapies are AVR-RD-01 for the treatment of Fabry disease, AVR-RD-02 for the treatment of Gaucher disease, AVR-RD-03 for the treatment of Pompe disease and AVR-RD-04 for the treatment of cystinosis. AVR-RD-01 is currently being evaluated in a Phase 1 clinical trial and we expect to begin enrolling our Phase 2 clinical trial in mid-2018. In addition, Phase 1/2 clinical trials for both AVR-RD-02 and AVR-RD-04 are being planned and we expect patients will be dosed in 2019. The status of our initial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21"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are developing AVR-RD-01 for the treatment of Fabry disease. We manufacture AVR-RD-01 from stem cells that are first extracted from the patient, modified to add the gene that encodes for AGA, and then infused into the patient. AVR-RD-01 is currently being investigated in an academic-sponsored Phase 1 clinical trial and has been well tolerated and demonstrated increased enzyme activity to-date. We anticipate beginning enrollment in our concurrent multinational Phase 2 clinical trial in mid-2018.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Fabry disease is a rare lysosomal storage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Gb3 becomes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Fabry disease is an X-linked disorder, with the responsible gene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Fabry disease is primarily treated with periodic infusions of ERT consisting of AGA enzyme over the patient’s lifetime. The most commonly prescribed ERTs for Fabry disease are Fabrazyme, marketed by Sanofi Genzyme, and Replagal, marketed by Shire. In 2017, Fabrazyme and Replagal generated worldwide net sales of over $880 million and $470 million,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Alternatives to ERT for patients with Fabry disease are limited. Galafold (migalastat), an oral therapy marketed by Amicus, was approved by the European Medicines Agency, or EMA, in May 2016, and Amicus has also submitted a new drug application, or NDA, for migalastat to the FDA. Amicus reports that only 35% to 50% of the gene mutations associated with Fabry disease are amenable to migalastat.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 xml:space="preserve">We are developing AVR-RD-01 to halt disease progression and potentially cure patients with Fabry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31" w:lineRule="exact"/>
        <w:rPr>
          <w:sz w:val="20"/>
          <w:szCs w:val="20"/>
          <w:color w:val="auto"/>
        </w:rPr>
      </w:pPr>
    </w:p>
    <w:p>
      <w:pPr>
        <w:ind w:left="1060" w:right="1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continuous delivery of active enzyme throughout the body after a single dose.</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outcomes. Increased AGA enzyme is able to reduce Gb3 levels in multiple cells and tissues supporting the ability of AGA in the plasma to enter lysosomes and degrade Gb3 in a process referred to as cross correction.</w:t>
      </w:r>
    </w:p>
    <w:p>
      <w:pPr>
        <w:spacing w:after="0" w:line="86"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Wide Therapeutic Window. </w:t>
      </w:r>
      <w:r>
        <w:rPr>
          <w:rFonts w:ascii="Arial" w:cs="Arial" w:eastAsia="Arial" w:hAnsi="Arial"/>
          <w:sz w:val="18"/>
          <w:szCs w:val="18"/>
          <w:color w:val="auto"/>
        </w:rPr>
        <w:t>We believe that even partial enzyme activity, if continuous, has the potential to provide long-term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 wide range of levels of plasma AGA activity has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been demonstrated to be both safe and effective in preclinical studies, reducing the need for precise regulation of enzyme expression levels and reinforcing that overexpression of AGA is not associated with increased safety risks.</w:t>
      </w:r>
    </w:p>
    <w:p>
      <w:pPr>
        <w:spacing w:after="0" w:line="76" w:lineRule="exact"/>
        <w:rPr>
          <w:sz w:val="20"/>
          <w:szCs w:val="20"/>
          <w:color w:val="auto"/>
        </w:rPr>
      </w:pPr>
    </w:p>
    <w:p>
      <w:pPr>
        <w:ind w:left="1060" w:right="38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AGA levels in a patient’s cells, regardless of which of the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1,000 specific mutations underlie the patient’s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Ongoing Multicenter Clinical Trial</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an ongoing Phase 1 clinical trial of AVR-RD-01 being conducted by the University Health Network, or UHN, at three centers in Canada, up to six patients with Fabry disease who have been treated with ERT for at least six months are expected to be enrolled. In this clinical trial, ERT for these patients is suspended one month prior to receiving AVR-RD-01 and ERT is then resumed one month after the AVR-RD-01 treatment and continued at bi-weekly intervals.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primary goal for this clinical trial is to assess the safety and toxicity of AVR-RD-01 as measured by the frequency of clinically notable abnormal vital signs and laboratory values and the frequency of treatment-related adverse events. The safety of our out-patient conditioning regimen is also being assessed in this clinical trial.</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 secondary objective for this clinical trial is to obtain preliminary efficacy signals of AVR-RD-01 therapy as assessed by AGA enzyme activity. Plasma AGA enzyme activity derived from administration of ERT decreases rapidly after administration with no residual plasma activity remaining approximately one day after treatment. To evaluate the ability of AVR-RD-01 to increase enzyme activity, we assess the level of AGA activity in a patient immediately prior to the administration of the patient’s next dose of ERT, when limited or no plasma AGA activity would be expected.</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first two patients in this clinical trial have been dosed and the treatment was well tolerated. In these patients, both of whom are male, the level of plasma AGA enzyme activity began to rise within days of receiving AVR-RD-01, from nearly undetectable levels before treatment to levels above the range for males with classic Fabry disease, defined as less than 1 nmol/hr/ml.</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As of twelve months after receiving AVR-RD-01, the first patient’s plasma AGA enzyme activity levels continued to be above the range for males with classic Fabry disease. AGA enzyme activity levels in the second patient remained above the range for males with classic Fabry disease as of one month after treatment. We believe these preliminary results support the potential of AVR-RD-01 to drive active enzyme production for long durations.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540" w:type="dxa"/>
            <w:vAlign w:val="bottom"/>
            <w:tcBorders>
              <w:top w:val="single" w:sz="8" w:color="auto"/>
              <w:left w:val="single" w:sz="8" w:color="auto"/>
              <w:right w:val="single" w:sz="8" w:color="auto"/>
            </w:tcBorders>
          </w:tcPr>
          <w:p>
            <w:pPr>
              <w:spacing w:after="0"/>
              <w:rPr>
                <w:sz w:val="12"/>
                <w:szCs w:val="12"/>
                <w:color w:val="auto"/>
              </w:rPr>
            </w:pPr>
          </w:p>
        </w:tc>
        <w:tc>
          <w:tcPr>
            <w:tcW w:w="3440" w:type="dxa"/>
            <w:vAlign w:val="bottom"/>
            <w:tcBorders>
              <w:top w:val="single" w:sz="8" w:color="auto"/>
              <w:right w:val="single" w:sz="8" w:color="auto"/>
            </w:tcBorders>
          </w:tcPr>
          <w:p>
            <w:pPr>
              <w:jc w:val="center"/>
              <w:ind w:left="1617"/>
              <w:spacing w:after="0" w:line="139" w:lineRule="exact"/>
              <w:rPr>
                <w:sz w:val="20"/>
                <w:szCs w:val="20"/>
                <w:color w:val="auto"/>
              </w:rPr>
            </w:pPr>
            <w:r>
              <w:rPr>
                <w:rFonts w:ascii="Arial" w:cs="Arial" w:eastAsia="Arial" w:hAnsi="Arial"/>
                <w:sz w:val="14"/>
                <w:szCs w:val="14"/>
                <w:b w:val="1"/>
                <w:bCs w:val="1"/>
                <w:color w:val="auto"/>
                <w:w w:val="90"/>
              </w:rPr>
              <w:t>Day 0</w:t>
            </w:r>
          </w:p>
        </w:tc>
        <w:tc>
          <w:tcPr>
            <w:tcW w:w="2440" w:type="dxa"/>
            <w:vAlign w:val="bottom"/>
            <w:tcBorders>
              <w:top w:val="single" w:sz="8" w:color="auto"/>
              <w:right w:val="single" w:sz="8" w:color="auto"/>
            </w:tcBorders>
          </w:tcPr>
          <w:p>
            <w:pPr>
              <w:jc w:val="right"/>
              <w:ind w:right="96"/>
              <w:spacing w:after="0" w:line="139" w:lineRule="exact"/>
              <w:rPr>
                <w:sz w:val="20"/>
                <w:szCs w:val="20"/>
                <w:color w:val="auto"/>
              </w:rPr>
            </w:pPr>
            <w:r>
              <w:rPr>
                <w:rFonts w:ascii="Arial" w:cs="Arial" w:eastAsia="Arial" w:hAnsi="Arial"/>
                <w:sz w:val="14"/>
                <w:szCs w:val="14"/>
                <w:b w:val="1"/>
                <w:bCs w:val="1"/>
                <w:color w:val="auto"/>
              </w:rPr>
              <w:t>1 Month</w:t>
            </w:r>
          </w:p>
        </w:tc>
        <w:tc>
          <w:tcPr>
            <w:tcW w:w="2620" w:type="dxa"/>
            <w:vAlign w:val="bottom"/>
            <w:tcBorders>
              <w:top w:val="single" w:sz="8" w:color="auto"/>
              <w:right w:val="single" w:sz="8" w:color="auto"/>
            </w:tcBorders>
          </w:tcPr>
          <w:p>
            <w:pPr>
              <w:ind w:left="174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54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(Infusion of AVR-RD-01)</w:t>
            </w:r>
          </w:p>
        </w:tc>
        <w:tc>
          <w:tcPr>
            <w:tcW w:w="244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10"/>
        </w:trPr>
        <w:tc>
          <w:tcPr>
            <w:tcW w:w="25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Patient 1</w:t>
            </w:r>
          </w:p>
        </w:tc>
        <w:tc>
          <w:tcPr>
            <w:tcW w:w="3440" w:type="dxa"/>
            <w:vAlign w:val="bottom"/>
            <w:tcBorders>
              <w:bottom w:val="single" w:sz="8" w:color="auto"/>
              <w:right w:val="single" w:sz="8" w:color="auto"/>
            </w:tcBorders>
            <w:shd w:val="clear" w:color="auto" w:fill="CCEEFF"/>
          </w:tcPr>
          <w:p>
            <w:pPr>
              <w:jc w:val="center"/>
              <w:ind w:left="1617"/>
              <w:spacing w:after="0"/>
              <w:rPr>
                <w:sz w:val="20"/>
                <w:szCs w:val="20"/>
                <w:color w:val="auto"/>
              </w:rPr>
            </w:pPr>
            <w:r>
              <w:rPr>
                <w:rFonts w:ascii="Arial" w:cs="Arial" w:eastAsia="Arial" w:hAnsi="Arial"/>
                <w:sz w:val="18"/>
                <w:szCs w:val="18"/>
                <w:color w:val="auto"/>
                <w:w w:val="87"/>
              </w:rPr>
              <w:t>0.1</w:t>
            </w:r>
          </w:p>
        </w:tc>
        <w:tc>
          <w:tcPr>
            <w:tcW w:w="244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5.1</w:t>
            </w:r>
          </w:p>
        </w:tc>
        <w:tc>
          <w:tcPr>
            <w:tcW w:w="2620" w:type="dxa"/>
            <w:vAlign w:val="bottom"/>
            <w:tcBorders>
              <w:bottom w:val="single" w:sz="8" w:color="auto"/>
              <w:right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5.8</w:t>
            </w:r>
          </w:p>
        </w:tc>
      </w:tr>
      <w:tr>
        <w:trPr>
          <w:trHeight w:val="210"/>
        </w:trPr>
        <w:tc>
          <w:tcPr>
            <w:tcW w:w="25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Patient 2</w:t>
            </w:r>
          </w:p>
        </w:tc>
        <w:tc>
          <w:tcPr>
            <w:tcW w:w="3440" w:type="dxa"/>
            <w:vAlign w:val="bottom"/>
            <w:tcBorders>
              <w:bottom w:val="single" w:sz="8" w:color="auto"/>
              <w:right w:val="single" w:sz="8" w:color="auto"/>
            </w:tcBorders>
          </w:tcPr>
          <w:p>
            <w:pPr>
              <w:jc w:val="center"/>
              <w:ind w:left="1617"/>
              <w:spacing w:after="0"/>
              <w:rPr>
                <w:sz w:val="20"/>
                <w:szCs w:val="20"/>
                <w:color w:val="auto"/>
              </w:rPr>
            </w:pPr>
            <w:r>
              <w:rPr>
                <w:rFonts w:ascii="Arial" w:cs="Arial" w:eastAsia="Arial" w:hAnsi="Arial"/>
                <w:sz w:val="18"/>
                <w:szCs w:val="18"/>
                <w:color w:val="auto"/>
                <w:w w:val="87"/>
              </w:rPr>
              <w:t>0.2</w:t>
            </w:r>
          </w:p>
        </w:tc>
        <w:tc>
          <w:tcPr>
            <w:tcW w:w="24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8"/>
                <w:szCs w:val="18"/>
                <w:color w:val="auto"/>
              </w:rPr>
              <w:t>4.4</w:t>
            </w:r>
          </w:p>
        </w:tc>
        <w:tc>
          <w:tcPr>
            <w:tcW w:w="2620" w:type="dxa"/>
            <w:vAlign w:val="bottom"/>
            <w:tcBorders>
              <w:bottom w:val="single" w:sz="8" w:color="auto"/>
              <w:right w:val="single" w:sz="8" w:color="auto"/>
            </w:tcBorders>
          </w:tcPr>
          <w:p>
            <w:pPr>
              <w:jc w:val="center"/>
              <w:ind w:left="1556"/>
              <w:spacing w:after="0"/>
              <w:rPr>
                <w:sz w:val="20"/>
                <w:szCs w:val="20"/>
                <w:color w:val="auto"/>
              </w:rPr>
            </w:pPr>
            <w:r>
              <w:rPr>
                <w:rFonts w:ascii="Arial" w:cs="Arial" w:eastAsia="Arial" w:hAnsi="Arial"/>
                <w:sz w:val="18"/>
                <w:szCs w:val="18"/>
                <w:color w:val="auto"/>
                <w:w w:val="99"/>
              </w:rPr>
              <w:t>N/A</w:t>
            </w:r>
          </w:p>
        </w:tc>
      </w:tr>
      <w:tr>
        <w:trPr>
          <w:trHeight w:val="358"/>
        </w:trPr>
        <w:tc>
          <w:tcPr>
            <w:tcW w:w="2540" w:type="dxa"/>
            <w:vAlign w:val="bottom"/>
          </w:tcPr>
          <w:p>
            <w:pPr>
              <w:spacing w:after="0"/>
              <w:rPr>
                <w:sz w:val="24"/>
                <w:szCs w:val="24"/>
                <w:color w:val="auto"/>
              </w:rPr>
            </w:pPr>
          </w:p>
        </w:tc>
        <w:tc>
          <w:tcPr>
            <w:tcW w:w="3440" w:type="dxa"/>
            <w:vAlign w:val="bottom"/>
          </w:tcPr>
          <w:p>
            <w:pPr>
              <w:jc w:val="right"/>
              <w:ind w:right="317"/>
              <w:spacing w:after="0"/>
              <w:rPr>
                <w:sz w:val="20"/>
                <w:szCs w:val="20"/>
                <w:color w:val="auto"/>
              </w:rPr>
            </w:pPr>
            <w:r>
              <w:rPr>
                <w:rFonts w:ascii="Arial" w:cs="Arial" w:eastAsia="Arial" w:hAnsi="Arial"/>
                <w:sz w:val="18"/>
                <w:szCs w:val="18"/>
                <w:color w:val="auto"/>
              </w:rPr>
              <w:t>96</w:t>
            </w:r>
          </w:p>
        </w:tc>
        <w:tc>
          <w:tcPr>
            <w:tcW w:w="24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graph illustrates the levels of plasma AGA activity following AVR-RD-01 treatment in the two patients over various points in time.</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Expression of Functional Plasma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172085</wp:posOffset>
            </wp:positionV>
            <wp:extent cx="5076825" cy="1783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7682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VCN refers to the average number of copies of the lentiviral-vector inserted gene that are integrated into the genome of a cell. It is typically expressed as an average VCN for a cell population.</w:t>
      </w:r>
    </w:p>
    <w:p>
      <w:pPr>
        <w:spacing w:after="0" w:line="17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 xml:space="preserve">We believe the trends in average VCN observed for both AVR-RD-01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nucleated blood cells in the ongoing Phase 1 clinical trial are consistent with the trends observed in a 2017 published study on hematopoietic stem cell gene therapy for ALD in the </w:t>
      </w:r>
      <w:r>
        <w:rPr>
          <w:rFonts w:ascii="Arial" w:cs="Arial" w:eastAsia="Arial" w:hAnsi="Arial"/>
          <w:sz w:val="18"/>
          <w:szCs w:val="18"/>
          <w:i w:val="1"/>
          <w:iCs w:val="1"/>
          <w:color w:val="auto"/>
        </w:rPr>
        <w:t>New England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w:t>
      </w:r>
      <w:r>
        <w:rPr>
          <w:rFonts w:ascii="Arial" w:cs="Arial" w:eastAsia="Arial" w:hAnsi="Arial"/>
          <w:sz w:val="18"/>
          <w:szCs w:val="18"/>
          <w:color w:val="auto"/>
        </w:rPr>
        <w:t>. The table below reflects average VCN data observed for the first two patients in the ongoing Phase 1 clinical trial. Importantly, these VCNs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sufficient to generate plasma AGA enzyme activity in these two patients that was continuously above the range for males with classic Fabry disease.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Average VCN in Patients Dosed with AVR-RD-01 in the Ongoing Phase 1 Clinical Trial</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680" w:type="dxa"/>
            <w:vAlign w:val="bottom"/>
            <w:tcBorders>
              <w:top w:val="single" w:sz="8" w:color="auto"/>
              <w:bottom w:val="single" w:sz="8" w:color="auto"/>
              <w:right w:val="single" w:sz="8" w:color="auto"/>
            </w:tcBorders>
          </w:tcPr>
          <w:p>
            <w:pPr>
              <w:jc w:val="center"/>
              <w:ind w:left="3012"/>
              <w:spacing w:after="0"/>
              <w:rPr>
                <w:sz w:val="20"/>
                <w:szCs w:val="20"/>
                <w:color w:val="auto"/>
              </w:rPr>
            </w:pPr>
            <w:r>
              <w:rPr>
                <w:rFonts w:ascii="Arial" w:cs="Arial" w:eastAsia="Arial" w:hAnsi="Arial"/>
                <w:sz w:val="14"/>
                <w:szCs w:val="14"/>
                <w:b w:val="1"/>
                <w:bCs w:val="1"/>
                <w:color w:val="auto"/>
                <w:w w:val="92"/>
              </w:rPr>
              <w:t>Patient 1</w:t>
            </w:r>
          </w:p>
        </w:tc>
        <w:tc>
          <w:tcPr>
            <w:tcW w:w="37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Patient 2</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Drug Product VCN (day 2)</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1.13</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1.67</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Drug Product VCN (day 4)</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0.68</w:t>
            </w:r>
          </w:p>
        </w:tc>
        <w:tc>
          <w:tcPr>
            <w:tcW w:w="37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1.43</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0.42</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0.79</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3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0.55</w:t>
            </w:r>
          </w:p>
        </w:tc>
        <w:tc>
          <w:tcPr>
            <w:tcW w:w="37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6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0.35</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9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0.26</w:t>
            </w:r>
          </w:p>
        </w:tc>
        <w:tc>
          <w:tcPr>
            <w:tcW w:w="37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12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0.16</w:t>
            </w:r>
          </w:p>
        </w:tc>
        <w:tc>
          <w:tcPr>
            <w:tcW w:w="376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Preliminary results from this clinical trial also indicate the presence of lentiviral-vector inserted sequences in the blood and bone marrow of the first patient, which is a signal for successful transduction of the cells. An analysis of the bone marrow from the first patient in this clinical trial measured at 14 months following treatment with AVR-RD-01 suggests engraftment through this period. Because patients in this trial are also receiving ERT, it is not possible to assess the ability of the functional AGA produced by AVR-RD-01 to drive the reduction of substrates, including Gb3 levels, or reduce symptoms of the disease. Altogether, the results observed to date suggest that AVR-RD-01 is capable of delivering and integrating the gene coding for AGA into the human genome and subsequently enabling expression of active AGA enzyme in patients with Fabry disease.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Preliminary safety data from the first two enrolled patients indicate AVR-RD-01 was generally well-tolerated. As of February 26, 2018, there were 51 adverse events reported, 40 of which were assessed by the investigator as being possibly, probably or definitely related to protocol treatment or procedures. Only one event, the development of a left thigh mass, was a serious adverse event and this mass was not attributed by the investigator to protocol treatment or study procedures. In addition, investigators observed a suppression of white blood cell counts and thrombocytopenia in both patients which is an expected outcome based on the conditioning regimen. These decreases were transient and not associated with any negative long-term impact on the patients. Because this clinical trial is ongoing, safety data are preliminary and subject to change. Subsequent to February 26, 2018, we have not been notified by the investigators in this clinical trial of any suspected unexpected serious adverse events. In addition, an independent data monitoring committee has reviewed the one-month post-treatment data of each patient treated with AVR-RD-01 and has approved continuing to enroll patients in this clinical trial.</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Multinational Clinical Trial</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anticipate commencing enrollment in our open label, multinational Phase 2 clinical trial of AVR-RD-01 in 2018. We expect to enroll eight to 12 treatment-naïve males, 16 years and older, with classic Fabry disease. Our objectives for this trial are to assess safety and efficacy as measured by multiple indicators, such as Gb3 levels in various tissues, kidney and cardiac function, gastrointestinal symptoms, and pain and quality of life scores. All enrolled patients will receive a single treatment with AVR-RD-01 and will be followed for 48 weeks to measure safety and efficacy. Regulatory authorities in Australia and Canada have reviewed our trial application and have allowed the trial to proceed, and we expect to begin enrollment for this clinical trial in Australia. We plan to submit applications to allow commencement of clinical trials in the United States to the FDA and in Japan to the Pharmaceuticals and Medical Devices Agency, or PMDA, following meetings with each of these respective regulatory authorities.</w:t>
      </w:r>
    </w:p>
    <w:p>
      <w:pPr>
        <w:spacing w:after="0" w:line="16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During our Phase 2 clinical trial, we plan to transition the lentiviral vector from LV1 to our optimized proprietary LV2, which we believe will further improve the efficacy and further enhance the safety of our lentiviral-based gene therapy. Because this proposed transition only impacts the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cell transduction process, and not the actual AGA enzyme that is produced by the transduced cells, or drug product, we believe this transition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AVR-RD-01 has been evaluated in multiple mouse models. Key observations from these preclinical studies serve as the foundation for our lentiviral-based gene therapy approach:</w:t>
      </w:r>
    </w:p>
    <w:p>
      <w:pPr>
        <w:spacing w:after="0" w:line="76" w:lineRule="exact"/>
        <w:rPr>
          <w:sz w:val="20"/>
          <w:szCs w:val="20"/>
          <w:color w:val="auto"/>
        </w:rPr>
      </w:pPr>
    </w:p>
    <w:p>
      <w:pPr>
        <w:ind w:left="1060" w:right="2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AGA cross correction occurs by which AGA in plasma was taken up into cells confirming that efficacy of AGA is not limited only to the cells that receive the gene therapy.</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Lentiviral-based gene therapy targeting stem cells in mouse models of Fabry disease led to an elevated and sustained level of AGA enzyme activity in plasma.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Increased Enzyme Activity in Fabry Mouse Model 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171450</wp:posOffset>
            </wp:positionV>
            <wp:extent cx="2615565" cy="1869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155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 direct test of the ability of AVR-RD-01 to correct deficiencies in plasma AGA enzyme activity, a mouse model was created using a mouse strain in which the gene for AGA was inactivated. Human stem cells were extracted from patients with Fabry disease and the gene for AGA was added using a lentiviral vector to create AVR-RD-01. AVR-RD-01 was then introduced to the mice. Twelve weeks following administration, the levels of Gb3 in both the spleen and liver were reduced to a statistically significant extent compared to mice that received unmodified cells from patients with Fabry disease. The FDA utilizes reported statistical measures when evaluating the results of a clinical trial, including statistical significance as measured by p-value as an evidentiary standard of efficacy, to evaluate the reported evidence of a product candidate’s safety and efficacy. If not otherwise specified, we used a conventional 5% or lower p-value (p &lt; 0.05) to define statistical significance for the data presented in this prospectus. Levels in other tissues such as the heart and kidney also showed downward trends in Gb3. This study demonstrated that:</w:t>
      </w:r>
    </w:p>
    <w:p>
      <w:pPr>
        <w:spacing w:after="0" w:line="84"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lentiviral vector could efficiently transform human stem cells into a gene therapy.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AVR-RD-01 could engraft and replicate to produce progeny cells containing the AGA gene.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AGA gene was expressed and functionally active post-treatment.</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Cross correction of AGA produced by cells containing the functional AGA gene caused reductions in Gb3 in various tissues in the mouse model.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Significant Reduction in Gb3 Levels in Multiple Tissues in a NOD/SCID/Fabry Mouse Model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160020</wp:posOffset>
            </wp:positionV>
            <wp:extent cx="2718435" cy="21012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184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in a peer reviewed publication, overexpression of functional AGA with levels as high as 3,000 times the normal range in the mouse model over an 18 month period was not linked to toxicity or adverse effects as determined by long-term animal studies, implying a wide therapeutic window.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AVR-RD-02, Our Gene Therapy for Gaucher Disease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developing AVR-RD-02 for the treatment of Type 1 Gaucher disease. We will manufacture AVR-RD-02 from 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 following our filing of a Clinical Trial Application, or CTA, in Canada.</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Gaucher disease is a rare, autosomal recessive, lysosomal storage disease caused by a hereditary deficiency of functional GCase, an enzyme responsible for degrading glucocerebroside, a cell membrane building block, into glucose and lipids within lysosomes of cells. In patients with Gaucher disease,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Gaucher disease is one of the most common lysosomal storage diseases. It is diagnosed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Type 1 Gaucher disease does not have manifestations of central nervous system symptoms.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long-term ERT for Gaucher disease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at least one of these target goals. In addition, up to 15% of patients with Gaucher disease develop antibodies that limit the efficacy of the ERT.</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4"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$250,000. In 2017, Genzyme’s Cerezyme and Cerdelga together generated worldwide net sales of over $1.0 billion and Shire’s VPRIV generated worldwide net sales of approximately $350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 xml:space="preserve">We are developing AVR-RD-02 to potentially cure patients with Gaucher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We plan to initiate a Phase 1/2 clinical trial of AVR-RD-02 in patients with Type 1 Gaucher disease and to begin dosing patients in this clinical trial in 2019. We plan to file a CTA in Canada for this trial in the second half of 2018. Our initial clinical trial will be an adaptive trial that will include both treatment-naïve patients and patients that are currently stable on ERT. We intend to enroll 8 to 16 patients, between the ages of 16 and 35, with Type 1 Gaucher disease. Patients currently prescribed ERT will cease treatment throughout the clinical trial. All enrolled patients will receive a single treatment with AVR-RD-02 and will be followed for 52 weeks to measure safety and efficacy.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auto"/>
        </w:rPr>
        <w:t xml:space="preserve">Molecular Therapy </w:t>
      </w:r>
      <w:r>
        <w:rPr>
          <w:rFonts w:ascii="Arial" w:cs="Arial" w:eastAsia="Arial" w:hAnsi="Arial"/>
          <w:sz w:val="18"/>
          <w:szCs w:val="18"/>
          <w:color w:val="auto"/>
        </w:rPr>
        <w:t>which concluded that, in a Gaucher disease mouse model, a lentiviral-based gene therapy containing the gene for GCase could</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the development and reverse clinically relevant signs of the disease.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preclinical studies, a mouse model of Gaucher disease exhibited increased glucocerebroside levels in the clinically-relevant tissues, the bone marrow, spleen and liver, and mimicked many of the same symptoms seen in patients such as an enlarged spleen. These preclinical studies assessed glucocerebroside levels, Gaucher cell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infiltration, and spleen volume in the mouse model over 20 weeks following treatment with AVR-RD-02. When mice with established disease were treated with AVR-RD-02, glucocerebroside levels decreased and symptoms such as an enlarged spleen were reversed within 20 weeks. Over this period, increased enzyme levels were observed in the bone marrow, spleen and liver in the mouse model. In addition, the mice that were treated with AVR-RD-02 prior to manifesting symptoms did not develop symptoms of the disease. These data support the potential efficacy of AVR-RD-02 to prevent, as well as reverse, symptoms in patients with Gaucher disease.</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AVR-RD-02 Leads to a Significant Reduction in Glucocerebroside Levels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3755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306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Lentiviral-based Gene Therapy Leads to a Significant Reduction in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109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306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24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Pompe disease is a rare, autosomal recessive lysosomal storage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Late-onset patients experience progressive difficulty walking and respiratory decline. While life expectancy can vary, Pompe disease is a life-limiting disease that can result in death due to complications from respiratory failure.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Pompe disease is currently treated with ERT delivered by bi-weekly intravenous infusion. The only approved therapy for Pompe disease is Lumizyme (known as Myozyme outside of the United States), marketed by Sanofi Genzyme, which generated worldwide net sales of over $950 million in 2017. The annual average cost to the healthcare system per patient prescribed Lumizyme in the United States is approximately $500,000.</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are in early preclinical development of AVR-RD-03 to potentially cure patients with late-onset Pompe disease. We are developing AVR-RD-03 to be a gene therapy product containing a codon-optimized human gene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for GAA attached to a GILT tag designed to increase uptake of GAA in muscle cells. AVR-RD-03 will target patients with late onset Pompe disease, which represent the majority of patients with this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these published preclinical results from a mouse model of Pompe disease, treatment utilizing a lentiviral vector encoding GAA led to increased levels of active enzyme across multiple organs and tissues, including clinically relevant tissues such as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88"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We believe we can use a GILT tag to address the known challenges of skeletal muscle uptake in patients with Pompe disease. Attachment of a GILT tag to a particular protein can increase the effective uptake of the protein into target tissues. We are designing AVR-RD-03 to use a GILT tag to facilitate GAA uptake into cells and thereby reduce the therapeutically required amount of GAA produced by a patient’s cells following gene therapy treatment.</w:t>
      </w:r>
    </w:p>
    <w:p>
      <w:pPr>
        <w:spacing w:after="0" w:line="18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GILT-tag Version of Recombinant Human (rh)GAA Impact on Levels of Stored Glycogen Compared to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160020</wp:posOffset>
            </wp:positionV>
            <wp:extent cx="4853940" cy="2298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539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developing AVR-RD-04 for the treatment of patients with cystinosis. We will manufacture AVR-RD-04 from hematopoietic stem cells that are first extracted from the patient, modified to add the gene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encodes for cystinosin, and then infused into the patient. In a planned academic sponsored Phase 1/2 clinical trial, we expect the first patient will be dosed in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Cystinosis is a rare, genetic, autosomal recessive, lysosomal storage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The annual average cost to the healthcare system per patient prescribed Procysbi in the United States is between approximately $625,000 and $750,000.</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 planned Phase 1/2 clinical trial of AVR-RD-04 that will be conducted by our collaborators at the University of California, San Diego, six patients with cystinosis who are currently being treated with cysteamine will be enrolled. Cystine levels in tissues such as white blood cells and skin will be followed in these patients as well as cystine crystal counts in the eye. Clinical parameters such as kidney function, muscle strength, bone density, and endocrine function will also be followed with the intent of identifying appropriate parameters to inform future clinical development. We expect that patients enrolled in this trial will undergo a more extensive conditioning regimen instead of the milder conditioning regimen we use for our other target indications. Our collaborators plan to submit an investigational new drug application, or IND, in the U.S. prior to commencing this planned clinical trial.</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order to mimic the human disease, the mouse model for cystinosis has the gene for cystinosin disrupted, resulting in the inability of the cystinosin protein to transport cystine out of the lysosomes. This ultimately results in the accumulation of cystine in all tissues similar to that seen in patients with cystinosis. The ability of mouse stem cells modified with a lentiviral vector containing the gene for human cystinosin to treat cystinosis was then tested in the affected mice.</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Introduction of AVR-RD-04 into the diseased mice was observed to significantly lower cystine levels in tissues such as the liver, spleen and, in male mice, the kidney. These lower levels persisted until the end of the experiment at eight months. AVR-RD-04 treatment was also associated with potentially improved kidney function in male mice, thus addressing an essential clinical need in patients with cystinosis.</w:t>
      </w:r>
    </w:p>
    <w:p>
      <w:pPr>
        <w:spacing w:after="0" w:line="37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AVR-RD-04 Leads to Lower Cystine Levels in Multiple Tissues in a Mouse Model of Cystinosis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172085</wp:posOffset>
            </wp:positionV>
            <wp:extent cx="3164205" cy="1929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642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 separate experiment in this cystinosis mouse model, lentiviral-marked hematopoietic stem cell transplant using normal mouse stem cells led to the reduction of cystine crystals in the cornea, a clinically significant tissue in patients with cystinsosis. In this cystinosis mouse model, affected mice develop eye disease similar to humans, including crystal deposits in the cornea, central corneal opacification, loss of corneal cellular architecture and eventually a scarred, shrunken eye with no function. Published results from this study demonstrate that abundant hematopoetic stem cell-derived macrophages migrated into the cornea and provided functional cystinosin-bearing lysosomes to the corneal cells. The images below reflect the elimination of cystine crystals in the cornea of the mice following engraftment of the modified allogeneic stem cells. As the level of allogeneic stem cell engraftment increased, greater elimination of the cystine crystals was observed. This indicates that stem cells can migrate to the cornea and cross-correct corneal cells. This result demonstrates that it is possible to correct for the defective cystinosin gene in the eye indirectly through expression of the gene in hematopoietic cells.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Transplantation of Allogeneic Hematopoietic Stem Cells Results in Reduction of</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Cystine Crystals in Corneas of Cystinosis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65700" cy="16554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65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will have capacity to generate sufficient quantities to meet our expected commercial needs.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To optimize production of our gene therapies, we are moving our cell processing to an automated, closed system using all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start the process to produce a patient’s gene therapy with the mobilization of a patient’s stem cells from the bone marrow to the blood stream and isolate them using a standard procedure used in stem cell transplants. We then treat these cells with a lentiviral vector to insert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w:t>
      </w:r>
    </w:p>
    <w:p>
      <w:pPr>
        <w:spacing w:after="0" w:line="17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is planned to be completed in an outpatient setting.</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After the conditioning regimen is complete, the genetically-modified stem cells are infused into the patient by intravenous administration in an outpatient setting. After infusion, these cells engraft into the bone marrow, replicate and differentiate into various types of blood cells that will distribute throughout the body. These widely distributed cells lead to sustained expression of the desired therapeutic enzyme or other protein. The sustained expression of the functional enzyme or protein is a direct substitute for the protein currently delivered by ERTs, which require periodic infusions.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1"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75" w:lineRule="exact"/>
        <w:rPr>
          <w:rFonts w:ascii="Arial" w:cs="Arial" w:eastAsia="Arial" w:hAnsi="Arial"/>
          <w:sz w:val="18"/>
          <w:szCs w:val="18"/>
          <w:color w:val="auto"/>
        </w:rPr>
      </w:pPr>
    </w:p>
    <w:p>
      <w:pPr>
        <w:jc w:val="both"/>
        <w:ind w:left="1060" w:right="200" w:hanging="424"/>
        <w:spacing w:after="0" w:line="312"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a closed, automated manufacturing system, production of current good manufacturing practices, or CGMP, materials and cryopreservation.</w:t>
      </w:r>
    </w:p>
    <w:p>
      <w:pPr>
        <w:spacing w:after="0" w:line="52" w:lineRule="exact"/>
        <w:rPr>
          <w:rFonts w:ascii="Arial" w:cs="Arial" w:eastAsia="Arial" w:hAnsi="Arial"/>
          <w:sz w:val="16"/>
          <w:szCs w:val="16"/>
          <w:color w:val="auto"/>
        </w:rPr>
      </w:pPr>
    </w:p>
    <w:p>
      <w:pPr>
        <w:ind w:left="1060" w:hanging="424"/>
        <w:spacing w:after="0" w:line="286"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70" w:lineRule="exact"/>
        <w:rPr>
          <w:rFonts w:ascii="Arial" w:cs="Arial" w:eastAsia="Arial" w:hAnsi="Arial"/>
          <w:sz w:val="17"/>
          <w:szCs w:val="17"/>
          <w:color w:val="auto"/>
        </w:rPr>
      </w:pPr>
    </w:p>
    <w:p>
      <w:pPr>
        <w:ind w:left="1060" w:right="180" w:hanging="424"/>
        <w:spacing w:after="0" w:line="259"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developing therapies to treat rare diseases and expect to pursue orphan drug designation in the United States and similar protection outside of the United States.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3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professors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our in-licensed patent portfolio relating to certain of our gene therapies included the following:</w:t>
      </w:r>
    </w:p>
    <w:p>
      <w:pPr>
        <w:spacing w:after="0" w:line="131" w:lineRule="exact"/>
        <w:rPr>
          <w:sz w:val="20"/>
          <w:szCs w:val="20"/>
          <w:color w:val="auto"/>
        </w:rPr>
      </w:pPr>
    </w:p>
    <w:p>
      <w:pPr>
        <w:ind w:left="1060" w:right="20" w:hanging="424"/>
        <w:spacing w:after="0" w:line="279"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AVR-RD-03</w:t>
      </w:r>
      <w:r>
        <w:rPr>
          <w:rFonts w:ascii="Arial" w:cs="Arial" w:eastAsia="Arial" w:hAnsi="Arial"/>
          <w:sz w:val="17"/>
          <w:szCs w:val="17"/>
          <w:color w:val="auto"/>
        </w:rPr>
        <w:t>: two United States (U.S.) patents, projected to expire in 2022 and 2023, and one U.S. patent application, which if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76"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AVR-RD-04</w:t>
      </w:r>
      <w:r>
        <w:rPr>
          <w:rFonts w:ascii="Arial" w:cs="Arial" w:eastAsia="Arial" w:hAnsi="Arial"/>
          <w:sz w:val="18"/>
          <w:szCs w:val="18"/>
          <w:color w:val="auto"/>
        </w:rPr>
        <w:t>: one international patent (PCT) application, which, if pursued and granted in the United States, would be projected to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2038, containing claims directed to hematopoietic stem cells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expressing cystinosin and methods of using the same for the treatment of cystinosis. This patent application is licensed to us by GenStem Therapeutics, and GenStem obtained its rights from the University of California, San Diego.</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 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 digit percentage of our royalty payments and regulatory milestone payments, up to a maximum amount of C$500,000 in any calendar year.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January 2017, we entered into an exclusive license agreement with Dr. Stefan Karlsson and Maria Dahl, affiliates of Lund University, pursuant to which Drs. Karlsson and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$550,000.</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8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consideration for the license, we paid an initial license fee in the amount of $1 million and are required to make payments upon completion of certain development milestones up to an aggregate of $16 million.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market for treatment of lysosomal storage diseases is especially large and competitive. The gene therapies we are currently developing, if approved, will face competition.</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prospectus for more information regarding competitors and competitive products.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31" w:lineRule="exact"/>
        <w:rPr>
          <w:sz w:val="20"/>
          <w:szCs w:val="20"/>
          <w:color w:val="auto"/>
        </w:rPr>
      </w:pPr>
    </w:p>
    <w:p>
      <w:pPr>
        <w:ind w:left="1060" w:right="14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75"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6"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424"/>
        <w:spacing w:after="0" w:line="259"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jc w:val="both"/>
        <w:ind w:left="200" w:right="460" w:firstLine="441"/>
        <w:spacing w:after="0" w:line="288" w:lineRule="auto"/>
        <w:rPr>
          <w:sz w:val="20"/>
          <w:szCs w:val="20"/>
          <w:color w:val="auto"/>
        </w:rPr>
      </w:pPr>
      <w:r>
        <w:rPr>
          <w:rFonts w:ascii="Arial" w:cs="Arial" w:eastAsia="Arial" w:hAnsi="Arial"/>
          <w:sz w:val="16"/>
          <w:szCs w:val="16"/>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Science Policy, or OSP, pursuant to the NIH Guidelines for Research Involving Recombinant or Synthetic Nucleic Acid Molecules, or NIH Guidelines.</w:t>
      </w:r>
    </w:p>
    <w:p>
      <w:pPr>
        <w:ind w:left="200"/>
        <w:spacing w:after="0" w:line="271" w:lineRule="auto"/>
        <w:rPr>
          <w:sz w:val="20"/>
          <w:szCs w:val="20"/>
          <w:color w:val="auto"/>
        </w:rPr>
      </w:pPr>
      <w:r>
        <w:rPr>
          <w:rFonts w:ascii="Arial" w:cs="Arial" w:eastAsia="Arial" w:hAnsi="Arial"/>
          <w:sz w:val="17"/>
          <w:szCs w:val="17"/>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OSP will notify the FDA of the RAC’s decision regarding the necessity for full public review of a gene therapy protocol. RAC proceedings and reports are posted to the OSP web site and may be accessed by the public.</w:t>
      </w:r>
    </w:p>
    <w:p>
      <w:pPr>
        <w:spacing w:after="0" w:line="17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31" w:lineRule="exact"/>
        <w:rPr>
          <w:sz w:val="20"/>
          <w:szCs w:val="20"/>
          <w:color w:val="auto"/>
        </w:rPr>
      </w:pPr>
    </w:p>
    <w:p>
      <w:pPr>
        <w:ind w:left="1060" w:right="60" w:hanging="424"/>
        <w:spacing w:after="0" w:line="264"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at geographically dispersed clinical study sites. These clinical studies are intended to establish the overall risk/benefit ratio of the product and provide an adequate basis for approval and product labeling.</w:t>
      </w:r>
    </w:p>
    <w:p>
      <w:pPr>
        <w:spacing w:after="0" w:line="181" w:lineRule="exact"/>
        <w:rPr>
          <w:sz w:val="20"/>
          <w:szCs w:val="20"/>
          <w:color w:val="auto"/>
        </w:rPr>
      </w:pPr>
    </w:p>
    <w:p>
      <w:pPr>
        <w:ind w:left="200" w:right="440"/>
        <w:spacing w:after="0" w:line="257" w:lineRule="auto"/>
        <w:rPr>
          <w:sz w:val="20"/>
          <w:szCs w:val="20"/>
          <w:color w:val="auto"/>
        </w:rPr>
      </w:pPr>
      <w:r>
        <w:rPr>
          <w:rFonts w:ascii="Arial" w:cs="Arial" w:eastAsia="Arial" w:hAnsi="Arial"/>
          <w:sz w:val="18"/>
          <w:szCs w:val="18"/>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to assure the safe use of the biological product. If the FDA concludes a REMS is needed, the sponsor of the BLA must submit a proposed REMS; the FDA will not approve the BLA without a REMS, if required.</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2"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5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FDA’s other expedited development programs, RMAT designation does not change the standards for approval but may expedite the development or approval process.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6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Patient Protection and Affordable Care Act, or Affordable Care Act or ACA or PPACA, signed into law on March 23, 2010, includes a subtitle called the Biologics Price Competition and Innovation Act of 2009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0" w:lineRule="auto"/>
        <w:rPr>
          <w:sz w:val="20"/>
          <w:szCs w:val="20"/>
          <w:color w:val="auto"/>
        </w:rPr>
      </w:pPr>
      <w:r>
        <w:rPr>
          <w:rFonts w:ascii="Arial" w:cs="Arial" w:eastAsia="Arial" w:hAnsi="Arial"/>
          <w:sz w:val="17"/>
          <w:szCs w:val="17"/>
          <w:color w:val="auto"/>
        </w:rPr>
        <w:t>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3"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7"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ind w:left="1060" w:right="20" w:hanging="424"/>
        <w:spacing w:after="0" w:line="291" w:lineRule="auto"/>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 statute;</w:t>
      </w:r>
    </w:p>
    <w:p>
      <w:pPr>
        <w:spacing w:after="0" w:line="72"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penalties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91"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individuals have the ability to bring actions on behalf of the U.S. government under the federal False Claims Act as well as under the false claims laws of several states.</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payers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and established the Center for Medicare Innovation at the CMS to test innovative payment and service delivery models to lower Medicare and Medicaid spending.</w:t>
      </w:r>
    </w:p>
    <w:p>
      <w:pPr>
        <w:spacing w:after="0" w:line="18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Since its enactment, there have been a number of significant changes to the Affordable Care Act. On October 13, 2017, President Trump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will likely consider other legislation to replace or modify elements of the Affordable Care Act. We continue to evaluate the effect that the Affordable Care Act and its possible repeal, replacement or further modification could have on our business. It is uncertain the extent to which any such changes may impact our business or financial condition.</w:t>
      </w:r>
    </w:p>
    <w:p>
      <w:pPr>
        <w:spacing w:after="0" w:line="16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product may be separate from the process for setting the reimbursement rate that the payer will pay for the product. Third-party payers may limit coverage to specific products on an approved list, or formulary, which might not include all of the FDA-approved products for a particular indication. A decision by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third-party payer not to cover our gene therapies could reduce physician utilization of our products once approved and have a material adverse effect on our sales, results of operations and financial condition. Moreover, a payer’s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In addition,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payer separately and will be a time-consuming process.</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payers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Our corporate headquarters are located in Cambridge, Massachusetts. Our current leased facility encompasses approximately 4,580 square feet of office and laboratory space initially, with the ability to expand up to 11,218 square feet during 2018. The lease for this facility expires in January 2023.</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As of March 31, 2018, we had 24 full-time employees, 14 of whom have Ph.D. or M.D. degrees. Of these full-time employees, 16 employees are engaged in research and development activities and eight employees are engaged in finance, legal, human resources, facilities and general management. We have no collective bargaining agreements with our employees and we have not experienced any work stoppages. We consider our relations with our employees to be good.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March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left="672"/>
              <w:spacing w:after="0"/>
              <w:rPr>
                <w:sz w:val="20"/>
                <w:szCs w:val="20"/>
                <w:color w:val="auto"/>
              </w:rPr>
            </w:pPr>
            <w:r>
              <w:rPr>
                <w:rFonts w:ascii="Arial" w:cs="Arial" w:eastAsia="Arial" w:hAnsi="Arial"/>
                <w:sz w:val="14"/>
                <w:szCs w:val="14"/>
                <w:b w:val="1"/>
                <w:bCs w:val="1"/>
                <w:color w:val="auto"/>
                <w:w w:val="98"/>
              </w:rPr>
              <w:t>AGE</w:t>
            </w:r>
          </w:p>
        </w:tc>
        <w:tc>
          <w:tcPr>
            <w:tcW w:w="6500" w:type="dxa"/>
            <w:vAlign w:val="bottom"/>
            <w:gridSpan w:val="3"/>
          </w:tcPr>
          <w:p>
            <w:pPr>
              <w:ind w:left="3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Geoff MacKay</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51</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60</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Nerissa Kreher, M.D.</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45</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Bruce Booth, D.Phil.</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43</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Clark</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Annalisa Jenkins, M.B.B.S., F.R.C.P.</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52</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65</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Scott Requadt</w:t>
            </w:r>
          </w:p>
        </w:tc>
        <w:tc>
          <w:tcPr>
            <w:tcW w:w="110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50</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Resnick, M.D.</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42</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Geoff MacKay </w:t>
      </w:r>
      <w:r>
        <w:rPr>
          <w:rFonts w:ascii="Arial" w:cs="Arial" w:eastAsia="Arial" w:hAnsi="Arial"/>
          <w:sz w:val="16"/>
          <w:szCs w:val="16"/>
          <w:color w:val="auto"/>
        </w:rPr>
        <w:t>is our co-founder and has been our chief executive officer and director since November 2015. From April 2015 to June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w:t>
      </w:r>
    </w:p>
    <w:p>
      <w:pPr>
        <w:spacing w:after="0" w:line="2"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Mr. MacKay has served on the board of directors of Replicel, Inc., a regenerative medicine company, since 2016 and previously served as chairman of the board of MassBio, chairman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because of his executive experience in our industry.</w:t>
      </w:r>
    </w:p>
    <w:p>
      <w:pPr>
        <w:spacing w:after="0" w:line="17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Katina Dorton </w:t>
      </w:r>
      <w:r>
        <w:rPr>
          <w:rFonts w:ascii="Arial" w:cs="Arial" w:eastAsia="Arial" w:hAnsi="Arial"/>
          <w:sz w:val="17"/>
          <w:szCs w:val="17"/>
          <w:color w:val="auto"/>
        </w:rPr>
        <w:t>has been our chief financial officer since August 2017. Prior to joining our company, she served as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Immatics GmbH, a biotechnology company, from 2015 to 2017. Ms. Dorton also served as the principle owner of Doric LLC, an advisory firm, from 2011 to 2015, where she provided consulting services to public and private companies in the areas of mergers and acquisitions and strategic finance. Prior to that, she served as managing director at Needham &amp; Co., managing director-investment banking at Morgan Stanley and as an attorney in private practice at Sullivan &amp; Cromwell. Ms. Dorton serves on the board of directors of US Ecology, Inc. Ms. Dorton holds a J.D. from the University of Virginia School of Law, an M.B.A. from George Washington University, and a B.A. from Duke University.</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Nerissa Kreher, M.D. </w:t>
      </w:r>
      <w:r>
        <w:rPr>
          <w:rFonts w:ascii="Arial" w:cs="Arial" w:eastAsia="Arial" w:hAnsi="Arial"/>
          <w:sz w:val="16"/>
          <w:szCs w:val="16"/>
          <w:color w:val="auto"/>
        </w:rPr>
        <w:t>has been our chief medical officer since October 2016. Prior to joining our company, Dr. Kreher was the global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and medical affairs at Zafgen, Inc. from March 2015 to July 2016. Prior to that, from April 2013 to March 2015, Dr. Kreher held roles of increasing responsibility at Shire HGT, most recently as global clinical development lead. From February 2012 to April 2013, Dr. Kreher served as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executive medical director, metabolic disorders at Alexion Pharmaceuticals, and as senior medical director, medical affairs at Enobia Pharma from January 2011 to June 2012. Dr. Kreher also served as medical director at Genzyme from April 2008 to January 2011 and as director, medical affairs at EMD Serono from April 2006 to April 2008. Dr. Kreher received a B.S. from the University of North Carolina, an M.D. from East Carolina University School of Medicine, an M.S. in Clinical Research from Indiana University and an Executive M.B.A. from Northeastern University.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Bruce Booth, D.Phil. </w:t>
      </w:r>
      <w:r>
        <w:rPr>
          <w:rFonts w:ascii="Arial" w:cs="Arial" w:eastAsia="Arial" w:hAnsi="Arial"/>
          <w:sz w:val="16"/>
          <w:szCs w:val="16"/>
          <w:color w:val="auto"/>
        </w:rPr>
        <w:t>has served as the chairman of our board of directors since February 2016. Dr. Booth joined Atlas Venture in 2005,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serves on the board of several privately held companies, as well as on the board of miRagen Therapeutics, Inc. (Nasdaq: MGEN), Zafgen, Inc. (Nasdaq: ZFGN) and Unum Therapeutics Inc. (Nasdaq: UMRX). Dr. Booth also serves on UCB Pharma’s New Medicines Scientific Advisory Board and participates on several other advisory boards for pharmaceutical companies and academic medical centers.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Mr. Clark currently serves as an operating partner within Clarus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Previously, Mr. Clark served as the chief executive officer and head of North American commercial operations at Genentech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served as general manager of Novartis Canada, overseeing all of the company’s country operations, and as chief operating officer for Novartis United Kingdom. Mr. Clark worked in executive positions in sales and marketing for Sanofi and Ivax in the United Kingdom, France and Eastern Europe. Mr. Clark began his career at Searle, where he held management positions in both sales and marketing. Mr. Clark also serves on the board of directors of Agios Pharmaceuticals, Inc., (Nasdaq: AGIO), Corvus Pharmaceuticals, Inc., (Nasdaq: CVRS), and Shire plc, (Nasdaq: SHPG). He has served on the board of directors of the Biotechnology Industry Organization (BIO) since 2009 as well as on the boards of TerraVia and the Gladstone Foundation and as a member of the Federal Reserve Bank of San Francisco’s economic advisory council. Mr. Clark received a B.S and honorary doctorate in biological sciences from Southampton University in the United Kingdom. We believe Mr. Clark is qualified to serve on our board because of his industry experience in the field in which we operate and his executive experience with companies in our industry.</w:t>
      </w:r>
    </w:p>
    <w:p>
      <w:pPr>
        <w:spacing w:after="0" w:line="175"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Annalisa Jenkins, M.B.B.C., F.R.C.P. </w:t>
      </w:r>
      <w:r>
        <w:rPr>
          <w:rFonts w:ascii="Arial" w:cs="Arial" w:eastAsia="Arial" w:hAnsi="Arial"/>
          <w:sz w:val="16"/>
          <w:szCs w:val="16"/>
          <w:color w:val="auto"/>
        </w:rPr>
        <w:t>has served as a member of our board of directors since March 2018. Dr. Jenkins has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PlaqueTec Ltd. since November 2017 and was previously the chief executive officer and a member of the board of directors of Dimension Therapeutics, Inc., from September 2014 until its sale to Ultragnyx Pharmaceutical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 a biopharmaceutical company, where, from July 2009 to June 2011, she was a senior vice president and head of global medical affairs.</w:t>
      </w:r>
    </w:p>
    <w:p>
      <w:pPr>
        <w:spacing w:after="0" w:line="35"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Dr. Jenkins is currently a committee member of the science board to the FDA, which advises FDA leadership on complex scientific and technical issues. Dr. Jenkins serves on the board of directors of Ardelyx, Inc. (Nasdaq: ARDX), Silence Therapeutics (Nasdaq: SLN), Oncimmune (Nasdaq: ONC) and a number of privately held biotech and life science companies.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based on her industry experience in the field in which we operate and her executive experience with companies in our industry.</w:t>
      </w:r>
    </w:p>
    <w:p>
      <w:pPr>
        <w:spacing w:after="0" w:line="17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Christopher Paige, Ph.D. </w:t>
      </w:r>
      <w:r>
        <w:rPr>
          <w:rFonts w:ascii="Arial" w:cs="Arial" w:eastAsia="Arial" w:hAnsi="Arial"/>
          <w:sz w:val="16"/>
          <w:szCs w:val="16"/>
          <w:color w:val="auto"/>
        </w:rPr>
        <w:t>has served as a member of our board of directors since January 2016. Dr. Paige is a professor in the departments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biophysics and immunology at the University of Toronto. In 1997, he served as the vice president, research of the University Health Network and now serves as senior scientist.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earned a B.S. in biology at the University of Notre Dame in 1974 and a Ph.D. in immunology at the Sloan-Kettering Division of Cornell University Graduate School of Medical Sciences in 1979. We believe Dr. Paige is qualified to serve on our board because of his scientific and industry experience in the field in which we operate.</w:t>
      </w:r>
    </w:p>
    <w:p>
      <w:pPr>
        <w:spacing w:after="0" w:line="16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b w:val="1"/>
          <w:bCs w:val="1"/>
          <w:i w:val="1"/>
          <w:iCs w:val="1"/>
          <w:color w:val="auto"/>
        </w:rPr>
        <w:t xml:space="preserve">Scott Requadt </w:t>
      </w:r>
      <w:r>
        <w:rPr>
          <w:rFonts w:ascii="Arial" w:cs="Arial" w:eastAsia="Arial" w:hAnsi="Arial"/>
          <w:sz w:val="16"/>
          <w:szCs w:val="16"/>
          <w:color w:val="auto"/>
        </w:rPr>
        <w:t>has served as a member of our board of directors since July 2016. Mr. Requadt is currently a managing director at Clarus,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investment fund. Mr. Requadt has 17 years of operating and investment experience in the pharmaceutical industry. Prior to joining Clarus in 2005, Mr. Requadt was Director, Business Development of TransForm Pharmaceuticals, and previously practiced for several years as a mergers and acquisitions attorney at the New York City-based law firm of Davis Polk &amp; Wardwell. Before that, Mr. Requadt was a law clerk for a senior judge at the Supreme Court of Canada. Mr. Requadt holds a B.Com (Joint Honors, Economics &amp; Finance) from McGill University, an LL.B from University of Toronto and an M.B.A. from Harvard Business School (Baker Scholar). Mr. Requadt has been involved in multiple Clarus investments spanning both therapeutics and medtech, as well as several research and development risk-sharing collaborations with large pharmaceutical partners. He is currently also a director of VBI Vaccines (Nasdaq: VBIV), ESSA Pharmaceuticals (Nasdaq: EPIX) and Edev S.a.r.l. and has previously been active on the board of directors of TyRx, Catabasis (Nasdaq: CATB), Oxford Immunotec (Nasdaq: OXFD), Link Medicine and Biolex Therapeutics. We believe Mr. Requadt is qualified to serve on our board because of his industry experience as a biotech public and private company investor.</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Joshua Resnick, M.D. </w:t>
      </w:r>
      <w:r>
        <w:rPr>
          <w:rFonts w:ascii="Arial" w:cs="Arial" w:eastAsia="Arial" w:hAnsi="Arial"/>
          <w:sz w:val="17"/>
          <w:szCs w:val="17"/>
          <w:color w:val="auto"/>
        </w:rPr>
        <w:t>has served as a member of our board of directors since July 2016. Dr. Resnick has been a partner at SV Health Investors,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SV, since January 2016. Before joining SV in January 2016, Dr. Resnick was president and managing partner at MRL Ventures Fund, or MRL Ventures, an early-stage therapeutics-focused corporate venture fund that he built and managed within Merck &amp; Co from December 2014 to January 2016. Prior to MRL Ventures, Dr. Resnick was a venture partner with Atlas Venture, or Atlas, focusing on company formation, Seed and Series A investing. During his tenure at Atlas, Dr. Resnick was also the founder and chief executive officer of two start-ups in the immuno-oncology and neuro spaces. Prior to Atlas, Dr. Resnick was a partner at Prism Venture Partners, where he focused on early-stage biopharmaceutical, medical device, tools and diagnostics investments. Dr. Resnick is also an attending physician at Massachusetts General Hospital, as well as Brigham and Women’s Hospital since 2006, and an instructor in medicine at Harvard Medical School. Dr. Resnick serves on the board of directors of Kalvista Pharmaceuticals, Inc. (Nasdaq: KALV). Dr. Resnick graduated Magna Cum Laude with a B.A. from Williams College and received his M.D. from the University of Pennsylvania School of Medicine and his M.B.A. from The Wharton School of Business. We believe Dr. Resnick is qualified to serve on our board because of his industry experience as a biotech public and private company investor.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board of directors currently consists of seven members, each of whom is a member pursuant to the board composition provisions of our current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board of directors has determined that all members of the board of directors, except Mr. MacKay, are independent directors, including for purposes of the rules of The Nasdaq Global Market and the Securities and Exchange Commission, or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Mr. MacKay is not an independent director under these rules because he is an executive officer of our company.</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that will become effective upon the closing of this offering,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2019 for Class I directors, 2020 for Class II directors and 2021 for Class III directors.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 directors will be</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II directors will be</w:t>
            </w:r>
          </w:p>
        </w:tc>
        <w:tc>
          <w:tcPr>
            <w:tcW w:w="74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80"/>
              <w:spacing w:after="0"/>
              <w:rPr>
                <w:sz w:val="20"/>
                <w:szCs w:val="20"/>
                <w:color w:val="auto"/>
              </w:rPr>
            </w:pPr>
            <w:r>
              <w:rPr>
                <w:rFonts w:ascii="Arial" w:cs="Arial" w:eastAsia="Arial" w:hAnsi="Arial"/>
                <w:sz w:val="18"/>
                <w:szCs w:val="18"/>
                <w:color w:val="auto"/>
              </w:rPr>
              <w:t>Our Class III directors will be</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the number of our directors shall be fixed from time to time by a resolution of a majority of our board of directors.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Currently, the positions of chairman of the board and that of Chief Executive Officer are separated. We believe that separating these positions will allow our Chief Executive Officer to focus on our day-to-day business, while allowing our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will be the appropriate leadership structure for us following the completion of this offering.</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risks more fully discussed in the section entitled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pursuant to a charter to be adopted by our board of directors and will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of 2002, Nasdaq and SEC rules and regulations.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400"/>
        <w:spacing w:after="0"/>
        <w:tabs>
          <w:tab w:leader="none" w:pos="6420" w:val="left"/>
          <w:tab w:leader="none" w:pos="10380" w:val="left"/>
        </w:tabs>
        <w:rPr>
          <w:sz w:val="20"/>
          <w:szCs w:val="20"/>
          <w:color w:val="auto"/>
        </w:rPr>
      </w:pPr>
      <w:r>
        <w:rPr>
          <w:rFonts w:ascii="Arial" w:cs="Arial" w:eastAsia="Arial" w:hAnsi="Arial"/>
          <w:sz w:val="18"/>
          <w:szCs w:val="18"/>
          <w:color w:val="auto"/>
        </w:rPr>
        <w:t>will serve on the audit committee, which will be chaired by</w:t>
      </w:r>
      <w:r>
        <w:rPr>
          <w:sz w:val="20"/>
          <w:szCs w:val="20"/>
          <w:color w:val="auto"/>
        </w:rPr>
        <w:tab/>
      </w:r>
      <w:r>
        <w:rPr>
          <w:rFonts w:ascii="Arial" w:cs="Arial" w:eastAsia="Arial" w:hAnsi="Arial"/>
          <w:sz w:val="18"/>
          <w:szCs w:val="18"/>
          <w:color w:val="auto"/>
        </w:rPr>
        <w:t>. Our board of directors has determined that</w:t>
      </w:r>
      <w:r>
        <w:rPr>
          <w:sz w:val="20"/>
          <w:szCs w:val="20"/>
          <w:color w:val="auto"/>
        </w:rPr>
        <w:tab/>
      </w:r>
      <w:r>
        <w:rPr>
          <w:rFonts w:ascii="Arial" w:cs="Arial" w:eastAsia="Arial" w:hAnsi="Arial"/>
          <w:sz w:val="15"/>
          <w:szCs w:val="15"/>
          <w:color w:val="auto"/>
        </w:rPr>
        <w:t>are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“independent” for audit committee purposes as that term is defined in the rules of the SEC and the applicable Nasdaq rules, and each has sufficient</w:t>
      </w:r>
    </w:p>
    <w:p>
      <w:pPr>
        <w:spacing w:after="0" w:line="38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knowledge in financial and auditing matters to serve on the audit committee. Our board of directors has designated as an “audit committee financial expert,” as defined under the applicable rules of the SEC. The audit committee’s responsibilities include:</w:t>
      </w:r>
    </w:p>
    <w:p>
      <w:pPr>
        <w:spacing w:after="0" w:line="76"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800" w:hanging="424"/>
        <w:spacing w:after="0" w:line="308"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360"/>
        <w:spacing w:after="0"/>
        <w:tabs>
          <w:tab w:leader="none" w:pos="7020" w:val="left"/>
        </w:tabs>
        <w:rPr>
          <w:sz w:val="20"/>
          <w:szCs w:val="20"/>
          <w:color w:val="auto"/>
        </w:rPr>
      </w:pPr>
      <w:r>
        <w:rPr>
          <w:rFonts w:ascii="Arial" w:cs="Arial" w:eastAsia="Arial" w:hAnsi="Arial"/>
          <w:sz w:val="18"/>
          <w:szCs w:val="18"/>
          <w:color w:val="auto"/>
        </w:rPr>
        <w:t>will serve on the compensation committee, which will be chaired by</w:t>
      </w:r>
      <w:r>
        <w:rPr>
          <w:sz w:val="20"/>
          <w:szCs w:val="20"/>
          <w:color w:val="auto"/>
        </w:rPr>
        <w:tab/>
      </w:r>
      <w:r>
        <w:rPr>
          <w:rFonts w:ascii="Arial" w:cs="Arial" w:eastAsia="Arial" w:hAnsi="Arial"/>
          <w:sz w:val="16"/>
          <w:szCs w:val="16"/>
          <w:color w:val="auto"/>
        </w:rPr>
        <w:t>. Our board of directors has determined that each member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 compensation committee is “independent” as defined in the applicable Nasdaq rules. The compensation committee’s responsibilities include:</w:t>
      </w:r>
    </w:p>
    <w:p>
      <w:pPr>
        <w:spacing w:after="0" w:line="139"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annually reviewing and approving the corporate goals and objectives relevant to the compensation of our Chief Executive Officer;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based on such evaluation</w:t>
      </w:r>
    </w:p>
    <w:p>
      <w:pPr>
        <w:spacing w:after="0" w:line="34" w:lineRule="exact"/>
        <w:rPr>
          <w:rFonts w:ascii="Arial" w:cs="Arial" w:eastAsia="Arial" w:hAnsi="Arial"/>
          <w:sz w:val="17"/>
          <w:szCs w:val="17"/>
          <w:color w:val="auto"/>
        </w:rPr>
      </w:pPr>
    </w:p>
    <w:p>
      <w:pPr>
        <w:ind w:left="1060" w:right="300"/>
        <w:spacing w:after="0" w:line="261" w:lineRule="auto"/>
        <w:rPr>
          <w:rFonts w:ascii="Arial" w:cs="Arial" w:eastAsia="Arial" w:hAnsi="Arial"/>
          <w:sz w:val="17"/>
          <w:szCs w:val="17"/>
          <w:color w:val="auto"/>
        </w:rPr>
      </w:pPr>
      <w:r>
        <w:rPr>
          <w:rFonts w:ascii="Arial" w:cs="Arial" w:eastAsia="Arial" w:hAnsi="Arial"/>
          <w:sz w:val="18"/>
          <w:szCs w:val="18"/>
          <w:color w:val="auto"/>
        </w:rPr>
        <w:t>(i) determining the cash compensation of our Chief Executive Officer and (ii) determining and approving grants and awards to our Chief Executive Officer under equity-based plans;</w:t>
      </w:r>
    </w:p>
    <w:p>
      <w:pPr>
        <w:spacing w:after="0" w:line="89" w:lineRule="exact"/>
        <w:rPr>
          <w:rFonts w:ascii="Arial" w:cs="Arial" w:eastAsia="Arial" w:hAnsi="Arial"/>
          <w:sz w:val="17"/>
          <w:szCs w:val="17"/>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360"/>
        <w:spacing w:after="0"/>
        <w:tabs>
          <w:tab w:leader="none" w:pos="8740" w:val="left"/>
        </w:tabs>
        <w:rPr>
          <w:sz w:val="20"/>
          <w:szCs w:val="20"/>
          <w:color w:val="auto"/>
        </w:rPr>
      </w:pPr>
      <w:r>
        <w:rPr>
          <w:rFonts w:ascii="Arial" w:cs="Arial" w:eastAsia="Arial" w:hAnsi="Arial"/>
          <w:sz w:val="18"/>
          <w:szCs w:val="18"/>
          <w:color w:val="auto"/>
        </w:rPr>
        <w:t>will serve on the nominating and corporate governance committee, which will be chaired by</w:t>
      </w:r>
      <w:r>
        <w:rPr>
          <w:sz w:val="20"/>
          <w:szCs w:val="20"/>
          <w:color w:val="auto"/>
        </w:rPr>
        <w:tab/>
      </w:r>
      <w:r>
        <w:rPr>
          <w:rFonts w:ascii="Arial" w:cs="Arial" w:eastAsia="Arial" w:hAnsi="Arial"/>
          <w:sz w:val="16"/>
          <w:szCs w:val="16"/>
          <w:color w:val="auto"/>
        </w:rPr>
        <w:t>. Our board of directors has</w:t>
      </w:r>
    </w:p>
    <w:p>
      <w:pPr>
        <w:spacing w:after="0" w:line="23"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determined that each member of the nominating and corporate governance committee is “independent” as defined in the applicable Nasdaq rules. The nominating and corporate governance committee’s responsibilities include:</w:t>
      </w:r>
    </w:p>
    <w:p>
      <w:pPr>
        <w:spacing w:after="0" w:line="89" w:lineRule="exact"/>
        <w:rPr>
          <w:sz w:val="20"/>
          <w:szCs w:val="20"/>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1060" w:right="2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adopt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the code will be posted on the investor relations section of our website, which is located at www.avrobio.com.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24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2017. We refer to these individuals as our 2017 named executive officers. Our 2017 named executive officers are:</w:t>
      </w:r>
    </w:p>
    <w:p>
      <w:pPr>
        <w:spacing w:after="0" w:line="94"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Geoff MacKay,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Katina Dorton, our Chief Financial Officer;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Nerissa Kreher, M.D., our Chief Medical Officer.</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 Compensation plans or arrangements that we adopt following the completion of this offering may be materially different from those described in this section.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2017 named executive officers for services rendered to us in all capacities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w:t>
            </w: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AWARDS</w:t>
            </w: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6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Geoff MacKay,</w:t>
            </w:r>
          </w:p>
        </w:tc>
        <w:tc>
          <w:tcPr>
            <w:tcW w:w="16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163,200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601,506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960" w:type="dxa"/>
            <w:vAlign w:val="bottom"/>
            <w:gridSpan w:val="3"/>
          </w:tcPr>
          <w:p>
            <w:pPr>
              <w:spacing w:after="0"/>
              <w:rPr>
                <w:sz w:val="20"/>
                <w:szCs w:val="20"/>
                <w:color w:val="auto"/>
              </w:rPr>
            </w:pPr>
            <w:r>
              <w:rPr>
                <w:rFonts w:ascii="Arial" w:cs="Arial" w:eastAsia="Arial" w:hAnsi="Arial"/>
                <w:sz w:val="18"/>
                <w:szCs w:val="18"/>
                <w:color w:val="auto"/>
              </w:rPr>
              <w:t>Katina Dorton,</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r>
              <w:rPr>
                <w:rFonts w:ascii="Arial" w:cs="Arial" w:eastAsia="Arial" w:hAnsi="Arial"/>
                <w:sz w:val="15"/>
                <w:szCs w:val="15"/>
                <w:color w:val="auto"/>
              </w:rPr>
              <w:t>(3)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113,333</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37,917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286,705</w:t>
            </w:r>
          </w:p>
        </w:tc>
        <w:tc>
          <w:tcPr>
            <w:tcW w:w="2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24,856</w:t>
            </w:r>
            <w:r>
              <w:rPr>
                <w:rFonts w:ascii="Arial" w:cs="Arial" w:eastAsia="Arial" w:hAnsi="Arial"/>
                <w:sz w:val="15"/>
                <w:szCs w:val="15"/>
                <w:color w:val="auto"/>
              </w:rPr>
              <w:t>(4)</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462,811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Nerissa Kreher, M.D.,</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336,600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438,915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reflect annual bonuses earned based upon achievement of company and individual performance metrics for the year ended December 31, 2017, but paid in 2018.</w:t>
      </w:r>
    </w:p>
    <w:p>
      <w:pPr>
        <w:spacing w:after="0" w:line="1"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granted or modified in 2017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2 to our financial statements and the discussion under “Management’s Discussion and Analysis of Financial Condition and Results of Operations—Critical Accounting Policies and Significant Judgments and Estimates—Stock-based Compensation” included elsewhere in this prospectus. These amounts do not correspond to the actual value that may be recognized by the 2017 named executive officers upon vesting of applicable awards.</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Ms. Dorton commenced her employment with us in August 2017. Her annual salary and bonus were prorated to reflect her partial year of service.</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 reflects our reimbursement of travel and relocation expenses.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to the 2017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2017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2017 named executive officers is currently party to an employment agreement or other agreement or arrangement that provides for automatic or scheduled increases in base salary.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do not have a formal performance-based bonus plan but intend to adopt our Senior Executive Cash Incentive Bonus Plan in connection with this offering. Our employment agreements with our 2017 named executive officers provide that the executive may be eligible to earn an annual performance bonus of up to a target percentage of the executive’s base salary, as described further below under the section entitled “–– Employment Arrangements with our Chief Executive Officer and our 2017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typically grant stock option awards at the start of employment to each executive and our other employees. 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To date, we have not maintained a practice of granting additional equity on an annual basis, but we have retained discretion to provide additional targeted grants in certain circumstances.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 with our Chief Executive Officer and our 2017 Named Executive Officers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have entered into employment agreements with each of our 2017 named executive officers. These agreements set forth the initial terms and conditions of each executive’s employment with us, including base salary, target annual bonus opportunity and standard employee benefit plan participation. In connection with this offering, we intend to enter into an amended and restated employment agreement with each of Mr. MacKay, Dr. Kreher and Ms. Dorton.</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These employment agreements provide for “at will” employment. The material terms of these employment agreements with our 2017 named executive officers are described below. The terms “change of control,” “cause” and “good reason” referred to below are defined in each employment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Geoff MacKay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entered into an employment agreement with Geoff MacKay, our President and Chief Executive Officer, on December 22, 2016. Under the terms of the employment agreement, Mr. MacKay is entitled to receive an annual base salary of $400,000 and an annual target bonus of 40% of his annual base salary based upon our board of directors’ assessment of Mr. MacKay’s performance and our attainment of targeted goals as set by the board of directors in their sole discretion. Pursuant to his employment agreement, Mr. MacKay also entered into a Confidentiality and IP Assignment Agreement with us.</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Mr. MacKay’s employment agreement provides that, in the event that his employment is terminated by us without “cause” or by Mr. MacKay with “good reason”, subject to the execution and effectiveness of a separation agreement and release, he will be entitled to receive (i) an amount equal to 75% of his base salary, provided that Mr. MacKay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nine months. Additionally, all stock options and other stock based awards held by Mr. MacKay that would have vested if he had remained employed by us for an additional nine months following the date of termination will vest and become exercisable or non-forfeitable as of the date of termination.</w:t>
      </w:r>
    </w:p>
    <w:p>
      <w:pPr>
        <w:spacing w:after="0" w:line="16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Mr. MacKay shall accelerate and become fully exercisable or non-forfeitable immediately prior to the change in control.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Nerissa Kreher, M.D.</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entered into an employment agreement with Dr. Nerissa Kreher, our Chief Medical Officer, on November 1, 2016. Under the terms of the employment agreement, Dr. Kreher is entitled to receive an annual base salary of $330,000 and an annual target bonus of 25% of her annual base salary based upon our board of directors’ assessment of Dr. Kreher’s performance and our attainment of targeted goals as set by the board of directors in their sole discretion. Pursuant to her employment agreement, Dr. Kreher also entered into a Confidentiality and IP Assignment Agreement with us.</w:t>
      </w:r>
    </w:p>
    <w:p>
      <w:pPr>
        <w:spacing w:after="0" w:line="154"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Dr. Kreher’s employment agreement provides that, in the event that her employment is terminated by us without “cause” or by Dr. Kreher with “good reason”, subject to the execution and effectiveness of a separation agreement and release, she will be entitled to receive (i) an amount equal to 50% of her base salary, provided that Dr. Kreher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Dr. Kreher had she remained employed with us for up to six months. Additionally, all stock options and other stock based awards held by Dr. Kreher that would have vested if she had remained employed by us for an additional six months following the date of termination will vest and become exercisable or non-forfeitable as of the date of termination.</w:t>
      </w:r>
    </w:p>
    <w:p>
      <w:pPr>
        <w:spacing w:after="0" w:line="16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Dr. Kreher shall accelerate and become fully exercisable or non-forfeitable immediately prior to the change in control.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Katina Dorton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entered into an employment agreement with Katina Dorton, our Chief Financial Officer, on July 20, 2017. Under the terms of the employment agreement, Ms. Dorton is entitled to receive an annual base salary of $325,000 and an annual target bonus of 35% of her annual base salary based upon our board of directors’ assessment of Ms. Dorton’s performance and our attainment of targeted goals as set by the board of directors in their sole discretion. Pursuant to her employment agreement, Ms. Dorton also entered into a Confidentiality and IP Assignment Agreement with us.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Ms. Dorton’s employment agreement, Ms. Dorton is entitled to reimbursement of temporary living and travel expenses in connection with traveling to and temporary living in Massachusetts of up to $4,000 per month until the earlier of August 28, 2018 and the sale of her Raleigh, North Carolina residence. Ms. Dorton is also entitled to a one-time relocation payment of up to $100,000, less any reimbursements for temporary living and travel expenses previously paid to her, in connection with the relocation of her primary residence from North Carolina to Massachusetts.</w:t>
      </w:r>
    </w:p>
    <w:p>
      <w:pPr>
        <w:spacing w:after="0" w:line="154"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Ms. Dorton’s employment agreement provides that, in the event that her employment is terminated by us without “cause” or by Ms. Dorton with “good reason”, subject to the execution and effectiveness of a separation agreement and release, she will be entitled to receive (i) an amount equal to 50% of her base salary, provided that Ms. Dorton has not breached any provisions contained in the Confidentiality and IP Assignment Agreement, payable on our normal payroll cycle, and (ii) reimbursement of COBRA premiums for health benefit coverage, up to an amount equal to the monthly employer contribution that we would have made to provide health insurance to Ms. Dorton had she remained employed with us for up to six months. Additionally, all stock options and other stock based awards held by Ms. Dorton that would have vested if she had remained employed by us for an additional six months following the date of termination will vest and become exercisable or non-forfeitable as of the date of termination.</w:t>
      </w:r>
    </w:p>
    <w:p>
      <w:pPr>
        <w:spacing w:after="0" w:line="16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the event of a “change in control” all stock options and other stock-based awards held by Ms. Dorton shall accelerate and become fully exercisable or non-forfeitable immediately prior to the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outstanding equity awards held by our 2017 named executive officers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All equity awards set forth in the table below were granted under our Amended and Restated 2015 Stock Option and Grant Plan, or 2015 Plan.</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160" w:type="dxa"/>
            <w:vAlign w:val="bottom"/>
            <w:gridSpan w:val="2"/>
          </w:tcPr>
          <w:p>
            <w:pPr>
              <w:jc w:val="center"/>
              <w:ind w:right="263"/>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3"/>
              <w:spacing w:after="0" w:line="119" w:lineRule="exact"/>
              <w:rPr>
                <w:sz w:val="20"/>
                <w:szCs w:val="20"/>
                <w:color w:val="auto"/>
              </w:rPr>
            </w:pPr>
            <w:r>
              <w:rPr>
                <w:rFonts w:ascii="Arial" w:cs="Arial" w:eastAsia="Arial" w:hAnsi="Arial"/>
                <w:sz w:val="13"/>
                <w:szCs w:val="13"/>
                <w:b w:val="1"/>
                <w:bCs w:val="1"/>
                <w:color w:val="auto"/>
              </w:rPr>
              <w:t>Number of</w:t>
            </w: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6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89"/>
              </w:rPr>
              <w:t>Shares or</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16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98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2"/>
              </w:rPr>
              <w:t>Units of</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40" w:type="dxa"/>
            <w:vAlign w:val="bottom"/>
            <w:gridSpan w:val="2"/>
          </w:tcPr>
          <w:p>
            <w:pPr>
              <w:jc w:val="center"/>
              <w:ind w:left="1479"/>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16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Stock that</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2"/>
                <w:szCs w:val="12"/>
                <w:color w:val="auto"/>
              </w:rPr>
            </w:pPr>
          </w:p>
        </w:tc>
        <w:tc>
          <w:tcPr>
            <w:tcW w:w="116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4"/>
              </w:rPr>
              <w:t>Options (#)</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980" w:type="dxa"/>
            <w:vAlign w:val="bottom"/>
            <w:gridSpan w:val="2"/>
          </w:tcPr>
          <w:p>
            <w:pPr>
              <w:jc w:val="center"/>
              <w:ind w:right="243"/>
              <w:spacing w:after="0" w:line="149"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1"/>
        </w:trPr>
        <w:tc>
          <w:tcPr>
            <w:tcW w:w="3140" w:type="dxa"/>
            <w:vAlign w:val="bottom"/>
            <w:gridSpan w:val="3"/>
            <w:vMerge w:val="continue"/>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Pr>
          <w:p>
            <w:pPr>
              <w:spacing w:after="0"/>
              <w:rPr>
                <w:sz w:val="16"/>
                <w:szCs w:val="16"/>
                <w:color w:val="auto"/>
              </w:rPr>
            </w:pPr>
          </w:p>
        </w:tc>
        <w:tc>
          <w:tcPr>
            <w:tcW w:w="98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89"/>
              </w:rPr>
              <w:t>Vested (#)</w:t>
            </w:r>
          </w:p>
        </w:tc>
        <w:tc>
          <w:tcPr>
            <w:tcW w:w="14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2"/>
              </w:rPr>
              <w:t>Geoff</w:t>
            </w:r>
          </w:p>
        </w:tc>
        <w:tc>
          <w:tcPr>
            <w:tcW w:w="278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MacKay</w:t>
            </w:r>
          </w:p>
        </w:tc>
        <w:tc>
          <w:tcPr>
            <w:tcW w:w="15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312,500</w:t>
            </w: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687,500</w:t>
            </w:r>
          </w:p>
        </w:tc>
        <w:tc>
          <w:tcPr>
            <w:tcW w:w="300" w:type="dxa"/>
            <w:vAlign w:val="bottom"/>
            <w:tcBorders>
              <w:top w:val="single" w:sz="8" w:color="CCEEFF"/>
            </w:tcBorders>
            <w:shd w:val="clear" w:color="auto" w:fill="CCEEFF"/>
          </w:tcPr>
          <w:p>
            <w:pPr>
              <w:jc w:val="right"/>
              <w:ind w:right="63"/>
              <w:spacing w:after="0" w:line="155" w:lineRule="exact"/>
              <w:rPr>
                <w:sz w:val="20"/>
                <w:szCs w:val="20"/>
                <w:color w:val="auto"/>
              </w:rPr>
            </w:pPr>
            <w:r>
              <w:rPr>
                <w:rFonts w:ascii="Arial" w:cs="Arial" w:eastAsia="Arial" w:hAnsi="Arial"/>
                <w:sz w:val="15"/>
                <w:szCs w:val="15"/>
                <w:color w:val="auto"/>
                <w:w w:val="76"/>
              </w:rPr>
              <w:t>(1)</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4/12/2026</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89"/>
              </w:rPr>
              <w:t>300,000</w:t>
            </w:r>
          </w:p>
        </w:tc>
        <w:tc>
          <w:tcPr>
            <w:tcW w:w="300" w:type="dxa"/>
            <w:vAlign w:val="bottom"/>
            <w:tcBorders>
              <w:top w:val="single" w:sz="8" w:color="CCEEFF"/>
            </w:tcBorders>
            <w:shd w:val="clear" w:color="auto" w:fill="CCEEFF"/>
          </w:tcPr>
          <w:p>
            <w:pPr>
              <w:jc w:val="right"/>
              <w:ind w:right="43"/>
              <w:spacing w:after="0" w:line="155" w:lineRule="exact"/>
              <w:rPr>
                <w:sz w:val="20"/>
                <w:szCs w:val="20"/>
                <w:color w:val="auto"/>
              </w:rPr>
            </w:pPr>
            <w:r>
              <w:rPr>
                <w:rFonts w:ascii="Arial" w:cs="Arial" w:eastAsia="Arial" w:hAnsi="Arial"/>
                <w:sz w:val="15"/>
                <w:szCs w:val="15"/>
                <w:color w:val="auto"/>
                <w:w w:val="87"/>
              </w:rPr>
              <w:t>(4)</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260"/>
              <w:spacing w:after="0" w:line="189" w:lineRule="exact"/>
              <w:rPr>
                <w:sz w:val="20"/>
                <w:szCs w:val="20"/>
                <w:color w:val="auto"/>
              </w:rPr>
            </w:pPr>
            <w:r>
              <w:rPr>
                <w:rFonts w:ascii="Arial" w:cs="Arial" w:eastAsia="Arial" w:hAnsi="Arial"/>
                <w:sz w:val="18"/>
                <w:szCs w:val="18"/>
                <w:color w:val="auto"/>
                <w:w w:val="89"/>
              </w:rPr>
              <w:t>297,000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3"/>
              <w:spacing w:after="0"/>
              <w:rPr>
                <w:sz w:val="20"/>
                <w:szCs w:val="20"/>
                <w:color w:val="auto"/>
              </w:rPr>
            </w:pPr>
            <w:r>
              <w:rPr>
                <w:rFonts w:ascii="Arial" w:cs="Arial" w:eastAsia="Arial" w:hAnsi="Arial"/>
                <w:sz w:val="18"/>
                <w:szCs w:val="18"/>
                <w:color w:val="auto"/>
              </w:rPr>
              <w:t>190,068</w:t>
            </w:r>
            <w:r>
              <w:rPr>
                <w:rFonts w:ascii="Arial" w:cs="Arial" w:eastAsia="Arial" w:hAnsi="Arial"/>
                <w:sz w:val="15"/>
                <w:szCs w:val="15"/>
                <w:color w:val="auto"/>
              </w:rPr>
              <w:t>(2)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6/12/2027</w:t>
            </w:r>
          </w:p>
        </w:tc>
        <w:tc>
          <w:tcPr>
            <w:tcW w:w="2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58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654,170</w:t>
            </w:r>
            <w:r>
              <w:rPr>
                <w:rFonts w:ascii="Arial" w:cs="Arial" w:eastAsia="Arial" w:hAnsi="Arial"/>
                <w:sz w:val="15"/>
                <w:szCs w:val="15"/>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Nerissa Kreher, M.D.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103,540</w:t>
            </w:r>
          </w:p>
        </w:tc>
        <w:tc>
          <w:tcPr>
            <w:tcW w:w="1440" w:type="dxa"/>
            <w:vAlign w:val="bottom"/>
            <w:gridSpan w:val="3"/>
          </w:tcPr>
          <w:p>
            <w:pPr>
              <w:jc w:val="right"/>
              <w:ind w:right="63"/>
              <w:spacing w:after="0"/>
              <w:rPr>
                <w:sz w:val="20"/>
                <w:szCs w:val="20"/>
                <w:color w:val="auto"/>
              </w:rPr>
            </w:pPr>
            <w:r>
              <w:rPr>
                <w:rFonts w:ascii="Arial" w:cs="Arial" w:eastAsia="Arial" w:hAnsi="Arial"/>
                <w:sz w:val="18"/>
                <w:szCs w:val="18"/>
                <w:color w:val="auto"/>
              </w:rPr>
              <w:t>251,460</w:t>
            </w:r>
            <w:r>
              <w:rPr>
                <w:rFonts w:ascii="Arial" w:cs="Arial" w:eastAsia="Arial" w:hAnsi="Arial"/>
                <w:sz w:val="15"/>
                <w:szCs w:val="15"/>
                <w:color w:val="auto"/>
              </w:rPr>
              <w:t>(3)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10/24/2026</w:t>
            </w:r>
          </w:p>
        </w:tc>
        <w:tc>
          <w:tcPr>
            <w:tcW w:w="2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113,926</w:t>
            </w:r>
            <w:r>
              <w:rPr>
                <w:rFonts w:ascii="Arial" w:cs="Arial" w:eastAsia="Arial" w:hAnsi="Arial"/>
                <w:sz w:val="15"/>
                <w:szCs w:val="15"/>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20" w:hanging="436"/>
        <w:spacing w:after="0" w:line="274"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July 1, 2017 and the remainder vest in equal quarterly installments until the option is fully vested on July 1, 2020, subject to the continued employment of the executive officer.</w:t>
      </w:r>
    </w:p>
    <w:p>
      <w:pPr>
        <w:jc w:val="both"/>
        <w:ind w:left="640" w:right="140" w:hanging="436"/>
        <w:spacing w:after="0" w:line="250"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 on the first anniversary of the grant date and the remainder vest in equal monthly installments until the option is fully vested on the fourth anniversary of the grant date, subject to the continued employment of the executive officer.</w:t>
      </w:r>
    </w:p>
    <w:p>
      <w:pPr>
        <w:spacing w:after="0" w:line="1" w:lineRule="exact"/>
        <w:rPr>
          <w:rFonts w:ascii="Arial" w:cs="Arial" w:eastAsia="Arial" w:hAnsi="Arial"/>
          <w:sz w:val="18"/>
          <w:szCs w:val="18"/>
          <w:color w:val="auto"/>
        </w:rPr>
      </w:pPr>
    </w:p>
    <w:p>
      <w:pPr>
        <w:ind w:left="640" w:right="400" w:hanging="436"/>
        <w:spacing w:after="0" w:line="265"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October 3, 2017 and the remainder vest in equal monthly installments until the option is fully vested on October 3, 2020, subject to the continued employment of the executive officer.</w:t>
      </w:r>
    </w:p>
    <w:p>
      <w:pPr>
        <w:ind w:left="640" w:right="460" w:hanging="436"/>
        <w:spacing w:after="0" w:line="281"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 November 27, 2015, Mr. MacKay transferred his ownership of 300,000 shares to each of his two children, 150,000 shares subject to each transfer remain unvested and subject to vesting as of December 31, 2017, based on Mr. MacKay’s continued service to our company.</w:t>
      </w:r>
    </w:p>
    <w:p>
      <w:pPr>
        <w:spacing w:after="0" w:line="1" w:lineRule="exact"/>
        <w:rPr>
          <w:rFonts w:ascii="Arial" w:cs="Arial" w:eastAsia="Arial" w:hAnsi="Arial"/>
          <w:sz w:val="16"/>
          <w:szCs w:val="16"/>
          <w:color w:val="auto"/>
        </w:rPr>
      </w:pPr>
    </w:p>
    <w:p>
      <w:pPr>
        <w:ind w:left="640" w:right="160" w:hanging="436"/>
        <w:spacing w:after="0" w:line="323"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There was no public market for our common stock as of December 31, 2017. This column represents the value of the shares of restricted stock as of December 31, 2017, based on the fair market value of our common stock as of December 31, 2017, which was $0.99 per share.</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2015 Plan, was approved by our board of directors and our stockholders on July 21, 2016. The 2015 Plan was most recently amended in January 2018 with the approval of both our board of directors and our stockholders. Under the 2015 Plan, we have reserved for issuance an aggregate of 8,299,387 shares of our common stock. The number of shares of common stock reserved for issuance is subject to adjustment in the event of any merger, consolidation, sale of all or substantially all of our assets, reorganization, recapitalization, reclassification, stock dividend, stock split, reverse stock split or other similar transaction.</w:t>
      </w:r>
    </w:p>
    <w:p>
      <w:pPr>
        <w:spacing w:after="0" w:line="188"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The shares of common stock underlying awards that are forfeited, canceled, reacquired by us prior to vesting, satisfied without the issuance of stock or otherwise terminated (other than by exercise) and shares of common stock that are withheld upon exercise of an option or settlement of an award to cover the exercise price or tax withholding are added back to the shares of common stock available for issuance under the 2015 Plan.</w:t>
      </w:r>
    </w:p>
    <w:p>
      <w:pPr>
        <w:spacing w:after="0" w:line="14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board of directors has acted as administrator of the 2015 Plan. The administrator has full power to select, from among the individuals eligible for awards, the individuals to whom awards will be granted, and to determine the specific terms and conditions of each award, subject to the provisions of the 2015 Plan. Persons eligible to participate in the 2015 Plan are those employees, officers and directors of, and consultants and advisors to, our company as selected from time to time by the administrator in its discretion.</w:t>
      </w:r>
    </w:p>
    <w:p>
      <w:pPr>
        <w:spacing w:after="0" w:line="18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2015 Plan permits the granting of (1) options to purchase common stock intended to qualify as incentive stock options under Section 422 of the Internal Revenue Code of 1986, as amended, or the Code and (2) options that do not so qualify. The per share option exercise price of each option will be determined by the administrator but may not be less than 100% of the fair market value of the common stock on the date of grant. The term of each option will be fixed by the administrator. The administrator will determine at what time or times each option may be exercised. In addition, the 2015 Plan permits the granting of restricted shares of common stock, unrestricted shares of common stock, and restricted stock units.</w:t>
      </w:r>
    </w:p>
    <w:p>
      <w:pPr>
        <w:spacing w:after="0" w:line="15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2015 Plan provides that upon the occurrence of a “sale event,” as defined in the 2015 Plan, our board of directors may take one or more of the following actions as to some or all awards outstanding under the 2015 Plan: (i) provide that outstanding options awards will be assumed or substituted by the acquiring or successor corporation, (ii) provide that all unexercised options will terminate immediately prior to the consummation of the sale event unless exercised by the optionee (to the extent exercisable) within a specified period prior to the consummation of the sale event, (iii) make or provide for a cash payment to the optionees equal to the difference between the per share cash consideration in the sale event and the per share exercise price of the outstanding award, (iv) provide that all restricted stock and unvested restricted stock unit awards (other than those becoming vested as a result of the sale event) will be assumed or substituted by the acquiring or successor corporation (v) provide that all restricted stock and unvested restricted stock unit awards (other than those becoming vested as a result of the sale event) will terminate immediately prior to the effective time of any sale event unless repurchased at a price per share equal to the lower of the original per share purchase price paid by the holder (subject to adjustment) or the current fair market value of such shares, determined immediately prior to the effective time of the sale event, (vi) make or provide for a cash payment to the holders of restricted stock 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restricted stock unit awards in an amount equal to the consideration payable per share of stock pursuant to the sale event times the number of shares subject to such award. We may also make or provide for a cash payment to participants holding options in an amount equal to the difference between the per share cash consideration payable to stockholders in the sale event and the exercise price of the options (to the extent then exercisable).</w:t>
      </w:r>
    </w:p>
    <w:p>
      <w:pPr>
        <w:spacing w:after="0" w:line="147"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administrator may amend or discontinue the 2015 Plan at any time, subject to stockholder approval where such approval is required by applicable law. The administrator of the 2015 Plan may also amend or cancel any outstanding award, provided that no amendment to an award may adversely affect a participant’s rights without his or her consent.</w:t>
      </w:r>
    </w:p>
    <w:p>
      <w:pPr>
        <w:spacing w:after="0" w:line="18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2015 Plan will terminate automatically upon the earlier of 10 years from the date on which the 2015 Plan was adopted by our board of directors or 10 years from the date the 2015 Plan is approved by the Company’s stockholders. As of March 31, 2018, options to purchase 7,391,214 shares of common stock were outstanding under the 2015 Plan. Our board of directors has determined not to make any further awards under the 2015 Plan following the closing of this offering.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right="400" w:firstLine="441"/>
        <w:spacing w:after="0" w:line="274" w:lineRule="auto"/>
        <w:rPr>
          <w:sz w:val="20"/>
          <w:szCs w:val="20"/>
          <w:color w:val="auto"/>
        </w:rPr>
      </w:pPr>
      <w:r>
        <w:rPr>
          <w:rFonts w:ascii="Arial" w:cs="Arial" w:eastAsia="Arial" w:hAnsi="Arial"/>
          <w:sz w:val="17"/>
          <w:szCs w:val="17"/>
          <w:color w:val="auto"/>
        </w:rPr>
        <w:t>Our 2018 Stock Option and Incentive Plan, or the 2018 Plan, was adopted by our board of directors on , 2018 and approved by our stockholders on , 2018 and will become effective upon the effectiveness of the registration statement of which this prospectus is part. The</w:t>
      </w:r>
    </w:p>
    <w:p>
      <w:pPr>
        <w:jc w:val="both"/>
        <w:ind w:left="200" w:right="140"/>
        <w:spacing w:after="0" w:line="255" w:lineRule="auto"/>
        <w:rPr>
          <w:sz w:val="20"/>
          <w:szCs w:val="20"/>
          <w:color w:val="auto"/>
        </w:rPr>
      </w:pPr>
      <w:r>
        <w:rPr>
          <w:rFonts w:ascii="Arial" w:cs="Arial" w:eastAsia="Arial" w:hAnsi="Arial"/>
          <w:sz w:val="18"/>
          <w:szCs w:val="18"/>
          <w:color w:val="auto"/>
        </w:rPr>
        <w:t>2018 Plan will replace the 2015 Plan as our board of directors has determined not to make additional awards under the 2015 Plan following the closing of our initial public offering. The 2018 Plan allows the compensation committee to make equity-based and cash-based incentive awards to our officers, employees, directors and other key persons (including consultants).</w:t>
      </w:r>
    </w:p>
    <w:p>
      <w:pPr>
        <w:spacing w:after="0" w:line="19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initially reserved shares of our common stock, or the Initial Limit, for the issuance of awards under the 2018 Plan, plus the shares of common stock remaining available for issuance under our 2015 Plan. The 2018 Plan provides that the number of shares reserved and available for issuance under the plan will automatically increase each January 1, beginning on January 1, 2019, by %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5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shares we issue under the 2018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2018 Plan and the 2015 Plan will be added back to the shares of common stock available for issuance under the 2018 Plan.</w:t>
      </w:r>
    </w:p>
    <w:p>
      <w:pPr>
        <w:spacing w:after="0" w:line="17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Stock options and stock appreciation rights with respect to no more than shares of stock may be granted to any one individual in any one calendar year. The maximum aggregate number of shares that may be issued in the form of incentive stock options shall not exceed the Initial Limit</w:t>
      </w:r>
    </w:p>
    <w:p>
      <w:pPr>
        <w:ind w:left="200" w:right="340"/>
        <w:spacing w:after="0" w:line="261" w:lineRule="auto"/>
        <w:rPr>
          <w:sz w:val="20"/>
          <w:szCs w:val="20"/>
          <w:color w:val="auto"/>
        </w:rPr>
      </w:pPr>
      <w:r>
        <w:rPr>
          <w:rFonts w:ascii="Arial" w:cs="Arial" w:eastAsia="Arial" w:hAnsi="Arial"/>
          <w:sz w:val="18"/>
          <w:szCs w:val="18"/>
          <w:color w:val="auto"/>
        </w:rPr>
        <w:t>cumulatively increased on January 1, 2019 and on each January 1 thereafter by the lesser of the Annual Increase for such year or shares of common stock.</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2018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2018 Plan. Persons eligible to participate in the 2018 Plan will be those full or part-time officers, employees, non-employee directors and other key persons (including consultants) as selected from time to time by our compensation committee in its discretion.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The 2018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47"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2018 Plan. Unrestricted stock may be granted to participants in recognition of past services or other valid consideration and may be issued in lieu of cash compensation due to such participant. Our compensation committee may grant cash bonuses under the 2018 Plan to participants, subject to the achievement of certain performance goals.</w:t>
      </w:r>
    </w:p>
    <w:p>
      <w:pPr>
        <w:spacing w:after="0" w:line="17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Our compensation committee may grant awards that vest or become payable upon the attainment of performance goals that are established by our compensation committee and related to one or more performance criteria. The performance criteria that could be used with respect to any such awards include: achievement of specified research and development, publication, clinical and/or regulatory milestones, earnings before interest, taxes, depreciation and amortization, net income (loss) (either before or after interest, taxes, depreciation and/or amortization), changes in the market price of our common stock, economic value added, funds from operations or similar measures,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2018 Plan provides that in the case of, and subject to, the consummation of a “sale event” as defined in the 2018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the 2018 Plan and all awards will automatically terminate. In the event of such termination,</w:t>
      </w:r>
    </w:p>
    <w:p>
      <w:pPr>
        <w:spacing w:after="0" w:line="5" w:lineRule="exact"/>
        <w:rPr>
          <w:sz w:val="20"/>
          <w:szCs w:val="20"/>
          <w:color w:val="auto"/>
        </w:rPr>
      </w:pPr>
    </w:p>
    <w:p>
      <w:pPr>
        <w:ind w:left="200" w:right="200" w:firstLine="4"/>
        <w:spacing w:after="0" w:line="254" w:lineRule="auto"/>
        <w:tabs>
          <w:tab w:leader="none" w:pos="4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individuals holding options and stock appreciation rights will be permitted to exercise such options and stock appreciation rights (to the extent exercisable) prior to the sale event; or (ii) we may make or provide for a cash payment to participants holding options and stock appreciation rights equal to the difference between the per share cash consideration payable to stockholders in the sale event and the exercise price of the options or stock appreciation rights (to the extent then exercisable).</w:t>
      </w:r>
    </w:p>
    <w:p>
      <w:pPr>
        <w:spacing w:after="0" w:line="19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board of directors may amend or discontinue the 2018 Plan and our compensation committee may amend the exercise price of options and amend or cancel outstanding awards for purposes of satisfying changes in law or any other lawful purpose but no such action may adversely affect rights under an award without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holder’s consent. Certain amendments to the 2018 Plan require the approval of our stockholders. No awards may be granted under the 2018 Plan after the date that is 10 years from the date of stockholder approval. No awards under the 2018 Plan have been made prior to the date of this prospectus.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Our 2018 Employee Stock Purchase Plan, or the ESPP, was adopted by our board of directors on        , 2018 and approved by our stockholders on        , 2018 and will become effective upon the effectiveness of the registration statement of which this prospectus is part. The</w:t>
      </w:r>
    </w:p>
    <w:p>
      <w:pPr>
        <w:ind w:left="200"/>
        <w:spacing w:after="0"/>
        <w:rPr>
          <w:sz w:val="20"/>
          <w:szCs w:val="20"/>
          <w:color w:val="auto"/>
        </w:rPr>
      </w:pPr>
      <w:r>
        <w:rPr>
          <w:rFonts w:ascii="Arial" w:cs="Arial" w:eastAsia="Arial" w:hAnsi="Arial"/>
          <w:sz w:val="16"/>
          <w:szCs w:val="16"/>
          <w:color w:val="auto"/>
        </w:rPr>
        <w:t>ESPP is intended to qualify as an “employee stock purchase plan” within the meaning of Section 423(b) of the Code. The ESPP initially reserves and</w:t>
      </w:r>
    </w:p>
    <w:p>
      <w:pPr>
        <w:spacing w:after="0" w:line="32" w:lineRule="exact"/>
        <w:rPr>
          <w:sz w:val="20"/>
          <w:szCs w:val="20"/>
          <w:color w:val="auto"/>
        </w:rPr>
      </w:pPr>
    </w:p>
    <w:p>
      <w:pPr>
        <w:ind w:left="200" w:right="220"/>
        <w:spacing w:after="0" w:line="281" w:lineRule="auto"/>
        <w:rPr>
          <w:sz w:val="20"/>
          <w:szCs w:val="20"/>
          <w:color w:val="auto"/>
        </w:rPr>
      </w:pPr>
      <w:r>
        <w:rPr>
          <w:rFonts w:ascii="Arial" w:cs="Arial" w:eastAsia="Arial" w:hAnsi="Arial"/>
          <w:sz w:val="16"/>
          <w:szCs w:val="16"/>
          <w:color w:val="auto"/>
        </w:rPr>
        <w:t>authorizes the issuance of up to a total of shares of common stock to participating employees. The ESPP provides that the number of shares reserved and available for issuance will automatically increase each January 1, beginning on January 1, 2019 and each January 1 thereafter through January 1, , by the least of (i) % of the outstanding number of shares of our common stock on the immediately preceding December 31;</w:t>
      </w:r>
    </w:p>
    <w:p>
      <w:pPr>
        <w:spacing w:after="0" w:line="2" w:lineRule="exact"/>
        <w:rPr>
          <w:sz w:val="20"/>
          <w:szCs w:val="20"/>
          <w:color w:val="auto"/>
        </w:rPr>
      </w:pPr>
    </w:p>
    <w:p>
      <w:pPr>
        <w:ind w:left="200" w:right="20" w:firstLine="4"/>
        <w:spacing w:after="0" w:line="261" w:lineRule="auto"/>
        <w:tabs>
          <w:tab w:leader="none" w:pos="11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or (iii) such number of shares as determined by the ESPP administrator. The number of shares reserved under the ESPP is subject to adjustment in the event of a stock split, stock dividend or other change in our capitalization.</w:t>
      </w:r>
    </w:p>
    <w:p>
      <w:pPr>
        <w:spacing w:after="0" w:line="18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All employees who have completed at least days of employment and whose customary employment is for more than hours per week are eligible to participate in the ESPP. However, any employee who owns 5% or more of the total combined voting power or value of all classes of stock is not eligible to purchase shares under the ESPP.</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will make one or more offerings each year to our employees to purchase shares under the ESPP.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Each employee who is a participant in the ESPP may purchase shares by authorizing payroll deductions of up to 10% of his or her base compensation during an offering period. Unless the participating employee has previously withdrawn from the offering, his or her accumulated payroll deductions will be used to purchase shares on the last business day of the offering period at a price equal to 85% of the fair market value of the shares on the first business day or the last business day of the offering period, whichever is lower. Under applicable tax rules, an employee may purchase no more</w:t>
      </w:r>
    </w:p>
    <w:p>
      <w:pPr>
        <w:spacing w:after="0" w:line="2"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than $</w:t>
      </w:r>
      <w:r>
        <w:rPr>
          <w:sz w:val="20"/>
          <w:szCs w:val="20"/>
          <w:color w:val="auto"/>
        </w:rPr>
        <w:tab/>
      </w:r>
      <w:r>
        <w:rPr>
          <w:rFonts w:ascii="Arial" w:cs="Arial" w:eastAsia="Arial" w:hAnsi="Arial"/>
          <w:sz w:val="16"/>
          <w:szCs w:val="16"/>
          <w:color w:val="auto"/>
        </w:rPr>
        <w:t>worth of shares of common stock, valued at the start of the purchase period, under the ESPP in any calendar year.</w:t>
      </w:r>
    </w:p>
    <w:p>
      <w:pPr>
        <w:spacing w:after="0" w:line="21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common stock authorized under the ESPP and certain other amendments require the approval of our stockholders.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 2018,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Our compensation committee may select corporate performance goals from among the following: achievement of specified research and development, publication, clinical and/or regulatory milestones, adjusted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billings,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in absolute terms, as compared to any incremental increase, in terms of growth, or as compared to results of a peer group.</w:t>
      </w:r>
    </w:p>
    <w:p>
      <w:pPr>
        <w:spacing w:after="0" w:line="16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 to account for unforeseen factors beyond management’s control that affected corporate performance.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our board of directors.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2017. Other than as set forth in the table and described more fully below, we did not pay any compensation, make any equity awards or non-equity awards to, or pay any other compensation to any of the non-employee members of our board of directors in 2017. We reimburse non-employee members of our board of directors for reasonable travel expenses. Mr. MacKay, our President and Chief Executive Officer, did not receive any compensation for his service as a member of our board of directors in 2017. Mr. MacKay’s compensation for service as an employee for fiscal year 2017 is presented in “Executive Compensation—2017 Summary Compensation Table.”</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9"/>
              </w:rPr>
              <w:t>FEES EARNED OR</w:t>
            </w:r>
          </w:p>
        </w:tc>
        <w:tc>
          <w:tcPr>
            <w:tcW w:w="26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 IN CASH</w:t>
            </w:r>
          </w:p>
        </w:tc>
        <w:tc>
          <w:tcPr>
            <w:tcW w:w="26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3"/>
              </w:rPr>
              <w:t>($)</w:t>
            </w:r>
          </w:p>
        </w:tc>
        <w:tc>
          <w:tcPr>
            <w:tcW w:w="1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Bruce</w:t>
            </w:r>
          </w:p>
        </w:tc>
        <w:tc>
          <w:tcPr>
            <w:tcW w:w="36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Booth, D.Phil.</w:t>
            </w:r>
          </w:p>
        </w:tc>
        <w:tc>
          <w:tcPr>
            <w:tcW w:w="23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176,624</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189,124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Joshua Resnick, M.D.</w:t>
            </w:r>
          </w:p>
        </w:tc>
        <w:tc>
          <w:tcPr>
            <w:tcW w:w="2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Requadt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342" w:lineRule="auto"/>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Pursuant to a letter agreement with us, Mr. Clark is paid an annual cash retainer of $50,000 for his service on the board of directors. As of December 31, 2017, Mr. Clark held an option to purchase 201,396 shares of our common stock, no portion of which was vested as of such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board of directors expects to adopt a non-employee director compensation policy, effective upon effectiveness of the registration statement of which this prospectus forms a part, that is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2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MEMBER</w:t>
            </w:r>
          </w:p>
        </w:tc>
        <w:tc>
          <w:tcPr>
            <w:tcW w:w="8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CHAIRMAN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rPr>
              <w:t>ANNUAL</w:t>
            </w:r>
          </w:p>
        </w:tc>
        <w:tc>
          <w:tcPr>
            <w:tcW w:w="8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rPr>
              <w:t>FEE</w:t>
            </w:r>
          </w:p>
        </w:tc>
        <w:tc>
          <w:tcPr>
            <w:tcW w:w="8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32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Board of Directors</w:t>
            </w:r>
          </w:p>
        </w:tc>
        <w:tc>
          <w:tcPr>
            <w:tcW w:w="6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Audit Committee</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020" w:type="dxa"/>
            <w:vAlign w:val="bottom"/>
            <w:gridSpan w:val="7"/>
          </w:tcPr>
          <w:p>
            <w:pPr>
              <w:ind w:left="420"/>
              <w:spacing w:after="0"/>
              <w:rPr>
                <w:sz w:val="20"/>
                <w:szCs w:val="20"/>
                <w:color w:val="auto"/>
              </w:rPr>
            </w:pPr>
            <w:r>
              <w:rPr>
                <w:rFonts w:ascii="Arial" w:cs="Arial" w:eastAsia="Arial" w:hAnsi="Arial"/>
                <w:sz w:val="18"/>
                <w:szCs w:val="18"/>
                <w:color w:val="auto"/>
                <w:w w:val="96"/>
              </w:rPr>
              <w:t>In addition, each non-employee director serving on our board of directors upon completion of this offering and each non-employee director</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w w:val="96"/>
              </w:rPr>
              <w:t>elected or appointed to our board of directors following the completion of this offering will be granted</w:t>
            </w:r>
          </w:p>
        </w:tc>
        <w:tc>
          <w:tcPr>
            <w:tcW w:w="3360" w:type="dxa"/>
            <w:vAlign w:val="bottom"/>
            <w:gridSpan w:val="6"/>
          </w:tcPr>
          <w:p>
            <w:pPr>
              <w:ind w:left="100"/>
              <w:spacing w:after="0"/>
              <w:rPr>
                <w:sz w:val="20"/>
                <w:szCs w:val="20"/>
                <w:color w:val="auto"/>
              </w:rPr>
            </w:pPr>
            <w:r>
              <w:rPr>
                <w:rFonts w:ascii="Arial" w:cs="Arial" w:eastAsia="Arial" w:hAnsi="Arial"/>
                <w:sz w:val="18"/>
                <w:szCs w:val="18"/>
                <w:color w:val="auto"/>
              </w:rPr>
              <w:t>on the date of such director’s election or</w:t>
            </w:r>
          </w:p>
        </w:tc>
        <w:tc>
          <w:tcPr>
            <w:tcW w:w="0" w:type="dxa"/>
            <w:vAlign w:val="bottom"/>
          </w:tcPr>
          <w:p>
            <w:pPr>
              <w:spacing w:after="0"/>
              <w:rPr>
                <w:sz w:val="1"/>
                <w:szCs w:val="1"/>
                <w:color w:val="auto"/>
              </w:rPr>
            </w:pPr>
          </w:p>
        </w:tc>
      </w:tr>
      <w:tr>
        <w:trPr>
          <w:trHeight w:val="216"/>
        </w:trPr>
        <w:tc>
          <w:tcPr>
            <w:tcW w:w="9960" w:type="dxa"/>
            <w:vAlign w:val="bottom"/>
            <w:gridSpan w:val="5"/>
          </w:tcPr>
          <w:p>
            <w:pPr>
              <w:spacing w:after="0"/>
              <w:rPr>
                <w:sz w:val="20"/>
                <w:szCs w:val="20"/>
                <w:color w:val="auto"/>
              </w:rPr>
            </w:pPr>
            <w:r>
              <w:rPr>
                <w:rFonts w:ascii="Arial" w:cs="Arial" w:eastAsia="Arial" w:hAnsi="Arial"/>
                <w:sz w:val="18"/>
                <w:szCs w:val="18"/>
                <w:color w:val="auto"/>
                <w:w w:val="92"/>
              </w:rPr>
              <w:t>appointment to the board of directors, which will vest in the following manner, subject to continued service through such vesting date(s):</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90"/>
              </w:rPr>
              <w:t>. On the</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w w:val="91"/>
              </w:rPr>
              <w:t>date of each annual meeting of stockholders of our company, each non-employee director will be granted</w:t>
            </w:r>
          </w:p>
        </w:tc>
        <w:tc>
          <w:tcPr>
            <w:tcW w:w="3360" w:type="dxa"/>
            <w:vAlign w:val="bottom"/>
            <w:gridSpan w:val="6"/>
          </w:tcPr>
          <w:p>
            <w:pPr>
              <w:ind w:left="300"/>
              <w:spacing w:after="0"/>
              <w:rPr>
                <w:sz w:val="20"/>
                <w:szCs w:val="20"/>
                <w:color w:val="auto"/>
              </w:rPr>
            </w:pPr>
            <w:r>
              <w:rPr>
                <w:rFonts w:ascii="Arial" w:cs="Arial" w:eastAsia="Arial" w:hAnsi="Arial"/>
                <w:sz w:val="18"/>
                <w:szCs w:val="18"/>
                <w:color w:val="auto"/>
                <w:w w:val="95"/>
              </w:rPr>
              <w:t>, which will vest in the following manner,</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subject to continued service as a director through such vesting date(s):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80" w:type="dxa"/>
            <w:vAlign w:val="bottom"/>
            <w:gridSpan w:val="2"/>
          </w:tcPr>
          <w:p>
            <w:pPr>
              <w:ind w:left="5380"/>
              <w:spacing w:after="0"/>
              <w:rPr>
                <w:sz w:val="20"/>
                <w:szCs w:val="20"/>
                <w:color w:val="auto"/>
              </w:rPr>
            </w:pPr>
            <w:r>
              <w:rPr>
                <w:rFonts w:ascii="Arial" w:cs="Arial" w:eastAsia="Arial" w:hAnsi="Arial"/>
                <w:sz w:val="18"/>
                <w:szCs w:val="18"/>
                <w:color w:val="auto"/>
              </w:rPr>
              <w:t>143</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Other than the compensation agreements and other arrangements described under “Executive Compensation” and “Director Compensation” in this prospectus and the transactions described below, since November 17, 2015 (date of inception),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2016 and 2017, we paid $736,000 and $151,000 to UHN under this agreement, respectively. Pursuant to this agreement, UHN also purchased 4,800,000 shares of our common stock for an aggregate purchase price of $480.00 under a stock purchase agreement. Under the terms of the stock purchase agreement, we are obligated to pay to UHN five percent of the proceeds from this offering, up to a cap of $2 million, upon the closing of this offering.</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January 27, 2016, we entered into an option agreement with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of C$75,000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For the years ended December 31, 2016 and 2017, we paid $87,000 and $16,000 to UHN in connection with this agreement, respectively, which consisted of our license option fee, the upfront fee and maintenance fees. See “Business—License Agreements—Exclusive License Agreement with University Health Network” for further information regarding the 2016 Fabry license agreement with UHN. In connection with this agreement, we also entered into (i) a letter agreement with UHN on November 4, 2016, pursuant to which we agreed to provide certain funding and costs and expenses associated with a clinical trial conducted by UHN for the treatment of Fabry disease, and (ii) a letter agreement with UHN on June 2, 2017, pursuant to which we agreed to provide additional funding and costs and expenses associated with the clinical trial conducted by UHN for the treatment of Fabry disease.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June 2017. The March 2017 agreement was amended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June 2017 agreements, respectively.</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UHN is currently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Seed Preferred Stock Financing</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at a purchase price of $0.45 per share. The following table summarizes purchases of our Series Seed preferred stock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SERIES SEED</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4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$1,499,999.85</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77"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July 2016, we sold 5,714,286 shares of Series A preferred stock, at a price of $1.3125 per share, pursuant to a stock purchase agreement entered into with the investors. In March 2017, we amended certain provisions of our Series A preferred stock purchase agreement and issued a preferred stock dividend in the form of 3,720,864 additional shares of Series A preferred stock to such investors, which effectively repriced the outstanding shares of Series A preferred stock and changed the purchase price for future shares of Series A preferred stock to be sold under the Series A preferred stock purchase agreement to $0.7949 per share. Concurrent with the amendment, we issued 4,403,070 additional shares of Series A preferred stock at a purchase price of $0.7949 per share. In October 2017, we issued 17,612,279 additional shares of Series A preferred stock in a subsequent closing, at a purchase price of $0.7949 per share.</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purchases of our Series A preferred stock and the issuance of the preferred stock dividend referenced above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SERIES 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12,580,199</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9,999,999.53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160" w:hanging="436"/>
        <w:spacing w:after="0" w:line="261"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(1) 9,122,809 shares of Series A preferred stock held by SV Life Sciences Fund VI, L.P. and (2) 312,341 shares of Series A preferred stock held by SV Life Sciences Fund VI, Strategic Partners 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SERIES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3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PREFERRED</w:t>
            </w:r>
          </w:p>
        </w:tc>
        <w:tc>
          <w:tcPr>
            <w:tcW w:w="5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3,740,239</w:t>
            </w: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7,999,997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4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1,870,119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2,805,179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Private Healthcare Fund I, LP</w:t>
            </w:r>
            <w:r>
              <w:rPr>
                <w:rFonts w:ascii="Arial" w:cs="Arial" w:eastAsia="Arial" w:hAnsi="Arial"/>
                <w:sz w:val="15"/>
                <w:szCs w:val="15"/>
                <w:color w:val="auto"/>
              </w:rPr>
              <w:t>(6)(7)</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280" w:hanging="436"/>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Consists of (i) 1,808,211 shares of Series A preferred stock held by SV Life Sciences Fund VI, L.P. and (ii) 61,908 shares of Series A preferred stock held by SV Life Sciences Fund VI, Strategic Partners L.P.</w:t>
      </w:r>
    </w:p>
    <w:p>
      <w:pPr>
        <w:ind w:left="640" w:right="180" w:hanging="436"/>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Citadel Multi-Strategy Equities Master Fund Ltd is a holder of five percent or more of our capital stock</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Cormorant Private Healthcare Fund I, LP is a holder of five percent or more of our capital stock</w:t>
      </w:r>
    </w:p>
    <w:p>
      <w:pPr>
        <w:spacing w:after="0" w:line="9" w:lineRule="exact"/>
        <w:rPr>
          <w:rFonts w:ascii="Arial" w:cs="Arial" w:eastAsia="Arial" w:hAnsi="Arial"/>
          <w:sz w:val="18"/>
          <w:szCs w:val="18"/>
          <w:color w:val="auto"/>
        </w:rPr>
      </w:pPr>
    </w:p>
    <w:p>
      <w:pPr>
        <w:ind w:left="640" w:right="120" w:hanging="436"/>
        <w:spacing w:after="0" w:line="323" w:lineRule="auto"/>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Strategic and Operational Services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Following the Series Seed preferred stock investment in our company by Atlas Venture X, L.P., or Atlas Venture, we were provided with certain services related to strategic and ordinary course business operations in connection with the incubation of our company during its early stages, including the use of office space provided by the management company for Atlas Venture. During the years ended December 31, 2016 and 2017, we paid to such management company fees in the amount of approximately $78,000 and $15,000, respectively. None of these fees were paid directly or indirectly to Bruce Booth, the chairman of our board of directors and a partner at Atlas Venture. In addition, the fees paid to such management company did not exceed 5% of the consolidated gross revenue of Atlas Venture during any of these fiscal years. Atlas Venture X, L.P. is a beneficial owner of more than 5% of our voting securities.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connection with our Series Seed, Series A and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connection with this offering, we intend to enter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this offering, we expect to adopt a written related party transactions policy that such transactions must be approved by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 committee. This policy will become effective on the date on which the registration statement of which this prospectus is part is declared effective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the SEC. Pursuant to this policy, the audit committee has the primary responsibility for reviewing and approving or disapproving “related party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which are transactions between us and related persons in which the aggregate amount involved exceeds or may be expected to exceed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$120,000 and in which a related person has or will have a direct or indirect material interest. For purposes of this policy, a related person will be defined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director, executive officer, nominee for director, or greater than 5% beneficial owner of our common stock, in each case since the beginning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most recently completed year, and their immediate family members.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March 31, 2018,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five percent of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and includes securities that the individual or entity has the right to acquire, such as through the exercise of stock options, within 60 days of March 31, 2018.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93"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percentage of beneficial ownership prior to this offering in the table below is based on 73,969,821 shares of common stock deemed to be outstanding as of March 31, 2018, assuming the conversion of all outstanding shares of our preferred stock upon the closing of this offering into an aggregate of 63,303,154 shares of common stock upon the completion of this offering, and the percentage of beneficial ownership at this offering in the</w:t>
      </w:r>
    </w:p>
    <w:p>
      <w:pPr>
        <w:ind w:left="200" w:right="20"/>
        <w:spacing w:after="0" w:line="261" w:lineRule="auto"/>
        <w:rPr>
          <w:sz w:val="20"/>
          <w:szCs w:val="20"/>
          <w:color w:val="auto"/>
        </w:rPr>
      </w:pPr>
      <w:r>
        <w:rPr>
          <w:rFonts w:ascii="Arial" w:cs="Arial" w:eastAsia="Arial" w:hAnsi="Arial"/>
          <w:sz w:val="18"/>
          <w:szCs w:val="18"/>
          <w:color w:val="auto"/>
        </w:rPr>
        <w:t>table below is based on shares of common stock assumed to be outstanding after the closing of the offering. The information in the table below assumes no exercise of the underwriters’ option to purchase additional shares.</w:t>
      </w:r>
    </w:p>
    <w:p>
      <w:pPr>
        <w:spacing w:after="0" w:line="18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AVROBIO, Inc., One Kendall Square, Building 300, Suite 201, Cambridge, MA 02139.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700" w:type="dxa"/>
            <w:vAlign w:val="bottom"/>
            <w:gridSpan w:val="2"/>
          </w:tcPr>
          <w:p>
            <w:pPr>
              <w:jc w:val="center"/>
              <w:ind w:left="912"/>
              <w:spacing w:after="0" w:line="119" w:lineRule="exact"/>
              <w:rPr>
                <w:sz w:val="20"/>
                <w:szCs w:val="20"/>
                <w:color w:val="auto"/>
              </w:rPr>
            </w:pPr>
            <w:r>
              <w:rPr>
                <w:rFonts w:ascii="Arial" w:cs="Arial" w:eastAsia="Arial" w:hAnsi="Arial"/>
                <w:sz w:val="13"/>
                <w:szCs w:val="13"/>
                <w:b w:val="1"/>
                <w:bCs w:val="1"/>
                <w:color w:val="auto"/>
              </w:rPr>
              <w:t>BENEFICIALLY OWNED</w:t>
            </w:r>
          </w:p>
        </w:tc>
        <w:tc>
          <w:tcPr>
            <w:tcW w:w="800" w:type="dxa"/>
            <w:vAlign w:val="bottom"/>
          </w:tcPr>
          <w:p>
            <w:pPr>
              <w:spacing w:after="0"/>
              <w:rPr>
                <w:sz w:val="10"/>
                <w:szCs w:val="10"/>
                <w:color w:val="auto"/>
              </w:rPr>
            </w:pPr>
          </w:p>
        </w:tc>
        <w:tc>
          <w:tcPr>
            <w:tcW w:w="940" w:type="dxa"/>
            <w:vAlign w:val="bottom"/>
            <w:tcBorders>
              <w:top w:val="single" w:sz="8" w:color="auto"/>
            </w:tcBorders>
          </w:tcPr>
          <w:p>
            <w:pPr>
              <w:jc w:val="right"/>
              <w:ind w:right="176"/>
              <w:spacing w:after="0" w:line="119" w:lineRule="exact"/>
              <w:rPr>
                <w:sz w:val="20"/>
                <w:szCs w:val="20"/>
                <w:color w:val="auto"/>
              </w:rPr>
            </w:pPr>
            <w:r>
              <w:rPr>
                <w:rFonts w:ascii="Arial" w:cs="Arial" w:eastAsia="Arial" w:hAnsi="Arial"/>
                <w:sz w:val="13"/>
                <w:szCs w:val="13"/>
                <w:b w:val="1"/>
                <w:bCs w:val="1"/>
                <w:color w:val="auto"/>
              </w:rPr>
              <w:t>BEFORE</w:t>
            </w:r>
          </w:p>
        </w:tc>
        <w:tc>
          <w:tcPr>
            <w:tcW w:w="1560" w:type="dxa"/>
            <w:vAlign w:val="bottom"/>
            <w:tcBorders>
              <w:top w:val="single" w:sz="8" w:color="auto"/>
            </w:tcBorders>
          </w:tcPr>
          <w:p>
            <w:pPr>
              <w:jc w:val="center"/>
              <w:ind w:left="689"/>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00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174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OFFERING</w:t>
            </w:r>
          </w:p>
        </w:tc>
        <w:tc>
          <w:tcPr>
            <w:tcW w:w="1600" w:type="dxa"/>
            <w:vAlign w:val="bottom"/>
            <w:gridSpan w:val="2"/>
          </w:tcPr>
          <w:p>
            <w:pPr>
              <w:jc w:val="center"/>
              <w:ind w:left="649"/>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7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19,653,771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(2)</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12,240,329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Affiliates of SV Life Sciences Fund</w:t>
            </w:r>
            <w:r>
              <w:rPr>
                <w:rFonts w:ascii="Arial" w:cs="Arial" w:eastAsia="Arial" w:hAnsi="Arial"/>
                <w:sz w:val="15"/>
                <w:szCs w:val="15"/>
                <w:color w:val="auto"/>
              </w:rPr>
              <w:t>(3)</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11,305,269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University Health Network</w:t>
            </w:r>
            <w:r>
              <w:rPr>
                <w:rFonts w:ascii="Arial" w:cs="Arial" w:eastAsia="Arial" w:hAnsi="Arial"/>
                <w:sz w:val="15"/>
                <w:szCs w:val="15"/>
                <w:color w:val="auto"/>
              </w:rPr>
              <w:t>(4)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Affiliates of Cormorant</w:t>
            </w:r>
            <w:r>
              <w:rPr>
                <w:rFonts w:ascii="Arial" w:cs="Arial" w:eastAsia="Arial" w:hAnsi="Arial"/>
                <w:sz w:val="15"/>
                <w:szCs w:val="15"/>
                <w:color w:val="auto"/>
              </w:rPr>
              <w:t>(6)</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(7)</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2,787,500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Katina Dorton</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(8)</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140,520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Bruce Booth, D.Phil.</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Ian T. Clark</w:t>
            </w:r>
          </w:p>
        </w:tc>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Annalisa Jenkins, M.B.B.S., F.R.C.P.</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Christopher Paige, Ph.D.</w:t>
            </w:r>
          </w:p>
        </w:tc>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Scott G. Requadt</w:t>
            </w: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Joshua Resnick, M.D.</w:t>
            </w:r>
          </w:p>
        </w:tc>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w w:val="95"/>
              </w:rPr>
              <w:t xml:space="preserve">All executive officers and directors as a group (9 persons) </w:t>
            </w:r>
            <w:r>
              <w:rPr>
                <w:rFonts w:ascii="Arial" w:cs="Arial" w:eastAsia="Arial" w:hAnsi="Arial"/>
                <w:sz w:val="15"/>
                <w:szCs w:val="15"/>
                <w:b w:val="1"/>
                <w:bCs w:val="1"/>
                <w:color w:val="auto"/>
                <w:w w:val="95"/>
              </w:rPr>
              <w:t>(9)</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2,928,020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148</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40" w:right="20" w:hanging="436"/>
        <w:spacing w:after="0" w:line="281" w:lineRule="auto"/>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3,333,333 shares of common stock issuable upon conversion of Series Seed preferred stock, (ii) 12,580,199 shares of common stock issuable upon conversion of Series A preferred stock and (iii) 3,740,239 shares of common stock issuable upon conversion of Series B preferred stock. All shares are held directly by Atlas Venture Fund X, L.P., or Atlas Venture X. Atlas Venture Associates X, L.P., or AVA X LP, is the general partner of Atlas Venture X, and Atlas Venture Associates X, LLC, or AVA X LLC, is the general partner of AVA X LP. Bruce Booth is a member of AVA X LLC and a member of our board of directors. Dr. Booth disclaims beneficial ownership of such shares, except to the extent of his proportionate pecuniary interest therein, if any. The address for Atlas Venture X is 25 First Street, Suite 303, Cambridge, MA 02141.</w:t>
      </w:r>
    </w:p>
    <w:p>
      <w:pPr>
        <w:spacing w:after="0" w:line="4" w:lineRule="exact"/>
        <w:rPr>
          <w:rFonts w:ascii="Arial" w:cs="Arial" w:eastAsia="Arial" w:hAnsi="Arial"/>
          <w:sz w:val="16"/>
          <w:szCs w:val="16"/>
          <w:color w:val="auto"/>
        </w:rPr>
      </w:pPr>
    </w:p>
    <w:p>
      <w:pPr>
        <w:ind w:left="640" w:hanging="436"/>
        <w:spacing w:after="0" w:line="265"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9,435,150 shares of common stock issuable upon conversion of Series A preferred stock and (ii) 2,805,179 shares of common stock issuable upon conversion of Series B preferred stock. All shares are held directly by Clarus Lifesciences III, L.P., or Clarus. Clarus Ventures III GP, L.P., or the GPLP, as the sole general partner of Clarus, may be deemed to beneficially own certain of the shares held by Clarus. The GPLP disclaims beneficial ownership of all shares held by Clarus in which the GPLP does not have an actual pecuniary interest. Clarus Ventures III, LLC, or the GPLLC, as the sole general partner of the GPLP, may be deemed to beneficially own certain of the shares held by Clarus. The GPLLC disclaims beneficial ownership of all shares held by Clarus in which it does not have an actual pecuniary interest. Each of Nicholas Galakatos, Dennis Henner, Robert Liptak, Scott Requadt, Nicholas Simon, and Kurt Wheeler, as individual managing directors of the GPLLC, may be deemed to beneficially own certain of the shares held of record by Clarus. Each of Messrs. Galakatos, Henner, Liptak, Requadt, Simon and Wheeler disclaims beneficial ownership of all shares held of record by Clarus in which he does not have an actual pecuniary interest. Scott G. Requadt is a member of the GPLLC and a member of our board of directors. Mr. Requadt disclaims beneficial ownership of such shares, except to the extent of his proportionate pecuniary interest therein, if any. The address for the entities is 101 Main Street, Suite 1210, Cambridge, MA 02142.</w:t>
      </w:r>
    </w:p>
    <w:p>
      <w:pPr>
        <w:spacing w:after="0" w:line="2" w:lineRule="exact"/>
        <w:rPr>
          <w:rFonts w:ascii="Arial" w:cs="Arial" w:eastAsia="Arial" w:hAnsi="Arial"/>
          <w:sz w:val="17"/>
          <w:szCs w:val="17"/>
          <w:color w:val="auto"/>
        </w:rPr>
      </w:pPr>
    </w:p>
    <w:p>
      <w:pPr>
        <w:ind w:left="640" w:right="20" w:hanging="436"/>
        <w:spacing w:after="0" w:line="265"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9,122,809 shares of common stock issuable upon conversion of shares of Series A preferred stock held of record by SV Life Sciences Fund VI, L.P., (ii) 312,341 shares of common stock issuable upon conversion of shares of Series A preferred stock held of record by SV Life Sciences Fund VI, Strategic Partners L.P., (iii) 1,808,211 shares of common stock issuable upon conversion of shares of Series B preferred stock held of record by SV Life Sciences Fund VI, L.P. and (iv) 61,908 shares of common stock issuable upon conversion of shares of Series B preferred stock held of record by SV Life Sciences Fund VI, Strategic Partners L.P. SV Health Investors, LLC is the Manager of SV Life Sciences Fund VI, L.P. and SV Life Sciences Fund VI Strategic Partners, L.P. SV Life Sciences Fund VI (GP), LP, or SV Fund VI GP, is the general partner of SV Life Sciences Fund VI, L.P. and SV Life Sciences Fund VI Strategic Partners,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Sciences Fund VI, L.P. and SV Life Sciences Fund VI Strategic Partners, L.P. except to the extent of any pecuniary interest therein. The address for each of the entities and individuals listed above is One Boston Place, Suite 3900, 201 Washington Street, Boston, Massachusetts 02108.</w:t>
      </w:r>
    </w:p>
    <w:p>
      <w:pPr>
        <w:spacing w:after="0" w:line="2" w:lineRule="exact"/>
        <w:rPr>
          <w:rFonts w:ascii="Arial" w:cs="Arial" w:eastAsia="Arial" w:hAnsi="Arial"/>
          <w:sz w:val="17"/>
          <w:szCs w:val="17"/>
          <w:color w:val="auto"/>
        </w:rPr>
      </w:pPr>
    </w:p>
    <w:p>
      <w:pPr>
        <w:ind w:left="640" w:right="360" w:hanging="436"/>
        <w:spacing w:after="0" w:line="250"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4,800,000 shares of common stock. The address for University Health Network is 190 Elizabeth Street, R. Fraser Elliott Building-Room 1S-417, Toronto, Ontario M5G 2C4, Canada.</w:t>
      </w:r>
    </w:p>
    <w:p>
      <w:pPr>
        <w:ind w:left="640" w:right="500" w:hanging="436"/>
        <w:spacing w:after="0" w:line="250"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5,610,360 shares of common stock issuable upon conversion of Series B preferred stock. The address for Citadel Multi-Strategy Equities Master Fund Ltd. is c/o Citadel Advisors LLC, 601 Lexington Avenue, New York, NY 10022.</w:t>
      </w:r>
    </w:p>
    <w:p>
      <w:pPr>
        <w:ind w:left="640" w:right="160" w:hanging="436"/>
        <w:spacing w:after="0" w:line="273"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4,366,543 shares of common stock issuable upon conversion of shares of Series B preferred stock held of record by Cormorant Private Healthcare Fund I, LP, or Cormorant Private Fund, (ii) 1,005,938 shares of common stock issuable upon conversion of shares of Series B preferred stock held of record by Cormorant Global Healthcare Master Fund, LP, or Cormorant Master Fund and (iii) 237,879 shares of common stock issuable upon conversion of shares of Series B preferred stock held of record by CRMA</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84" w:lineRule="auto"/>
        <w:rPr>
          <w:sz w:val="20"/>
          <w:szCs w:val="20"/>
          <w:color w:val="auto"/>
        </w:rPr>
      </w:pPr>
      <w:r>
        <w:rPr>
          <w:rFonts w:ascii="Arial" w:cs="Arial" w:eastAsia="Arial" w:hAnsi="Arial"/>
          <w:sz w:val="16"/>
          <w:szCs w:val="16"/>
          <w:color w:val="auto"/>
        </w:rPr>
        <w:t>SPV, L.P., or CRMA. The sole general partner of Cormorant Private Fund is Cormorant Private Healthcare GP, LLC and the sole general partner of Cormorant Master Fund is Cormorant Global Healthcare GP, LLC, and together Cormorant GP. Bihua Chen is the sole managing member of Cormorant GP, and may be deemed to have sole voting and investment power of the securities held by the Cormorant Private Fund and the Cormorant Master Fund. The sole investment manager of CRMA is Cormorant Asset Management, LLC, or the Manager. Bihua Chen is the sole managing member of the Manager, and may be deemed to have sole voting and investment power of the securities held by CRMA. The address of the Cormorant Private Fund, the Cormorant Master Fund and CRMA is 200 Clarendon Street, 52nd Floor, Boston, MA 02116.</w:t>
      </w:r>
    </w:p>
    <w:p>
      <w:pPr>
        <w:spacing w:after="0" w:line="5" w:lineRule="exact"/>
        <w:rPr>
          <w:sz w:val="20"/>
          <w:szCs w:val="20"/>
          <w:color w:val="auto"/>
        </w:rPr>
      </w:pPr>
    </w:p>
    <w:p>
      <w:pPr>
        <w:ind w:left="640" w:right="160" w:hanging="436"/>
        <w:spacing w:after="0" w:line="250"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(i) 1,750,000 shares of common stock, (ii) 300,000 shares of common stock held by Mac MacKay, (iii), 300,000 shares of common stock held by Kali MacKay and (iv) 437,500 shares of common stock issuable upon exercise of options within 60 days of March 31, 2018.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140,520 shares of common stock issuable upon exercise of options within 60 days of March 31, 2018.</w:t>
      </w:r>
    </w:p>
    <w:p>
      <w:pPr>
        <w:spacing w:after="0" w:line="9" w:lineRule="exact"/>
        <w:rPr>
          <w:rFonts w:ascii="Arial" w:cs="Arial" w:eastAsia="Arial" w:hAnsi="Arial"/>
          <w:sz w:val="18"/>
          <w:szCs w:val="18"/>
          <w:color w:val="auto"/>
        </w:rPr>
      </w:pPr>
    </w:p>
    <w:p>
      <w:pPr>
        <w:ind w:left="640" w:right="120" w:hanging="436"/>
        <w:spacing w:after="0" w:line="261"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an aggregate of 578,020 shares issuable upon exercise of stock options within 60 days of March 31, 2018 held by our executive officers and directors as a group.</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The following descriptions are summaries of the material terms of our amended and restated certificate of incorporation and amended and restated bylaws, which will be effective upon the closing of this offering. The descriptions of the common stock and preferred stock give effect to changes to our capital structure that will occur upon the completion of this offering. We refer in this section to our amended and restated certificate of incorporation as our certificate of incorporation, and we refer to our amended and restated bylaws as our bylaws.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920" w:right="860" w:hanging="278"/>
        <w:spacing w:after="0" w:line="277" w:lineRule="auto"/>
        <w:rPr>
          <w:sz w:val="20"/>
          <w:szCs w:val="20"/>
          <w:color w:val="auto"/>
        </w:rPr>
      </w:pPr>
      <w:r>
        <w:rPr>
          <w:rFonts w:ascii="Arial" w:cs="Arial" w:eastAsia="Arial" w:hAnsi="Arial"/>
          <w:sz w:val="18"/>
          <w:szCs w:val="18"/>
          <w:color w:val="auto"/>
        </w:rPr>
        <w:t>Upon completion of this offering, our authorized capital stock will consist of</w:t>
      </w:r>
      <w:r>
        <w:rPr>
          <w:sz w:val="20"/>
          <w:szCs w:val="20"/>
          <w:color w:val="auto"/>
        </w:rPr>
        <w:t xml:space="preserve"> </w:t>
      </w:r>
      <w:r>
        <w:rPr>
          <w:rFonts w:ascii="Arial" w:cs="Arial" w:eastAsia="Arial" w:hAnsi="Arial"/>
          <w:sz w:val="18"/>
          <w:szCs w:val="18"/>
          <w:color w:val="auto"/>
        </w:rPr>
        <w:t>shares of common stock, par value $0.0001 per share, and shares of preferred stock, par value $0.0001 per share, all of which shares of preferred stock will be undesignated.</w:t>
      </w:r>
    </w:p>
    <w:p>
      <w:pPr>
        <w:spacing w:after="0" w:line="170"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As of March 31, 2018, 10,666,667 shares of our common stock, 3,333,333 shares of Series Seed preferred stock, 31,450,499 shares of Series A preferred stock and 28,519,322 shares of Series B preferred stock were outstanding and held by 24 stockholders of record.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all outstanding shares of our preferred stock will be converted into shares of our common stock. Upon the</w:t>
      </w:r>
    </w:p>
    <w:p>
      <w:pPr>
        <w:spacing w:after="0" w:line="46"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there were outstanding options to purchase an aggregate of 7,391,214 shares of our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640"/>
        <w:spacing w:after="0"/>
        <w:tabs>
          <w:tab w:leader="none" w:pos="512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6"/>
          <w:szCs w:val="16"/>
          <w:color w:val="auto"/>
        </w:rPr>
        <w:t>shares of our common stock, including those issuable upon the conversion of</w:t>
      </w:r>
    </w:p>
    <w:p>
      <w:pPr>
        <w:spacing w:after="0" w:line="23"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preferred stock, will be entitled to rights with respect to the registration of these securities under the Securities Act. These rights are provided under the terms of an investors’ rights agreement between us and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640"/>
        <w:spacing w:after="0"/>
        <w:tabs>
          <w:tab w:leader="none" w:pos="7660" w:val="left"/>
        </w:tabs>
        <w:rPr>
          <w:sz w:val="20"/>
          <w:szCs w:val="20"/>
          <w:color w:val="auto"/>
        </w:rPr>
      </w:pPr>
      <w:r>
        <w:rPr>
          <w:rFonts w:ascii="Arial" w:cs="Arial" w:eastAsia="Arial" w:hAnsi="Arial"/>
          <w:sz w:val="18"/>
          <w:szCs w:val="18"/>
          <w:color w:val="auto"/>
        </w:rPr>
        <w:t>Beginning 180 days after the effective date of this registration statement, the holders of</w:t>
      </w:r>
      <w:r>
        <w:rPr>
          <w:sz w:val="20"/>
          <w:szCs w:val="20"/>
          <w:color w:val="auto"/>
        </w:rPr>
        <w:tab/>
      </w:r>
      <w:r>
        <w:rPr>
          <w:rFonts w:ascii="Arial" w:cs="Arial" w:eastAsia="Arial" w:hAnsi="Arial"/>
          <w:sz w:val="16"/>
          <w:szCs w:val="16"/>
          <w:color w:val="auto"/>
        </w:rPr>
        <w:t>shares of our common stock, including those</w:t>
      </w:r>
    </w:p>
    <w:p>
      <w:pPr>
        <w:spacing w:after="0" w:line="23"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color w:val="auto"/>
        </w:rPr>
        <w:t>issuable upon the conversion of preferred stock upon closing of this offering,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140" w:firstLine="4"/>
        <w:spacing w:after="0" w:line="290" w:lineRule="auto"/>
        <w:tabs>
          <w:tab w:leader="none" w:pos="41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deemed liquidation event, as defined in the investors’ rights agreement, (ii) the fifth anniversary of the completion of this offering and (iii) at such time after this offering when the holders’ shares may be sold without restriction pursuant to Rule 144 within a three month period.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upon the closing of this offering will include a number of provisions that may have the effect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provide for the division of our board of directors into three classes serving staggered three-year terms, with one class being elected each year. Our amended and restated certificate of incorporation will also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Any amendment of our amended and restated certificate of incorporation that will become effective upon the closing of this offering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for</w:t>
      </w:r>
    </w:p>
    <w:p>
      <w:pPr>
        <w:spacing w:after="0" w:line="23" w:lineRule="exact"/>
        <w:rPr>
          <w:sz w:val="20"/>
          <w:szCs w:val="20"/>
          <w:color w:val="auto"/>
        </w:rPr>
      </w:pPr>
    </w:p>
    <w:p>
      <w:pPr>
        <w:ind w:left="200" w:firstLine="720"/>
        <w:spacing w:after="0" w:line="251" w:lineRule="auto"/>
        <w:rPr>
          <w:sz w:val="20"/>
          <w:szCs w:val="20"/>
          <w:color w:val="auto"/>
        </w:rPr>
      </w:pPr>
      <w:r>
        <w:rPr>
          <w:rFonts w:ascii="Arial" w:cs="Arial" w:eastAsia="Arial" w:hAnsi="Arial"/>
          <w:sz w:val="18"/>
          <w:szCs w:val="18"/>
          <w:color w:val="auto"/>
        </w:rPr>
        <w:t>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Our amended and restated bylaws that will become effective upon the closing of this offering will provide that, unless we consent in writing to the selection of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9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 addition, our amended and restated bylaws that will become effective upon the closing of this offering will contain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We recognize that the federal district court forum selection clause may impose additional litigation costs on stockholders who assert the provision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is not enforceable and may impose more general additional litigation costs in pursuing any such claims, particularly if the stockholders do not reside in or near the Commonwealth of Massachusetts. Additionally, the forum selection clauses in our amended and restated bylaws may limit our stockholders’ ability to obtain a favorable judicial forum for disputes with us. Alternatively, if the federal district court forum selection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4" w:lineRule="exact"/>
        <w:rPr>
          <w:sz w:val="20"/>
          <w:szCs w:val="20"/>
          <w:color w:val="auto"/>
        </w:rPr>
      </w:pPr>
    </w:p>
    <w:p>
      <w:pPr>
        <w:ind w:left="1060" w:right="60" w:hanging="424"/>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140" w:hanging="424"/>
        <w:spacing w:after="0" w:line="279"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060" w:right="60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60"/>
          </w:cols>
          <w:pgMar w:left="24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apply to list our common stock on The Nasdaq Global Market under the trading symbol “AVRO.”</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0219"/>
          </w:cols>
          <w:pgMar w:left="240" w:top="460" w:right="1440" w:bottom="1440" w:gutter="0" w:footer="0" w:header="0"/>
        </w:sectPr>
      </w:pP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156</w:t>
      </w:r>
    </w:p>
    <w:p>
      <w:pPr>
        <w:sectPr>
          <w:pgSz w:w="11900" w:h="16838" w:orient="portrait"/>
          <w:cols w:equalWidth="0" w:num="2">
            <w:col w:w="5080" w:space="500"/>
            <w:col w:w="4639"/>
          </w:cols>
          <w:pgMar w:left="240" w:top="460" w:right="1440"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Based on the number of shares outstanding as of March 31, 2018, upon the completion of this offering,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shares of our common stock are restricted shares of common stock subject to time-based vesting terms.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w:t>
      </w:r>
    </w:p>
    <w:p>
      <w:pPr>
        <w:spacing w:after="0" w:line="35" w:lineRule="exact"/>
        <w:rPr>
          <w:sz w:val="20"/>
          <w:szCs w:val="20"/>
          <w:color w:val="auto"/>
        </w:rPr>
      </w:pPr>
    </w:p>
    <w:p>
      <w:pPr>
        <w:ind w:left="200" w:right="80" w:firstLine="4"/>
        <w:spacing w:after="0" w:line="253" w:lineRule="auto"/>
        <w:tabs>
          <w:tab w:leader="none" w:pos="4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80"/>
          </w:cols>
          <w:pgMar w:left="240" w:top="460" w:right="479" w:bottom="1440" w:gutter="0" w:footer="0" w:header="0"/>
        </w:sectPr>
      </w:pPr>
    </w:p>
    <w:p>
      <w:pPr>
        <w:spacing w:after="0" w:line="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1% of the number of shares then outstanding, which will equal approximately shares immediately after this offering, assuming no exercise of the underwriters’ option to purchase additional shares, based on the number of shares outstanding as of March 31, 2018; or</w:t>
      </w:r>
    </w:p>
    <w:p>
      <w:pPr>
        <w:spacing w:after="0" w:line="29" w:lineRule="exact"/>
        <w:rPr>
          <w:sz w:val="20"/>
          <w:szCs w:val="20"/>
          <w:color w:val="auto"/>
        </w:rPr>
      </w:pPr>
    </w:p>
    <w:p>
      <w:pPr>
        <w:sectPr>
          <w:pgSz w:w="11900" w:h="16838" w:orient="portrait"/>
          <w:cols w:equalWidth="0" w:num="2">
            <w:col w:w="700" w:space="360"/>
            <w:col w:w="10120"/>
          </w:cols>
          <w:pgMar w:left="240" w:top="460" w:right="479" w:bottom="1440" w:gutter="0" w:footer="0" w:header="0"/>
          <w:type w:val="continuous"/>
        </w:sectPr>
      </w:pPr>
    </w:p>
    <w:p>
      <w:pPr>
        <w:ind w:left="1060" w:right="4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71"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However, substantially all Rule 701 shares are subject to lock-up agreements as described below and under “Underwriters” included elsewhere in this prospectus and will become eligible for sale upon the expiration of the restrictions set forth in those agreements.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60" w:right="47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In connection with this offering, we and all of our directors, executive officers and substantially all of the holders of our stock and stock options have signed a lock-up agreement that prevents them from selling any of our common stock or any securities convertible into or exercisable or exchangeable for common stock for a period of not less than 180 days from the date of this prospectus without the prior written consent of Morgan Stanley &amp; Co. LLC and Cowen and Company, LLC, subject to certain exceptions. See the section entitled “Underwriters” appearing elsewhere in this prospectus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w:t>
      </w:r>
    </w:p>
    <w:p>
      <w:pPr>
        <w:ind w:left="200" w:right="40"/>
        <w:spacing w:after="0" w:line="261" w:lineRule="auto"/>
        <w:rPr>
          <w:sz w:val="20"/>
          <w:szCs w:val="20"/>
          <w:color w:val="auto"/>
        </w:rPr>
      </w:pPr>
      <w:r>
        <w:rPr>
          <w:rFonts w:ascii="Arial" w:cs="Arial" w:eastAsia="Arial" w:hAnsi="Arial"/>
          <w:sz w:val="18"/>
          <w:szCs w:val="18"/>
          <w:color w:val="auto"/>
        </w:rPr>
        <w:t>market, unless such shares are subject to vesting restrictions with us or the lock-up restrictions described above. As of , 2018, we estimate that such registration statement on Form S-8 will cover approximately shares.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10b5-1 Plans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After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71" w:lineRule="exact"/>
        <w:rPr>
          <w:sz w:val="20"/>
          <w:szCs w:val="20"/>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aspects of any U.S. federal tax other than the income tax, U.S. state, local or non-U.S. taxes, the alternative minimum tax, rules regarding qualified small business stock within the meaning of Section 1202 of the Code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7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00" w:hanging="424"/>
        <w:spacing w:after="0" w:line="255"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60" w:right="40" w:hanging="424"/>
        <w:spacing w:after="0" w:line="270"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60"/>
          </w:cols>
          <w:pgMar w:left="240" w:top="460"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but will only apply to payments of gross proceeds from a sale or other disposition of our common stock made after December 31, 2018.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Cowen and Company, LLC and Wells Fargo Securities, LLC are acting as representatives, have severally agreed to purchase, and we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-635</wp:posOffset>
            </wp:positionV>
            <wp:extent cx="524827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spacing w:after="0" w:line="21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20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right"/>
              <w:ind w:right="609"/>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No</w:t>
            </w:r>
          </w:p>
        </w:tc>
        <w:tc>
          <w:tcPr>
            <w:tcW w:w="5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29"/>
              <w:spacing w:after="0" w:line="119" w:lineRule="exact"/>
              <w:rPr>
                <w:sz w:val="20"/>
                <w:szCs w:val="20"/>
                <w:color w:val="auto"/>
              </w:rPr>
            </w:pPr>
            <w:r>
              <w:rPr>
                <w:rFonts w:ascii="Arial" w:cs="Arial" w:eastAsia="Arial" w:hAnsi="Arial"/>
                <w:sz w:val="13"/>
                <w:szCs w:val="13"/>
                <w:b w:val="1"/>
                <w:bCs w:val="1"/>
                <w:color w:val="auto"/>
              </w:rPr>
              <w:t>Full</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7"/>
              </w:rPr>
              <w:t>Share</w:t>
            </w: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Exercise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ind w:right="429"/>
              <w:spacing w:after="0"/>
              <w:rPr>
                <w:sz w:val="20"/>
                <w:szCs w:val="20"/>
                <w:color w:val="auto"/>
              </w:rPr>
            </w:pPr>
            <w:r>
              <w:rPr>
                <w:rFonts w:ascii="Arial" w:cs="Arial" w:eastAsia="Arial" w:hAnsi="Arial"/>
                <w:sz w:val="15"/>
                <w:szCs w:val="15"/>
                <w:color w:val="auto"/>
                <w:w w:val="71"/>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18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660" w:type="dxa"/>
            <w:vAlign w:val="bottom"/>
            <w:gridSpan w:val="8"/>
          </w:tcPr>
          <w:p>
            <w:pPr>
              <w:jc w:val="right"/>
              <w:ind w:right="29"/>
              <w:spacing w:after="0"/>
              <w:rPr>
                <w:sz w:val="20"/>
                <w:szCs w:val="20"/>
                <w:color w:val="auto"/>
              </w:rPr>
            </w:pPr>
            <w:r>
              <w:rPr>
                <w:rFonts w:ascii="Arial" w:cs="Arial" w:eastAsia="Arial" w:hAnsi="Arial"/>
                <w:sz w:val="18"/>
                <w:szCs w:val="18"/>
                <w:color w:val="auto"/>
                <w:w w:val="94"/>
              </w:rPr>
              <w:t>The estimated offering expenses payable by us, exclusive of the underwriting discounts and commissions, are approximately $</w:t>
            </w:r>
          </w:p>
        </w:tc>
        <w:tc>
          <w:tcPr>
            <w:tcW w:w="1060" w:type="dxa"/>
            <w:vAlign w:val="bottom"/>
          </w:tcPr>
          <w:p>
            <w:pPr>
              <w:ind w:left="300"/>
              <w:spacing w:after="0"/>
              <w:rPr>
                <w:sz w:val="20"/>
                <w:szCs w:val="20"/>
                <w:color w:val="auto"/>
              </w:rPr>
            </w:pPr>
            <w:r>
              <w:rPr>
                <w:rFonts w:ascii="Arial" w:cs="Arial" w:eastAsia="Arial" w:hAnsi="Arial"/>
                <w:sz w:val="18"/>
                <w:szCs w:val="18"/>
                <w:color w:val="auto"/>
                <w:w w:val="91"/>
              </w:rPr>
              <w:t>. We have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720" w:type="dxa"/>
            <w:vAlign w:val="bottom"/>
            <w:gridSpan w:val="9"/>
          </w:tcPr>
          <w:p>
            <w:pPr>
              <w:spacing w:after="0"/>
              <w:rPr>
                <w:sz w:val="20"/>
                <w:szCs w:val="20"/>
                <w:color w:val="auto"/>
              </w:rPr>
            </w:pPr>
            <w:r>
              <w:rPr>
                <w:rFonts w:ascii="Arial" w:cs="Arial" w:eastAsia="Arial" w:hAnsi="Arial"/>
                <w:sz w:val="18"/>
                <w:szCs w:val="18"/>
                <w:color w:val="auto"/>
                <w:w w:val="94"/>
              </w:rPr>
              <w:t>agreed to reimburse the underwriters for expenses relating to clearance of this offering with the Financial Industry Regulatory Authority up to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360" w:type="dxa"/>
            <w:vAlign w:val="bottom"/>
            <w:gridSpan w:val="2"/>
          </w:tcPr>
          <w:p>
            <w:pPr>
              <w:jc w:val="right"/>
              <w:ind w:right="630"/>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The Nasdaq Global Market under the symbol “AVRO.”</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and all of our directors and officers and the holders of substantially all of our outstanding stock and stock options have agreed that, without the prior written consent of Morgan Stanley &amp; Co. LLC and Cowen and Company, LLC,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4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as a bona fide gift;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corporation, partnership, limited liability company or other entity controlled or managed by the signatory, in a transaction not involving a disposition for value;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to us pursuant to any contractual arrangement in effect prior to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auto"/>
        </w:rPr>
        <w:t>date of this prospectus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73" w:lineRule="exact"/>
        <w:rPr>
          <w:sz w:val="20"/>
          <w:szCs w:val="20"/>
          <w:color w:val="auto"/>
        </w:rPr>
      </w:pPr>
    </w:p>
    <w:p>
      <w:pPr>
        <w:ind w:left="1060" w:right="180" w:hanging="424"/>
        <w:spacing w:after="0" w:line="290"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conversion of any convertible preferred stock described in this prospectus and outstanding as of the date of this prospectus into, or the exercise of any option or warrant described in the prospectus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71" w:lineRule="exact"/>
        <w:rPr>
          <w:rFonts w:ascii="Arial" w:cs="Arial" w:eastAsia="Arial" w:hAnsi="Arial"/>
          <w:sz w:val="16"/>
          <w:szCs w:val="16"/>
          <w:color w:val="auto"/>
        </w:rPr>
      </w:pPr>
    </w:p>
    <w:p>
      <w:pPr>
        <w:jc w:val="both"/>
        <w:ind w:left="1060" w:right="80" w:hanging="424"/>
        <w:spacing w:after="0" w:line="286"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auto"/>
        </w:rPr>
      </w:pPr>
    </w:p>
    <w:p>
      <w:pPr>
        <w:ind w:left="1060" w:right="140" w:hanging="424"/>
        <w:spacing w:after="0" w:line="25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pursuant to stock plans disclosed in this prospectus; or</w:t>
      </w:r>
    </w:p>
    <w:p>
      <w:pPr>
        <w:spacing w:after="0" w:line="75"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perform various financial advisory and investment banking services for us, for which they will receive customary fees and expenses.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ratios, price-sales ratios, market prices of securities, and certain financial and operating information of companies engaged in activities similar to ours.</w:t>
      </w:r>
    </w:p>
    <w:p>
      <w:pPr>
        <w:spacing w:after="0" w:line="352"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hanging="299"/>
        <w:spacing w:after="0" w:line="259"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80" w:hanging="310"/>
        <w:spacing w:after="0" w:line="27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240" w:top="460" w:right="5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Goodwin Procter LLP, Boston, Massachusetts. Certain legal matters relating to this offering will be passed upon for the underwriters by Ropes &amp; Gray LLP, Boston, Massachusetts.</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AVROBIO, Inc. at December 31, 2016 and 2017,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filed with the SEC a registration statement on Form S-1 (File Number 333- )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73"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You may also read and copy any document we file with the SEC at its public reference facility at 100 F Street, N.E.,</w:t>
      </w:r>
    </w:p>
    <w:p>
      <w:pPr>
        <w:ind w:left="200" w:right="20"/>
        <w:spacing w:after="0" w:line="255" w:lineRule="auto"/>
        <w:rPr>
          <w:sz w:val="20"/>
          <w:szCs w:val="20"/>
          <w:color w:val="auto"/>
        </w:rPr>
      </w:pPr>
      <w:r>
        <w:rPr>
          <w:rFonts w:ascii="Arial" w:cs="Arial" w:eastAsia="Arial" w:hAnsi="Arial"/>
          <w:sz w:val="18"/>
          <w:szCs w:val="18"/>
          <w:color w:val="auto"/>
        </w:rPr>
        <w:t>Room 1580, Washington, D.C. 20549. We also maintain a website at www.avrobio.com.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19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Index to Consolidated Financial Statements as of December 31, 2016 and 2017 and for the Years Ended December 31, 2016 and 2017</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Consolidated Statements of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Consolidated Statements of Cash Flows</w:t>
              </w:r>
            </w:hyperlink>
          </w:p>
        </w:tc>
        <w:tc>
          <w:tcPr>
            <w:tcW w:w="3980" w:type="dxa"/>
            <w:vAlign w:val="bottom"/>
            <w:tcBorders>
              <w:top w:val="single" w:sz="8" w:color="0000EE"/>
            </w:tcBorders>
            <w:gridSpan w:val="4"/>
          </w:tcPr>
          <w:p>
            <w:pPr>
              <w:spacing w:after="0"/>
              <w:rPr>
                <w:sz w:val="17"/>
                <w:szCs w:val="17"/>
                <w:color w:val="auto"/>
              </w:rPr>
            </w:pPr>
          </w:p>
        </w:tc>
        <w:tc>
          <w:tcPr>
            <w:tcW w:w="380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9">
              <w:r>
                <w:rPr>
                  <w:rFonts w:ascii="Arial" w:cs="Arial" w:eastAsia="Arial" w:hAnsi="Arial"/>
                  <w:sz w:val="18"/>
                  <w:szCs w:val="18"/>
                  <w:color w:val="0000EE"/>
                  <w:w w:val="89"/>
                </w:rPr>
                <w:t>Notes to Consolidated Financial Statements</w:t>
              </w:r>
            </w:hyperlink>
          </w:p>
        </w:tc>
        <w:tc>
          <w:tcPr>
            <w:tcW w:w="7500" w:type="dxa"/>
            <w:vAlign w:val="bottom"/>
            <w:gridSpan w:val="4"/>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Index to Unaudited Interim Condensed Consolidated Financial Statements as of December 31, 2017 and March 31, 2018 and for the Three Month Periods Ended March 31, 2017 and 2018</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940" w:type="dxa"/>
            <w:vAlign w:val="bottom"/>
            <w:vMerge w:val="restart"/>
          </w:tcPr>
          <w:p>
            <w:pPr>
              <w:spacing w:after="0"/>
              <w:rPr>
                <w:rFonts w:ascii="Arial" w:cs="Arial" w:eastAsia="Arial" w:hAnsi="Arial"/>
                <w:sz w:val="18"/>
                <w:szCs w:val="18"/>
                <w:color w:val="0000EE"/>
                <w:w w:val="87"/>
              </w:rPr>
            </w:pPr>
            <w:hyperlink w:anchor="page209">
              <w:r>
                <w:rPr>
                  <w:rFonts w:ascii="Arial" w:cs="Arial" w:eastAsia="Arial" w:hAnsi="Arial"/>
                  <w:sz w:val="18"/>
                  <w:szCs w:val="18"/>
                  <w:color w:val="0000EE"/>
                  <w:w w:val="87"/>
                </w:rPr>
                <w:t>Condensed Consolidated Balance Sheets</w:t>
              </w:r>
            </w:hyperlink>
          </w:p>
        </w:tc>
        <w:tc>
          <w:tcPr>
            <w:tcW w:w="7640" w:type="dxa"/>
            <w:vAlign w:val="bottom"/>
            <w:gridSpan w:val="5"/>
            <w:vMerge w:val="restart"/>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0000EE"/>
            </w:tcBorders>
            <w:vMerge w:val="continue"/>
          </w:tcPr>
          <w:p>
            <w:pPr>
              <w:spacing w:after="0"/>
              <w:rPr>
                <w:sz w:val="14"/>
                <w:szCs w:val="14"/>
                <w:color w:val="auto"/>
              </w:rPr>
            </w:pPr>
          </w:p>
        </w:tc>
        <w:tc>
          <w:tcPr>
            <w:tcW w:w="7640" w:type="dxa"/>
            <w:vAlign w:val="bottom"/>
            <w:gridSpan w:val="5"/>
            <w:vMerge w:val="continue"/>
          </w:tcPr>
          <w:p>
            <w:pPr>
              <w:spacing w:after="0"/>
              <w:rPr>
                <w:sz w:val="14"/>
                <w:szCs w:val="14"/>
                <w:color w:val="auto"/>
              </w:rPr>
            </w:pPr>
          </w:p>
        </w:tc>
        <w:tc>
          <w:tcPr>
            <w:tcW w:w="400" w:type="dxa"/>
            <w:vAlign w:val="bottom"/>
          </w:tcPr>
          <w:p>
            <w:pPr>
              <w:ind w:left="60"/>
              <w:spacing w:after="0" w:line="170" w:lineRule="exact"/>
              <w:rPr>
                <w:sz w:val="20"/>
                <w:szCs w:val="20"/>
                <w:color w:val="auto"/>
              </w:rPr>
            </w:pPr>
            <w:r>
              <w:rPr>
                <w:rFonts w:ascii="Arial" w:cs="Arial" w:eastAsia="Arial" w:hAnsi="Arial"/>
                <w:sz w:val="18"/>
                <w:szCs w:val="18"/>
                <w:color w:val="auto"/>
                <w:w w:val="86"/>
              </w:rPr>
              <w:t>F-37</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Condensed Consolidated Statements of Operations and Comprehensive Loss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F-38</w:t>
            </w:r>
          </w:p>
        </w:tc>
        <w:tc>
          <w:tcPr>
            <w:tcW w:w="0" w:type="dxa"/>
            <w:vAlign w:val="bottom"/>
          </w:tcPr>
          <w:p>
            <w:pPr>
              <w:spacing w:after="0"/>
              <w:rPr>
                <w:sz w:val="1"/>
                <w:szCs w:val="1"/>
                <w:color w:val="auto"/>
              </w:rPr>
            </w:pPr>
          </w:p>
        </w:tc>
      </w:tr>
      <w:tr>
        <w:trPr>
          <w:trHeight w:val="20"/>
        </w:trPr>
        <w:tc>
          <w:tcPr>
            <w:tcW w:w="3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Condensed Consolidated Statements of Redeemable Convertible Preferred Stock and Stockholders’ (Deficit) Equity</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F-39</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12">
              <w:r>
                <w:rPr>
                  <w:rFonts w:ascii="Arial" w:cs="Arial" w:eastAsia="Arial" w:hAnsi="Arial"/>
                  <w:sz w:val="18"/>
                  <w:szCs w:val="18"/>
                  <w:color w:val="0000EE"/>
                  <w:w w:val="88"/>
                </w:rPr>
                <w:t>Condensed Consolidated Statements of Cash Flows</w:t>
              </w:r>
            </w:hyperlink>
          </w:p>
        </w:tc>
        <w:tc>
          <w:tcPr>
            <w:tcW w:w="4640" w:type="dxa"/>
            <w:vAlign w:val="bottom"/>
            <w:tcBorders>
              <w:top w:val="single" w:sz="8" w:color="0000EE"/>
            </w:tcBorders>
            <w:gridSpan w:val="3"/>
          </w:tcPr>
          <w:p>
            <w:pPr>
              <w:spacing w:after="0"/>
              <w:rPr>
                <w:sz w:val="17"/>
                <w:szCs w:val="17"/>
                <w:color w:val="auto"/>
              </w:rPr>
            </w:pPr>
          </w:p>
        </w:tc>
        <w:tc>
          <w:tcPr>
            <w:tcW w:w="222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F-40</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Notes to Condensed Consolidated Financial Statements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F-41</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80" w:type="dxa"/>
            <w:vAlign w:val="bottom"/>
            <w:gridSpan w:val="3"/>
          </w:tcPr>
          <w:p>
            <w:pPr>
              <w:ind w:left="1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AVROBIO,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audited the accompanying consolidated balance sheets of AVROBIO, Inc. (the Company) as of December 31, 2016 and 2017,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6, 2018</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60"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w w:val="98"/>
              </w:rPr>
              <w:t>Common stock, $0.0001 par value; 40,000,000 and 51,000,000 shares authorized as of December 31, 2016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w w:val="93"/>
              </w:rPr>
              <w:t>2017, respectively; 10,666,667 shares issued as of December 31, 2016 and 2017; 8,975,000 and 9,524,999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rPr>
              <w:t>outstanding as of December 31, 2016 and 2017,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(4,827)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2,663</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13)</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number of common shares used in computing net loss per share attributable to common</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8,421,130</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5"/>
              </w:rPr>
              <w:t>Pro forma net loss per share attributable to common stockholders—basic and diluted (unaudited) (Note 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Pro forma weighted-average number of common shares used in computing pro forma net loss per share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 (unaudited)</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40" w:type="dxa"/>
            <w:vAlign w:val="bottom"/>
            <w:gridSpan w:val="3"/>
          </w:tcPr>
          <w:p>
            <w:pPr>
              <w:jc w:val="center"/>
              <w:ind w:left="230"/>
              <w:spacing w:after="0"/>
              <w:rPr>
                <w:sz w:val="20"/>
                <w:szCs w:val="20"/>
                <w:color w:val="auto"/>
              </w:rPr>
            </w:pPr>
            <w:r>
              <w:rPr>
                <w:rFonts w:ascii="Arial" w:cs="Arial" w:eastAsia="Arial" w:hAnsi="Arial"/>
                <w:sz w:val="13"/>
                <w:szCs w:val="13"/>
                <w:b w:val="1"/>
                <w:bCs w:val="1"/>
                <w:color w:val="auto"/>
                <w:w w:val="81"/>
              </w:rPr>
              <w:t>Series Seed</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center"/>
              <w:ind w:left="330"/>
              <w:spacing w:after="0"/>
              <w:rPr>
                <w:sz w:val="20"/>
                <w:szCs w:val="20"/>
                <w:color w:val="auto"/>
              </w:rPr>
            </w:pPr>
            <w:r>
              <w:rPr>
                <w:rFonts w:ascii="Arial" w:cs="Arial" w:eastAsia="Arial" w:hAnsi="Arial"/>
                <w:sz w:val="13"/>
                <w:szCs w:val="13"/>
                <w:b w:val="1"/>
                <w:bCs w:val="1"/>
                <w:color w:val="auto"/>
                <w:w w:val="80"/>
              </w:rPr>
              <w:t>Series A</w:t>
            </w:r>
          </w:p>
        </w:tc>
        <w:tc>
          <w:tcPr>
            <w:tcW w:w="4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2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200" w:type="dxa"/>
            <w:vAlign w:val="bottom"/>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3"/>
          </w:tcPr>
          <w:p>
            <w:pPr>
              <w:jc w:val="center"/>
              <w:ind w:left="23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tcPr>
          <w:p>
            <w:pPr>
              <w:jc w:val="center"/>
              <w:spacing w:after="0" w:line="140" w:lineRule="exact"/>
              <w:rPr>
                <w:sz w:val="20"/>
                <w:szCs w:val="20"/>
                <w:color w:val="auto"/>
              </w:rPr>
            </w:pPr>
            <w:r>
              <w:rPr>
                <w:rFonts w:ascii="Arial" w:cs="Arial" w:eastAsia="Arial" w:hAnsi="Arial"/>
                <w:sz w:val="13"/>
                <w:szCs w:val="13"/>
                <w:b w:val="1"/>
                <w:bCs w:val="1"/>
                <w:color w:val="auto"/>
                <w:w w:val="86"/>
              </w:rPr>
              <w:t>Convertible</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4"/>
          </w:tcPr>
          <w:p>
            <w:pPr>
              <w:jc w:val="right"/>
              <w:ind w:right="160"/>
              <w:spacing w:after="0" w:line="140"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0" w:type="dxa"/>
            <w:vAlign w:val="bottom"/>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Paid-in</w:t>
            </w:r>
          </w:p>
        </w:tc>
        <w:tc>
          <w:tcPr>
            <w:tcW w:w="1000" w:type="dxa"/>
            <w:vAlign w:val="bottom"/>
            <w:gridSpan w:val="4"/>
          </w:tcPr>
          <w:p>
            <w:pPr>
              <w:ind w:left="120"/>
              <w:spacing w:after="0"/>
              <w:rPr>
                <w:sz w:val="20"/>
                <w:szCs w:val="20"/>
                <w:color w:val="auto"/>
              </w:rPr>
            </w:pPr>
            <w:r>
              <w:rPr>
                <w:rFonts w:ascii="Arial" w:cs="Arial" w:eastAsia="Arial" w:hAnsi="Arial"/>
                <w:sz w:val="13"/>
                <w:szCs w:val="13"/>
                <w:b w:val="1"/>
                <w:bCs w:val="1"/>
                <w:color w:val="auto"/>
              </w:rPr>
              <w:t>Accumulated</w:t>
            </w:r>
          </w:p>
        </w:tc>
        <w:tc>
          <w:tcPr>
            <w:tcW w:w="9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2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200"/>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70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CEEFF"/>
            </w:tcBorders>
            <w:shd w:val="clear" w:color="auto" w:fill="CCEEFF"/>
          </w:tcPr>
          <w:p>
            <w:pPr>
              <w:jc w:val="right"/>
              <w:ind w:right="1628"/>
              <w:spacing w:after="0" w:line="142" w:lineRule="exact"/>
              <w:rPr>
                <w:sz w:val="20"/>
                <w:szCs w:val="20"/>
                <w:color w:val="auto"/>
              </w:rPr>
            </w:pPr>
            <w:r>
              <w:rPr>
                <w:rFonts w:ascii="Arial" w:cs="Arial" w:eastAsia="Arial" w:hAnsi="Arial"/>
                <w:sz w:val="14"/>
                <w:szCs w:val="14"/>
                <w:color w:val="auto"/>
                <w:w w:val="89"/>
              </w:rPr>
              <w:t>Balance as of December 31, 2015</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5,200,000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w w:val="96"/>
              </w:rPr>
              <w:t>Issuance of series Seed redeemable convertible preferred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stock, net of issuance costs of $102</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3,333,333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1,398</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Modification of founders common stock to include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certain time-based vesting restricitions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(1,366,666)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341,666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stock, net of issuance costs of $203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7,297</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156"/>
        </w:trPr>
        <w:tc>
          <w:tcPr>
            <w:tcW w:w="3640" w:type="dxa"/>
            <w:vAlign w:val="bottom"/>
            <w:gridSpan w:val="2"/>
          </w:tcPr>
          <w:p>
            <w:pPr>
              <w:jc w:val="right"/>
              <w:ind w:right="1628"/>
              <w:spacing w:after="0" w:line="155" w:lineRule="exact"/>
              <w:rPr>
                <w:sz w:val="20"/>
                <w:szCs w:val="20"/>
                <w:color w:val="auto"/>
              </w:rPr>
            </w:pPr>
            <w:r>
              <w:rPr>
                <w:rFonts w:ascii="Arial" w:cs="Arial" w:eastAsia="Arial" w:hAnsi="Arial"/>
                <w:sz w:val="14"/>
                <w:szCs w:val="14"/>
                <w:color w:val="auto"/>
                <w:w w:val="90"/>
              </w:rPr>
              <w:t>Balance as of December 31, 2016</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3,333,333</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7,500</w:t>
            </w: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8,975,000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(4,827)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3,720,864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Arial" w:cs="Arial" w:eastAsia="Arial" w:hAnsi="Arial"/>
                <w:sz w:val="14"/>
                <w:szCs w:val="14"/>
                <w:color w:val="auto"/>
              </w:rPr>
              <w:t>stock, net of issuance costs of $85</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22,015,349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17,415</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549,999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jc w:val="right"/>
              <w:ind w:right="1628"/>
              <w:spacing w:after="0" w:line="149" w:lineRule="exact"/>
              <w:rPr>
                <w:sz w:val="20"/>
                <w:szCs w:val="20"/>
                <w:color w:val="auto"/>
              </w:rPr>
            </w:pPr>
            <w:r>
              <w:rPr>
                <w:rFonts w:ascii="Arial" w:cs="Arial" w:eastAsia="Arial" w:hAnsi="Arial"/>
                <w:sz w:val="14"/>
                <w:szCs w:val="14"/>
                <w:color w:val="auto"/>
                <w:w w:val="89"/>
              </w:rPr>
              <w:t>Balance as of December 31, 2017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3,333,333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1,500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31,450,499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25,000</w:t>
            </w:r>
          </w:p>
        </w:tc>
        <w:tc>
          <w:tcPr>
            <w:tcW w:w="2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9,524,999</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(23,475)</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(4,664)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license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Non-cash research and development expense related to derivative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(3,314)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Changes in restricted cash</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Payments of issuance costs on debt facility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Through December 31, 2017, the Company has funded its operations primarily with proceeds from the sale of series Seed redeemable convertible preferred stock (the “Series Seed Preferred Stock”) and series A redeemable convertible preferred stock (the “Series A Preferred Stock”), (the Series Seed Preferred Stock and the Series A Preferred Stock are collectively referred to as the “Preferred Stock”). The Company has incurred recurring losses since its inception, including net losses of $4,664 and $18,648 for the years ended December 31, 2016 and 2017, respectively. In addition, as of December 31, 2017, the Company had an accumulated deficit of $23,475.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6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Company believes the cash and cash equivalents on hand as of December 31, 2017 of $5,963, together with the $60,500 of gross cash proceeds received from the Company’s sale of series B redeemable convertible preferred stock (the “Series B Preferred Stock”) in January 2018 (see Note 17) will be sufficient to fund its operations and capital expenditure requirements through at least April 6, 2019.</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consolidated statements of operations and comprehensive loss, the unaudited pro forma basic and diluted net loss per share attributable to common stockholders for the year ended December 31, 2017 has been computed using the weighted-average number of common shares outstanding after giving pro forma effect to the conversion of all outstanding shares of redeemable convertible preferred stock into 34,783,832 shares of common stock and the conversion of the outstanding warrant to purchase shares of redeemable convertible preferred stock as of December 31, 2017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restricted cash consisted of $24 used to secure a letter of credit for the benefit of the landlord in connection with the Company’s lease agreement (Note 14). These amounts are classified as other assets in the Company’s consolidated balance sheets.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2017, the Company recorded deferred issuance costs of $85 within other assets on the consolidated balance sheet related to the Series B Preferred Stock offering which was consummated in January 2018 (Note 17). There were no amounts deferred as of December 31, 2016.</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Lesser of lease term or</w:t>
            </w: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424"/>
        <w:spacing w:after="0" w:line="264"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60"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year ended December 31, 2017.</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 classifies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is subsequently remeasured to fair value at each reporting date. Changes in the fair value of the warrant to purchase preferred stock are recognized as a component of other income (expense), net in the consolidated statements of operations and comprehensive loss. Changes in the fair value of the warrant to purchase preferred stock will continue to be recognized until the warrant is exercised, expires or qualifies for equity classification.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utilizes the Black-Scholes option-pricing model, which incorporates assumptions and estimates, to value the warrant. The Company assesses these assumptions and estimates on a quarterly basis as additional information impacting the assumptions is obtained. Estimates and assumptions impacting the fair value measurement include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2016 and 2017, the Company recorded foreign exchange losses of $6 and $19, respectively, in other expense.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 the level of the fair value hierarchy utilized to determine such fair values as of December 31, 2016 and 2017:</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2016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$5,684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5,708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$ 371</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December 31, 2016 and 2017,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warrant to purchase redeemable convertible preferred stock liability in the table above is composed of the fair value of a warrant to purchase shares of Series A Preferred Stock that was issued to a lender in connection with a loan and security agreement in 2017 (the “Loan Agreement”) (Note 7).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June 23, 2017</w:t>
            </w:r>
          </w:p>
        </w:tc>
        <w:tc>
          <w:tcPr>
            <w:tcW w:w="20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320" w:type="dxa"/>
            <w:vAlign w:val="bottom"/>
            <w:gridSpan w:val="2"/>
          </w:tcPr>
          <w:p>
            <w:pPr>
              <w:jc w:val="center"/>
              <w:ind w:left="2114"/>
              <w:spacing w:after="0"/>
              <w:rPr>
                <w:sz w:val="20"/>
                <w:szCs w:val="20"/>
                <w:color w:val="auto"/>
              </w:rPr>
            </w:pPr>
            <w:r>
              <w:rPr>
                <w:rFonts w:ascii="Arial" w:cs="Arial" w:eastAsia="Arial" w:hAnsi="Arial"/>
                <w:sz w:val="14"/>
                <w:szCs w:val="14"/>
                <w:b w:val="1"/>
                <w:bCs w:val="1"/>
                <w:color w:val="auto"/>
                <w:w w:val="89"/>
              </w:rPr>
              <w:t>(Date of issuance)</w:t>
            </w: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 (years)</w:t>
            </w:r>
          </w:p>
        </w:tc>
        <w:tc>
          <w:tcPr>
            <w:tcW w:w="2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8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2"/>
          </w:tcPr>
          <w:p>
            <w:pPr>
              <w:jc w:val="center"/>
              <w:ind w:left="2134"/>
              <w:spacing w:after="0"/>
              <w:rPr>
                <w:sz w:val="20"/>
                <w:szCs w:val="20"/>
                <w:color w:val="auto"/>
              </w:rPr>
            </w:pPr>
            <w:r>
              <w:rPr>
                <w:rFonts w:ascii="Arial" w:cs="Arial" w:eastAsia="Arial" w:hAnsi="Arial"/>
                <w:sz w:val="18"/>
                <w:szCs w:val="18"/>
                <w:color w:val="auto"/>
                <w:w w:val="90"/>
              </w:rPr>
              <w:t>2.15%</w:t>
            </w:r>
          </w:p>
        </w:tc>
        <w:tc>
          <w:tcPr>
            <w:tcW w:w="2060" w:type="dxa"/>
            <w:vAlign w:val="bottom"/>
            <w:gridSpan w:val="2"/>
          </w:tcPr>
          <w:p>
            <w:pPr>
              <w:jc w:val="center"/>
              <w:ind w:left="794"/>
              <w:spacing w:after="0"/>
              <w:rPr>
                <w:sz w:val="20"/>
                <w:szCs w:val="20"/>
                <w:color w:val="auto"/>
              </w:rPr>
            </w:pPr>
            <w:r>
              <w:rPr>
                <w:rFonts w:ascii="Arial" w:cs="Arial" w:eastAsia="Arial" w:hAnsi="Arial"/>
                <w:sz w:val="18"/>
                <w:szCs w:val="18"/>
                <w:color w:val="auto"/>
                <w:w w:val="90"/>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91"/>
              </w:rPr>
              <w:t>80.00%</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91"/>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88"/>
              </w:rPr>
              <w:t>$0.79</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88"/>
              </w:rPr>
              <w:t>$1.42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Warrant</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20" w:type="dxa"/>
            <w:vAlign w:val="bottom"/>
          </w:tcPr>
          <w:p>
            <w:pPr>
              <w:spacing w:after="0"/>
              <w:rPr>
                <w:sz w:val="18"/>
                <w:szCs w:val="18"/>
                <w:color w:val="auto"/>
              </w:rPr>
            </w:pPr>
          </w:p>
        </w:tc>
        <w:tc>
          <w:tcPr>
            <w:tcW w:w="10420" w:type="dxa"/>
            <w:vAlign w:val="bottom"/>
            <w:tcBorders>
              <w:top w:val="single" w:sz="8" w:color="CCEEFF"/>
            </w:tcBorders>
            <w:shd w:val="clear" w:color="auto" w:fill="CCEEFF"/>
          </w:tcPr>
          <w:p>
            <w:pPr>
              <w:jc w:val="right"/>
              <w:ind w:right="7910"/>
              <w:spacing w:after="0"/>
              <w:rPr>
                <w:sz w:val="20"/>
                <w:szCs w:val="20"/>
                <w:color w:val="auto"/>
              </w:rPr>
            </w:pPr>
            <w:r>
              <w:rPr>
                <w:rFonts w:ascii="Arial" w:cs="Arial" w:eastAsia="Arial" w:hAnsi="Arial"/>
                <w:sz w:val="18"/>
                <w:szCs w:val="18"/>
                <w:color w:val="auto"/>
                <w:w w:val="88"/>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Initial fair value of warrant to purchase redeemable convertible preferred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10440" w:type="dxa"/>
            <w:vAlign w:val="bottom"/>
            <w:gridSpan w:val="2"/>
          </w:tcPr>
          <w:p>
            <w:pPr>
              <w:jc w:val="right"/>
              <w:ind w:right="7910"/>
              <w:spacing w:after="0"/>
              <w:rPr>
                <w:sz w:val="20"/>
                <w:szCs w:val="20"/>
                <w:color w:val="auto"/>
              </w:rPr>
            </w:pPr>
            <w:r>
              <w:rPr>
                <w:rFonts w:ascii="Arial" w:cs="Arial" w:eastAsia="Arial" w:hAnsi="Arial"/>
                <w:sz w:val="18"/>
                <w:szCs w:val="18"/>
                <w:color w:val="auto"/>
                <w:w w:val="88"/>
              </w:rPr>
              <w:t>Balance as of December 31, 2017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 January 2016, in connection with a license agreement entered into with University Health Network (“UHN”), and as part of the initial consideration for the license, the Company issued 4,800,000 shares of common stock to UHN pursuant to a stock purchase agreement (the “Stock Purchase Agreement”). See Note 11 for further discussion on the license agreement. The shares were fully vested on the date of issuance and did not contain any restrictions.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December 31, 2016 and 2017, the Company remeasured the fair value of the derivative, using current assumptions, resulting in an increase in fair value of $39 and $283, respectively, which was recorded in other expense in the accompanying consolidated statements of operations and comprehensive loss for the years ended December 31, 2016 and 2017.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Initial fair value of derivative liability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60" w:right="41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Property and equipment, net consisted of the following:</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Laboratory and 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ind w:left="561" w:hanging="561"/>
        <w:spacing w:after="0"/>
        <w:tabs>
          <w:tab w:leader="none" w:pos="56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126</w:t>
      </w:r>
    </w:p>
    <w:p>
      <w:pPr>
        <w:spacing w:after="0" w:line="7"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240</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1"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394</w:t>
      </w:r>
    </w:p>
    <w:p>
      <w:pPr>
        <w:spacing w:after="0" w:line="23"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5314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314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ind w:left="561" w:hanging="561"/>
        <w:spacing w:after="0"/>
        <w:tabs>
          <w:tab w:leader="none" w:pos="56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59" w:space="720"/>
            <w:col w:w="961"/>
          </w:cols>
          <w:pgMar w:left="240" w:top="460" w:right="419" w:bottom="1440" w:gutter="0" w:footer="0" w:header="0"/>
          <w:type w:val="continuous"/>
        </w:sectPr>
      </w:pPr>
    </w:p>
    <w:p>
      <w:pPr>
        <w:spacing w:after="0" w:line="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December 31, 2016, the Company did not hold any property and equipment. Depreciation and amortization expense for the year ended December 31, 2017 was $45.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2,098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December 31, 2017, the Company had not drawn down from the facility and $3,500 was available to the Company.</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December 31, 2017.</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December 31, 2017,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determined that the fair value of the preferred stock warrant liability was $35. The Company recognized a loss of $17 in the consolidated statements of operations and comprehensive loss for the year ended December 31, 2017,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As of December 31, 2016, the authorized capital stock of the Company included 22,380,952 shares of $0.0001 par value preferred stock, of which 3,333,333 shares have been designated as Series Seed Preferred Stock and 19,047,619 shares have been designated as Series A Preferred Stock. As of December 31, 2017, the authorized capital stock of the Company included 34,972,535 shares of $0.0001 par value preferred stock, of</w:t>
      </w:r>
    </w:p>
    <w:p>
      <w:pPr>
        <w:ind w:left="200"/>
        <w:spacing w:after="0"/>
        <w:rPr>
          <w:sz w:val="20"/>
          <w:szCs w:val="20"/>
          <w:color w:val="auto"/>
        </w:rPr>
      </w:pPr>
      <w:r>
        <w:rPr>
          <w:rFonts w:ascii="Arial" w:cs="Arial" w:eastAsia="Arial" w:hAnsi="Arial"/>
          <w:sz w:val="16"/>
          <w:szCs w:val="16"/>
          <w:color w:val="auto"/>
        </w:rPr>
        <w:t>which 3,333,333 shares have been designated as Series Seed Preferred Stock and 31,639,202 shares have been designated as Series A Preferred Stock.</w:t>
      </w:r>
    </w:p>
    <w:p>
      <w:pPr>
        <w:spacing w:after="0" w:line="23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January 2016, the Company issued and sold 3,333,333 shares of Series Seed Preferred Stock at a price of $0.45 per share, for total proceeds of $1,398, net of issuance costs of $102.</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July 2016, the Company issued and sold 5,714,286 shares of Series A Preferred Stock, at a price of $1.3125 per share, for total proceeds of $7,297, net of issuance costs of $203. The terms of the Series A Preferred Stock Purchase Agreement included the obligation of the investors to purchase, and the Company to sell, up to 13,333,333 additional shares of Series A Preferred Stock at $1.3125 per share contingent upon the achievement of certain specified milestones or at the election of a required vote by the investors and the Board. The Company concluded that the right to participate in the future issuance of Series A Preferred Stock did not meet the definition of a freestanding financial instrument, as the rights were not legally detachable from the Series A Preferred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March 2017, the Company amended certain provisions of the Series A Preferred Stock. The changes included issuing additional instruments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the preferred stock dividend in the amount of 3,720,864 shares of Series A Preferred Stock, which effectively repriced the outstanding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A Preferred Stock, changing the purchase price for future shares, and decreasing the redemption price per share such that total redemption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not affected. Concurrent with the amendment, the Company issued 4,403,070 additional shares of Series A Preferred Stock at a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$0.7949 per share, for total proceeds of $3,452, net of issuance costs of $48. Additionally, the number of shares of Series A Preferred Stock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issued in the future was changed to 17,612,279 shares. The Company assessed the changes to the terms and concluded that it represented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to substantive terms of the instrument, and therefore represented, for accounting purposes, an extinguishment and re-issuance of the Series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Stock outstanding at the time. As the carrying value of the outstanding shares of Series A Preferred Stock prior to the extinguishment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deemed to equal the aggregate fair value of the reissued shares and the shares issued as a dividend, no gain or loss was recognized on extinguishment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Preferred Stock.</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October 2017, the Company issued and sold an additional 17,612,279 shares of Series A Preferred Stock, at a price of $0.7949 per share, for total proceeds of $13,963, net of issuance costs of $37.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Preferred</w:t>
            </w:r>
          </w:p>
        </w:tc>
        <w:tc>
          <w:tcPr>
            <w:tcW w:w="8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2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5"/>
              </w:rPr>
              <w:t>Liquidation</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Authorized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Preference</w:t>
            </w:r>
          </w:p>
        </w:tc>
        <w:tc>
          <w:tcPr>
            <w:tcW w:w="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1,500,000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19,047,619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5,714,286</w:t>
            </w:r>
          </w:p>
        </w:tc>
        <w:tc>
          <w:tcPr>
            <w:tcW w:w="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7,500,000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5,714,286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22,380,952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9,047,619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9,000,000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9,000,000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9,047,619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6"/>
              </w:rPr>
              <w:t>Preferred</w:t>
            </w: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Liquidation</w:t>
            </w: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Authorized</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Preference</w:t>
            </w:r>
          </w:p>
        </w:tc>
        <w:tc>
          <w:tcPr>
            <w:tcW w:w="4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1,500,000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31,639,202</w:t>
            </w: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31,450,499</w:t>
            </w:r>
          </w:p>
        </w:tc>
        <w:tc>
          <w:tcPr>
            <w:tcW w:w="28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25,000,000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25,000,000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31,450,499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34,972,535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34,783,832</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$ 26,500,000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26,500,000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holders of the Preferred Stock have the following rights and preferences: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for determination of stockholders entitled to vote. Except for the actions requiring the approval or consent of the majority of the holders of Preferred Stock, the holders of Preferred Stock shall vote together with the holders of common stock and vote as a single class.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holders of the Preferred Stock are entitled to receive noncumulative dividends when, as and if declared by the Board. The Company may not pay any dividends on shares of common stock of the Company unless the holders of Preferred Stock then outstanding simultaneously receive dividends at least equal to a fixed percentage of Preferred Stock. Through December 31, 2017, no cash dividends have been declared or paid.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 deemed liquidation event, each holder of the then outstanding Series A Preferred Stock will be entitled to receive, prior and in preference to any distributions to the holders of Series Seed Preferred Stock and common stock, an amount equal to the greater of (i) $0.7949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4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share of Preferred Stock is convertible into common stock, at any time, at the option of the holder, and without the payment of additional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consideration, at the applicable conversion ratio then in effect for each series of Preferred Stock, initially set to be one-for-one, and subject to adjustment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accordance with anti-dilution provisions. In addition, each share of Preferred Stock will be automatically converted into common stock at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applicable conversion ratio then in effect for each series of Preferred Stock upon the earlier of a qualified IPO which results in net proceeds of at least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$50,000 and the listing of the Company’s common stock on the New York Stock Exchange or the Nasdaq Stock Market, or upon a vote of the holders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majority of the outstanding Preferred Stock. As of December 31, 2017, each share of Preferred Stock was convertible into one share of common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can be adjusted in the event of any stock dividend, stock split, combination or other similar recapitalization with respect to the Preferred Stock.</w:t>
      </w:r>
    </w:p>
    <w:p>
      <w:pPr>
        <w:spacing w:after="0" w:line="22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Series Seed Preferred Stock and Series A Preferred Stock are redeemable at $0.45 per share and $0.7949 per share, respectively, (adjusted in the event of any stock dividend, stock split, combination or other similar activity) plus any declared but unpaid dividends, on or after July 21, 2021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5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of December 31, 2016 and 2017, the authorized capital stock of the Company included 40,000,000 and 51,000,000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On January 27, 2016, the Company modified the terms of 1,366,666 shares of common stock which were issued to four employees in November 17, 2015 to add a vesting condition. The restrictions lapse according to the time-based vesting conditions of each award. During each of the years ended December 31, 2016 and 2017, 341,666 shares of these restricted common stock awards vested.</w:t>
      </w:r>
    </w:p>
    <w:p>
      <w:pPr>
        <w:spacing w:after="0" w:line="166"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December 31, 2017, no cash dividends have been declared or paid.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2016 and 2017, the Company has reserved the following shares of common stock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3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5,714,286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1,691,667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1,141,668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2,476,906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4,276,504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88"/>
              </w:rPr>
              <w:t>Shares reserved for issuance under the 2015 Stock Option and Grant Plan</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593,795</w:t>
            </w:r>
          </w:p>
        </w:tc>
        <w:tc>
          <w:tcPr>
            <w:tcW w:w="80" w:type="dxa"/>
            <w:vAlign w:val="bottom"/>
            <w:shd w:val="clear" w:color="auto" w:fill="CCEEFF"/>
          </w:tcPr>
          <w:p>
            <w:pPr>
              <w:spacing w:after="0"/>
              <w:rPr>
                <w:sz w:val="18"/>
                <w:szCs w:val="18"/>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Total shares of authorized common stock reserved for future issuance</w:t>
            </w:r>
          </w:p>
        </w:tc>
        <w:tc>
          <w:tcPr>
            <w:tcW w:w="3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13,433,964</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40,795,799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420" w:type="dxa"/>
            <w:vAlign w:val="bottom"/>
            <w:gridSpan w:val="2"/>
          </w:tcPr>
          <w:p>
            <w:pPr>
              <w:jc w:val="right"/>
              <w:ind w:right="3979"/>
              <w:spacing w:after="0"/>
              <w:rPr>
                <w:sz w:val="20"/>
                <w:szCs w:val="20"/>
                <w:color w:val="auto"/>
              </w:rPr>
            </w:pPr>
            <w:r>
              <w:rPr>
                <w:rFonts w:ascii="Arial" w:cs="Arial" w:eastAsia="Arial" w:hAnsi="Arial"/>
                <w:sz w:val="18"/>
                <w:szCs w:val="18"/>
                <w:color w:val="auto"/>
                <w:w w:val="91"/>
              </w:rPr>
              <w:t>F-23</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5,536,966 shares as of December 31, 2017, of which 593,795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During the years ended December 31, 2016 and 2017, the Company granted options to purchase 2,476,906 shares and 1,789,598 shares, respectively, of common stock to employees and members of the Board.</w:t>
      </w:r>
    </w:p>
    <w:p>
      <w:pPr>
        <w:spacing w:after="0" w:line="170"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During the year ended December 31, 2017, the Company granted options to purchase 10,000 shares of common stock to a non-employee. The stock-based compensation expense for options granted to non-employees is nominal during the year ended December 31, 2017. The Company did not grant options to purchase shares of common stock to non-employees during the year ended December 31,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80" w:type="dxa"/>
            <w:vAlign w:val="bottom"/>
            <w:gridSpan w:val="3"/>
          </w:tcPr>
          <w:p>
            <w:pPr>
              <w:jc w:val="right"/>
              <w:ind w:right="26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84.54%</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80" w:type="dxa"/>
            <w:vAlign w:val="bottom"/>
            <w:gridSpan w:val="3"/>
          </w:tcPr>
          <w:p>
            <w:pPr>
              <w:jc w:val="right"/>
              <w:ind w:right="468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restart"/>
          </w:tcPr>
          <w:p>
            <w:pPr>
              <w:jc w:val="center"/>
              <w:ind w:left="433"/>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left="43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2,476,906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1,799,598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0.22</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4,276,504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2017</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8.46</w:t>
            </w:r>
          </w:p>
        </w:tc>
        <w:tc>
          <w:tcPr>
            <w:tcW w:w="660" w:type="dxa"/>
            <w:vAlign w:val="bottom"/>
            <w:gridSpan w:val="2"/>
            <w:vMerge w:val="restart"/>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766,284</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3,510,220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2017.</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2016 and 2017 was $0.12 and $0.36,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Company has granted restricted common stock with time-based vesting conditions to certain employees of the Company. The purchase price of the restricted stock awards are determined by the Board. The Company also, in January 2016, modified 1,366,666 shares of common stock which were issued to four employees in November 17, 2015 to add a vesting condition (see Note 9).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Number of</w:t>
            </w:r>
          </w:p>
        </w:tc>
        <w:tc>
          <w:tcPr>
            <w:tcW w:w="14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Value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2016</w:t>
            </w: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1,691,667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(549,999)</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2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and unvested as of December 31, 2017</w:t>
            </w:r>
          </w:p>
        </w:tc>
        <w:tc>
          <w:tcPr>
            <w:tcW w:w="27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1,141,668</w:t>
            </w:r>
          </w:p>
        </w:tc>
        <w:tc>
          <w:tcPr>
            <w:tcW w:w="380" w:type="dxa"/>
            <w:vAlign w:val="bottom"/>
          </w:tcPr>
          <w:p>
            <w:pPr>
              <w:spacing w:after="0"/>
              <w:rPr>
                <w:sz w:val="19"/>
                <w:szCs w:val="19"/>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940" w:type="dxa"/>
            <w:vAlign w:val="bottom"/>
            <w:gridSpan w:val="3"/>
          </w:tcPr>
          <w:p>
            <w:pPr>
              <w:jc w:val="right"/>
              <w:ind w:right="2580"/>
              <w:spacing w:after="0"/>
              <w:rPr>
                <w:sz w:val="20"/>
                <w:szCs w:val="20"/>
                <w:color w:val="auto"/>
              </w:rPr>
            </w:pPr>
            <w:r>
              <w:rPr>
                <w:rFonts w:ascii="Arial" w:cs="Arial" w:eastAsia="Arial" w:hAnsi="Arial"/>
                <w:sz w:val="18"/>
                <w:szCs w:val="18"/>
                <w:color w:val="auto"/>
              </w:rPr>
              <w:t>F-25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weighted-average grant date fair value of restricted common stock awards granted during the year ended December 31, 2016 was $0.10 per share. The total fair value of restricted common stock vested during the years ended December 31, 2016 and 2017 was $34 and $55,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December 31, 2017, total unrecognized compensation cost related to the unvested stock-based awards was $897, which is expected to be recognized over a weighted-average period of 3.26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of $87 and $16, respectively, which consists of the license option fee, the upfront fee and maintenance fees.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4,800,000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related to this agreement with UHN of $785 and $151,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60"/>
          </w:cols>
          <w:pgMar w:left="240" w:top="460"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did not record a current or deferred income tax expense or (benefit) due to current and historical losses incurred by the Company. The Company’s operations are predominantly based in the United States and the Company’s foreign subsidiaries generated de minimis profit for the years ended December 31, 2016 and 2017.</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enactment of the Tax Cuts and Jobs Act (“TCJA”) in December 2017, as further described below, resulted in a remeasurement of the Company’s net deferred tax asset due to the reduction in the corporate income tax rate from 35% to a 21% flat tax, which is included in the Company’s 2017 rate reconciliation.</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income taxes as reflected in the consolidated financial statements is as follows:</w:t>
      </w:r>
    </w:p>
    <w:p>
      <w:pPr>
        <w:spacing w:after="0" w:line="18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U.S.—TCJA</w:t>
            </w:r>
          </w:p>
        </w:tc>
        <w:tc>
          <w:tcPr>
            <w:tcW w:w="52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(40.6)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5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52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40" w:type="dxa"/>
            <w:vAlign w:val="bottom"/>
            <w:gridSpan w:val="3"/>
          </w:tcPr>
          <w:p>
            <w:pPr>
              <w:jc w:val="right"/>
              <w:ind w:right="4720"/>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Accruals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(6,466)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2016 and 2017,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2016 and 2017. The valuation allowance increased $1,898 and $4,568 during the years ended December 31, 2016 and 2017, respectively, due primarily to net operating losses generated.</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December 31, 2016 and 2017, the Company had U.S. federal net operating loss carryforwards of $3,659 and $19,007, respectively, that may be available to offset future income tax liabilities. The TCJA will generally allow losses incurred after 2017 to be carried over indefinitely, but will generally limit the net operating loss deduction to the lesser of the net operating loss carryover or 80% of a corporation’s taxable income. Also, there will be no carryback for net operating losses incurred after 2017. Net operating losses incurred prior to 2018 will generally be deductible to the extent of the lesser of a corporation’s net operating loss carryover or 100% of a corporation’s taxable income, and be available to offset future taxable income for a period of twenty years.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has early adopted the provisions of ASU 2016-09</w:t>
      </w:r>
      <w:r>
        <w:rPr>
          <w:rFonts w:ascii="Arial" w:cs="Arial" w:eastAsia="Arial" w:hAnsi="Arial"/>
          <w:sz w:val="18"/>
          <w:szCs w:val="18"/>
          <w:i w:val="1"/>
          <w:iCs w:val="1"/>
          <w:color w:val="auto"/>
        </w:rPr>
        <w:t>, 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for its year ended December 31, 2016. ASU 2016-09 requires companies to include the benefit of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in its net operating loss carryforward deferred tax asset. The Company did not have any deductions associated with stock-based payments, and therefore the adoption of ASU 2016-09 did not impact the Company’s deferred tax asset for net operating loss carryforwards. Furthermore, since the Company has historically maintained a full valuation allowance on its net worldwide deferred tax asset, there is no net impact to retained earnings from the adoption of ASU 2016-09.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December 31, 2016 and 2017, the Company also had U.S. state net operating loss carryforwards of $3,619 and $18,866, respectively, which may be available to offset future taxable income. These losses expire at various dates through 2037.</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2016 and 2017, the Company does not have federal research and development tax credit carryforwards, as the Company qualifies for, and has elected to, apply such federal research credits against its payroll tax liability in accordance with certain provisions of the Internal Revenue Code. As of December 31, 2016 and 2017, the Company had state research and development tax credit carryforwards of approximately $30 and $119, respectively, available to reduce future tax liabilities which expire at various dates through 2032. For all years through December 31, 2017, the Company generated research credits but has not conducted a study to document the qualified activities. This study may result in an adjustment to the Company’s research and development credit carryforwards.</w:t>
      </w:r>
    </w:p>
    <w:p>
      <w:pPr>
        <w:spacing w:after="0" w:line="178"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ind w:left="200" w:right="60"/>
        <w:spacing w:after="0" w:line="253" w:lineRule="auto"/>
        <w:rPr>
          <w:sz w:val="20"/>
          <w:szCs w:val="20"/>
          <w:color w:val="auto"/>
        </w:rPr>
      </w:pPr>
      <w:r>
        <w:rPr>
          <w:rFonts w:ascii="Arial" w:cs="Arial" w:eastAsia="Arial" w:hAnsi="Arial"/>
          <w:sz w:val="18"/>
          <w:szCs w:val="18"/>
          <w:color w:val="auto"/>
        </w:rPr>
        <w:t>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9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files income tax returns in Australia, Canada, the United States, and in several states. The foreign, federal and state income tax returns are generally subject to tax examinations for the tax years ended December 31, 2015 through December 31, 2017.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TCJA was enacted in December 2017. Among other things, the TCJA reduces the U.S. federal corporate tax rate from 35% to 21% for tax years beginning in 2018, and requires companies to pay a one-time transition tax on previously unremitted earnings of non-U.S. subsidiaries that were previously tax deferred and creates new taxes on certain foreign sourced earnings. The SEC staff issued Staff Accounting Bulletin (“SAB”) 118, that provides guidance on accounting for enactment effects of the TCJA. SAB 118 provides a measurement period of up to one year from the TCJA’s enactment date for companies to complete their accounting under ASC 740. In accordance with SAB 118, to the extent that a company’s accounting for certain income tax effects of the TCJA is incomplete but it is able to determine a reasonable estimate, it must record a provisional estimate in its consolidated financial statements. If a company cannot determine a provisional estimate to be included in its consolidated financial statements, it should continue to apply ASC 740 on the basis of the provisions of the tax laws that were in effect immediately before the enactment of the TCJA.</w:t>
      </w:r>
    </w:p>
    <w:p>
      <w:pPr>
        <w:spacing w:after="0" w:line="166"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connection with the Company’s initial analysis of the impact of the enactment of the TCJA, the Company has not recorded an income tax expense. For various reasons that are discussed more fully below, the Company has not completed its accounting for the income tax effects of certain elements of the TCJA. However,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respect to the remeasurement of deferred tax assets and liabilities, the Company has remeasured its deferred tax assets and liabilities based on the rates at which they are expected to reverse in the future, which is generally 21% under the TCJA. The impact of the remeasurement of the Company’s deferred tax assets and liabilities is included in the rate reconciliation above.</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is still analyzing certain aspects of the TCJA, including considering additional technical guidance and refining its calculations, that could potentially affect the measurement of these balances or potentially give rise to new deferred tax amounts. This includes the potential impacts of the global low-taxed income (“GILTI”) provision within the TCJA on deferred tax assets and liabilities. The Company has not yet elected a policy as to whether it will recognize deferred taxes for basis differences expected to reverse as GILTI or whether the Company will account for GILTI as a period cost if and when incurred. Additionally, with respect to the transition tax, which is a tax on previously untaxed accumulated and current earnings and profits (E&amp;P) of certain of the Company’s non-U.S. subsidiaries. The Company is currently evaluating the impact of this issue, and has not finalized a conclusion at this time and therefore cannot determine a provisional estimate to be included in its consolidated financial statements, and in accordance with SAB 118 it will continue to apply ASC 740 on the basis of the provisions of the tax laws that were in effect immediately before the enactment of the TCJA.</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2,476,906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1,691,667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1,141,668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9,047,619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34,783,832</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to common stock)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28,305</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2017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 (continued)</w:t>
      </w:r>
    </w:p>
    <w:p>
      <w:pPr>
        <w:spacing w:after="0" w:line="135"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the effects of the accretion of Preferred Stock to redemption value or the change in fair value of the warrant to purchase shares of Series A Preferred Stock because the calculation gives effect to the conversion of shares of Preferred Stock outstanding as of December 31, 2017 into common stock and the conversion of the warrant to purchase shares of Series A Preferred Stock outstanding as of December 31, 2017 into a warrant to purchase shares of common stock, as if such conversion had occurred at the beginning of the period presented or the date of original issuance, whichever is later.</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Change in the fair value of preferred stock warrant liability</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number of common shares used in computing net loss per share attributable to common stockholders—basic</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9,238,612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redeemable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convertible preferred stock into common stock</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19,363,856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weighted-average number of common shares used in computing pro forma net loss per share attributable to common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28,602,468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20" w:type="dxa"/>
            <w:vAlign w:val="bottom"/>
            <w:gridSpan w:val="2"/>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January 2016, the Company entered into a sub-lease agreement for office space located in Cambridge Massachusetts, United States, which was a month to month rental. In February 2017, the Company terminated the office lease agreement.</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September 2016, the Company entered into a lease agreement for office space located in Cambridge Massachusetts, United States, which expires on March 31, 2024. The base rent will be increased by 3% annually. The Company recognizes rent expense on a straight-line basis over the lease period and has recorded deferred rent for rent expense incurred but not yet paid. The Company received a tenant incentive allowance of $100 in 2017. Such incentive allowance is being amortized as a reduction of rent expense on a straight-line basis over the lease period. In accordance with the lease agreement, the Company was required to maintain a security deposit of $24. The Company issued a letter of credit to the landlord related to the security deposit and the letter of credit is secured by restricted cash, which is recorded in other assets on the accompanying consolidated balance sheets.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13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Company recorded rent expense of $78 and $335 during the years ended December 31, 2016 and 2017, respectively.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following table summarizes the future minimum lease payments due under operating leases as of December 31, 2017: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98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8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395</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2016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2016 and 2017, or royalties on future sales of specified products. No milestone or royalty payments under these agreements are expected to be payable in the immediate future. See Note 11 for discussion of these arrangements.</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connection with the Company’s entry into a license agreement with UHN (Note 11) on January 27, 2016, the Company issued UHN 4,800,000 shares of its common stock. As a result of the issuance of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135"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UHN owned 21.63% and 9.65% of the Company’s fully diluted equity as of December 31, 2016 and 2017,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4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During the years ended December 31, 2016 and 2017, the Company recognized $872 and $167 respectively, of research and development expense related to the license agreements with UHN. Refer to Note 11 for additional information regarding the UHN license agreements.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expenses of $78 and $15, respectively, related to services provided by an entity affiliated with a member of the Board and the use of office space.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August 2017, the Company entered into a sub-lease agreement with an entity affiliated with the Company’s CEO. The executive resigned from the affiliated entity in September 2017. The Company recorded rent expense of $31 under this sub-lease agreement prior to such resignation for the two month period in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14 for additional information on the terms of these sublease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Matching contributions to the plan may be made at the discretion of the Company’s Board. The Company made no contributions to the plan during the years ended December 31, 2016 and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completed an evaluation of all subsequent events after the audited balance sheet date of December 31, 2017 through April 6, 2018, the date these consolidated financial statements were submitted to the SEC, to ensure that these consolidated financial statements include appropriate disclosure of events both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 (continued)</w:t>
      </w:r>
    </w:p>
    <w:p>
      <w:pPr>
        <w:spacing w:after="0" w:line="135"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recognized in the consolidated financial statements as of December 31, 2017, and events which occurred subsequently but were not recognized in the consolidated financial statements. The Company has concluded that no subsequent events have occurred that require disclosure, except as disclosed within these consolidated financial statements and except as described below.</w:t>
      </w:r>
    </w:p>
    <w:p>
      <w:pPr>
        <w:spacing w:after="0" w:line="18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On January 12, 2018, the Company entered into a lease agreement for office space located in Cambridge Massachusetts, United States, which expires in January 2023, with a landlord who is an affiliate of the landlord of the Company’s current lease facility. In accordance with the lease agreement, the Company is required to maintain a security deposit of $209. In contemplation of this agreement, the Company terminated its existing lease agreement.</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On January 19, 2018, the Company entered into a stock purchase agreement for the sale of 28,285,557 shares of Series B Preferred Stock for $2.1389 per share. The total gross proceeds received were $60,500. In addition, the Company issued 233,765 shares of Series B Preferred Stock to BioMarin as required by the Company’s license agreement with BioMarin (Note 11). The rights and preferences of the Series B Preferred Stock are similar to the Company’s Series A Preferred Stock, in that holders of outstanding Series B Preferred Stock have priority and preference to Series Seed Preferred Stock and common stock in the case of a liquidation or redemption event. The issue price and conversion price of the Series B Preferred Stock is $2.1389 per share, and each share of Series B Preferred Stock is convertible into common stock on a one-for-one basis.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2018, the Company granted 3,114,710 stock options with an exercise price of $1.21 per share.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58,481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$0.0001 par value; 51,000,000 and 82,000,000 shares authorized as of</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10,666,667 shares issued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w w:val="97"/>
              </w:rPr>
              <w:t>December 31, 2017 and March 31, 2018; 9,524,999 and 9,652,082 shares outstanding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73,969,821 shares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72,955,236 shares outstanding as of March 31, 2018 (pro forma)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(23,475)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(33,511)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12)</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number of common shares used in computing net loss per share attributable to common</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9,014,861</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9,606,064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 forma net loss per share attributable to common stockholders—basic and diluted (Note 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Pro forma weighted-average number of common shares used in computing pro forma net income (loss) per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attributable to common 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66,888,472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(DEFICIT)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80" w:type="dxa"/>
            <w:vAlign w:val="bottom"/>
            <w:gridSpan w:val="4"/>
          </w:tcPr>
          <w:p>
            <w:pPr>
              <w:jc w:val="center"/>
              <w:ind w:left="231"/>
              <w:spacing w:after="0"/>
              <w:rPr>
                <w:sz w:val="20"/>
                <w:szCs w:val="20"/>
                <w:color w:val="auto"/>
              </w:rPr>
            </w:pPr>
            <w:r>
              <w:rPr>
                <w:rFonts w:ascii="Arial" w:cs="Arial" w:eastAsia="Arial" w:hAnsi="Arial"/>
                <w:sz w:val="13"/>
                <w:szCs w:val="13"/>
                <w:b w:val="1"/>
                <w:bCs w:val="1"/>
                <w:color w:val="auto"/>
                <w:w w:val="81"/>
              </w:rPr>
              <w:t>Series Seed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A</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B</w:t>
            </w: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80" w:type="dxa"/>
            <w:vAlign w:val="bottom"/>
            <w:gridSpan w:val="4"/>
          </w:tcPr>
          <w:p>
            <w:pPr>
              <w:jc w:val="center"/>
              <w:ind w:left="251"/>
              <w:spacing w:after="0" w:line="135" w:lineRule="exact"/>
              <w:rPr>
                <w:sz w:val="20"/>
                <w:szCs w:val="20"/>
                <w:color w:val="auto"/>
              </w:rPr>
            </w:pPr>
            <w:r>
              <w:rPr>
                <w:rFonts w:ascii="Arial" w:cs="Arial" w:eastAsia="Arial" w:hAnsi="Arial"/>
                <w:sz w:val="13"/>
                <w:szCs w:val="13"/>
                <w:b w:val="1"/>
                <w:bCs w:val="1"/>
                <w:color w:val="auto"/>
                <w:w w:val="86"/>
              </w:rPr>
              <w:t>Redeemable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540" w:type="dxa"/>
            <w:vAlign w:val="bottom"/>
            <w:tcBorders>
              <w:right w:val="single" w:sz="8" w:color="auto"/>
            </w:tcBorders>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Redeemable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gridSpan w:val="4"/>
          </w:tcPr>
          <w:p>
            <w:pPr>
              <w:jc w:val="center"/>
              <w:ind w:left="231"/>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6"/>
          </w:tcPr>
          <w:p>
            <w:pPr>
              <w:jc w:val="center"/>
              <w:ind w:right="18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1540" w:type="dxa"/>
            <w:vAlign w:val="bottom"/>
            <w:tcBorders>
              <w:right w:val="single" w:sz="8" w:color="auto"/>
            </w:tcBorders>
            <w:gridSpan w:val="6"/>
          </w:tcPr>
          <w:p>
            <w:pPr>
              <w:jc w:val="center"/>
              <w:ind w:right="14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tcPr>
          <w:p>
            <w:pPr>
              <w:jc w:val="right"/>
              <w:ind w:right="120"/>
              <w:spacing w:after="0" w:line="140"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3"/>
              </w:rPr>
              <w:t>Total</w:t>
            </w: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6"/>
              </w:rPr>
              <w:t>Preferred Stock</w:t>
            </w:r>
          </w:p>
        </w:tc>
        <w:tc>
          <w:tcPr>
            <w:tcW w:w="16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8"/>
              </w:rPr>
              <w:t>Preferred Stock</w:t>
            </w:r>
          </w:p>
        </w:tc>
        <w:tc>
          <w:tcPr>
            <w:tcW w:w="154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2"/>
                <w:szCs w:val="12"/>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Paid-in</w:t>
            </w: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Deficit</w:t>
            </w:r>
          </w:p>
        </w:tc>
        <w:tc>
          <w:tcPr>
            <w:tcW w:w="1020" w:type="dxa"/>
            <w:vAlign w:val="bottom"/>
            <w:gridSpan w:val="4"/>
          </w:tcPr>
          <w:p>
            <w:pPr>
              <w:jc w:val="center"/>
              <w:ind w:right="40"/>
              <w:spacing w:after="0" w:line="129" w:lineRule="exact"/>
              <w:rPr>
                <w:sz w:val="20"/>
                <w:szCs w:val="20"/>
                <w:color w:val="auto"/>
              </w:rPr>
            </w:pPr>
            <w:r>
              <w:rPr>
                <w:rFonts w:ascii="Arial" w:cs="Arial" w:eastAsia="Arial" w:hAnsi="Arial"/>
                <w:sz w:val="13"/>
                <w:szCs w:val="13"/>
                <w:b w:val="1"/>
                <w:bCs w:val="1"/>
                <w:color w:val="auto"/>
                <w:w w:val="89"/>
              </w:rPr>
              <w:t>(Deficit) Equity</w:t>
            </w: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3,333,333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1,500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31,450,499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9,524,999</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(23,475)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(23,135)</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w w:val="99"/>
              </w:rPr>
              <w:t>convertible preferred stock, net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issuance costs of $2,243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28,285,557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58,257</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settled accrued liability of license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233,765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127,083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 redeemable convertible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(2,243)</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8"/>
              </w:rPr>
              <w:t>Stock-based compensation expense</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r>
      <w:tr>
        <w:trPr>
          <w:trHeight w:val="156"/>
        </w:trPr>
        <w:tc>
          <w:tcPr>
            <w:tcW w:w="2380" w:type="dxa"/>
            <w:vAlign w:val="bottom"/>
            <w:gridSpan w:val="2"/>
          </w:tcPr>
          <w:p>
            <w:pPr>
              <w:spacing w:after="0" w:line="155" w:lineRule="exact"/>
              <w:rPr>
                <w:sz w:val="20"/>
                <w:szCs w:val="20"/>
                <w:color w:val="auto"/>
              </w:rPr>
            </w:pPr>
            <w:r>
              <w:rPr>
                <w:rFonts w:ascii="Arial" w:cs="Arial" w:eastAsia="Arial" w:hAnsi="Arial"/>
                <w:sz w:val="14"/>
                <w:szCs w:val="14"/>
                <w:color w:val="auto"/>
              </w:rPr>
              <w:t>Balances as of March 31, 2018</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3,333,333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31,450,499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28,519,322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61,000</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9,652,082</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(33,511)</w:t>
            </w:r>
          </w:p>
        </w:tc>
        <w:tc>
          <w:tcPr>
            <w:tcW w:w="10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Reclassification of warrants to</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shares of 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warrants to purchase common</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Conversion of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(3,333,333)</w:t>
            </w:r>
          </w:p>
        </w:tc>
        <w:tc>
          <w:tcPr>
            <w:tcW w:w="700" w:type="dxa"/>
            <w:vAlign w:val="bottom"/>
            <w:gridSpan w:val="4"/>
          </w:tcPr>
          <w:p>
            <w:pPr>
              <w:jc w:val="right"/>
              <w:ind w:right="140"/>
              <w:spacing w:after="0"/>
              <w:rPr>
                <w:sz w:val="20"/>
                <w:szCs w:val="20"/>
                <w:color w:val="auto"/>
              </w:rPr>
            </w:pPr>
            <w:r>
              <w:rPr>
                <w:rFonts w:ascii="Arial" w:cs="Arial" w:eastAsia="Arial" w:hAnsi="Arial"/>
                <w:sz w:val="14"/>
                <w:szCs w:val="14"/>
                <w:color w:val="auto"/>
              </w:rPr>
              <w:t>(1,500)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(31,450,499)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(25,000)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(28,519,322)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1"/>
              </w:rPr>
              <w:t>(61,000)</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63,303,154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87,494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87,500</w:t>
            </w:r>
          </w:p>
        </w:tc>
        <w:tc>
          <w:tcPr>
            <w:tcW w:w="10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 forma balance as of March 31,</w:t>
            </w: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72,955,236</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87,650</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(33,621)</w:t>
            </w: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54,036</w:t>
            </w:r>
          </w:p>
        </w:tc>
        <w:tc>
          <w:tcPr>
            <w:tcW w:w="10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(8,242)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Payments of initial public offering costs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58,208</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57,928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paid for by landlord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held for sale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Through March 31, 2018, the Company has funded its operations primarily with proceeds from the sale of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 Company has incurred recurring losses since its inception, including net losses of $8,242 for the three months ended March 31, 2018. In addition, as of March 31, 2018, the Company had an accumulated deficit of $33,621.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believes the cash and cash equivalents on hand as of March 31, 2018 of $57,928 will be sufficient to fund its operations and capital expenditure requirements through at least May 11, 2019.</w:t>
      </w:r>
    </w:p>
    <w:p>
      <w:pPr>
        <w:spacing w:after="0" w:line="275" w:lineRule="exact"/>
        <w:rPr>
          <w:sz w:val="20"/>
          <w:szCs w:val="20"/>
          <w:color w:val="auto"/>
        </w:rPr>
      </w:pPr>
    </w:p>
    <w:p>
      <w:pPr>
        <w:ind w:left="640" w:right="7440" w:hanging="436"/>
        <w:spacing w:after="0" w:line="378" w:lineRule="auto"/>
        <w:tabs>
          <w:tab w:leader="none" w:pos="379"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120" w:firstLine="441"/>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unaudited condensed consolidated interim financial statements have been prepared on the same basis as the audited annual consolidated financial statements as of and for the year ended December 31, 2017, and, in the opinion of management, reflect all adjustments, consisting of normal recurring adjustments, necessary for the fair presentation of the Company’s financial position as of March 31, 2018, and the results of its operations and its cash flows for the three months ended March 31, 2017 and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results for the three months ended March 31,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elsewhere in the Company’s confidentially submitted Registration Statement on Form S-1.</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2017 included in the Company’s Form S-1. Since the date of such consolidated financial statements, there have been no changes to the Company’s significant accounting policies.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accompanying unaudited pro forma condensed consolidated balance sheet and statement of redeemable convertible preferred stock and stockholders’ (deficit) equity as of March 31, 2018 has been prepared to give effect, upon the closing of a qualified initial public offering (“IPO”), to the conversion of all outstanding shares of redeemable convertible preferred stock into 63,303,154 shares of common stock and the conversion of the outstanding warrant to purchase shares of redeemable convertible preferred stock as of March 31, 2018 into a warrant to purchase shares of common stock as if the Company’s proposed IPO had occurred on March 31, 2018.</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unaudited condensed consolidated statements of operations and comprehensive loss, the unaudited pro forma basic and diluted net loss per share attributable to common stockholders for the three months ended March 31, 2018 has been computed using the weighted-average number of common shares outstanding after giving pro forma effect to the conversion of all outstanding shares of redeemable convertible preferred stock into shares of common stock and the conversion of the outstanding warrant to purchase shares of redeemable convertible preferred stock as of March 31, 2018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becomes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80"/>
          </w:cols>
          <w:pgMar w:left="240" w:top="460"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following table presents information about the Company’s financial assets and liabilities measured at fair value on a recurring basis and indicates the level of the fair value hierarchy utilized to determine such fair values as of December 31, 2017 and March 31, 2018, respectively:</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March 31, 2018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three months ended March 31, 2017 and 2018,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warrant to purchase preferred stock liability in the table above is composed of the fair value of a warrant to purchase shares of Series A Preferred Stock that was issued to a lender in connection with a loan and security agreement in 2017. The fair value of the warrant to purchase preferred stock was determined based on significant inputs not observable in the market, which represents a Level 3 measurement within the fair value hierarchy.</w:t>
      </w:r>
    </w:p>
    <w:p>
      <w:pPr>
        <w:spacing w:after="0" w:line="14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60" w:type="dxa"/>
            <w:vAlign w:val="bottom"/>
            <w:gridSpan w:val="4"/>
          </w:tcPr>
          <w:p>
            <w:pPr>
              <w:ind w:left="2000"/>
              <w:spacing w:after="0"/>
              <w:rPr>
                <w:sz w:val="20"/>
                <w:szCs w:val="20"/>
                <w:color w:val="auto"/>
              </w:rPr>
            </w:pPr>
            <w:r>
              <w:rPr>
                <w:rFonts w:ascii="Arial" w:cs="Arial" w:eastAsia="Arial" w:hAnsi="Arial"/>
                <w:sz w:val="14"/>
                <w:szCs w:val="14"/>
                <w:b w:val="1"/>
                <w:bCs w:val="1"/>
                <w:color w:val="auto"/>
              </w:rPr>
              <w:t>December 31, 2017</w:t>
            </w:r>
          </w:p>
        </w:tc>
        <w:tc>
          <w:tcPr>
            <w:tcW w:w="1720" w:type="dxa"/>
            <w:vAlign w:val="bottom"/>
            <w:gridSpan w:val="4"/>
          </w:tcPr>
          <w:p>
            <w:pPr>
              <w:ind w:left="54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2.40%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82.00%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82.00%</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24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Warrant</w:t>
            </w: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4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42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4,800,000 shares of common stock to UHN pursuant to a stock purchase agreement (the “Stock Purchase Agreement”).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March 31, 2017 and 2018, the Company remeasured the fair value of the derivative, using current assumptions, resulting in an increase in fair value of $32 and $587, respectively, which was recorded in other expense in the accompanying condensed consolidated statements of operations and comprehensive loss for the three months ended March 31, 2017 and 2018.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6"/>
          </w:tcPr>
          <w:p>
            <w:pPr>
              <w:ind w:left="4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Prepaid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26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7"/>
          </w:tcPr>
          <w:p>
            <w:pPr>
              <w:ind w:lef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for the three months ended March 31, 2017 and 2018 was $2 and $21,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Short-term deferred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Legal services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March 31, 2018, the Company had not drawn down from the facility and $10,000 was available to the Company.</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March 31, 2018.</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March 31, 2018,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March 31, 2018, and determined that the fair value of the preferred stock warrant liability was $35 and $47, respectively. The Company recognized a loss of $12 in the condensed consolidated statements of operations and comprehensive loss for the three months ended March 31, 2018,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As of March 31, 2018, the authorized capital stock of the Company included 63,491,857 shares of $0.0001 par value preferred stock, of which 3,333,333 shares have been designated as Series Seed redeemable convertible preferred stock (the “Series Seed Preferred Stock), 31,639,202 shares have been designated as Series A redeemable convertible preferred stock (the “Series A Preferred Stock) and 28,519,322 shares have been designated as Series B redeemable convertible preferred stock (the “Series B Preferred Stock) (the Series Seed Preferred Stock, the Series A Preferred Stock and the Series B Preferred Stock are collectively referred to as the “Preferred Stock”).</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March 31, 2018,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31,639,202</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31,450,499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25,000,000</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34,972,535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34,783,832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26,500,000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31,639,202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28,519,322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61,000,000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63,491,857</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63,303,154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87,500,000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87,500,000</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63,303,154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March 31, 2018, the rights and preferences of the holders of the Preferred Stock had not been changed since December 31, 2017, except for the following which were amended upon issuance of Series B Preferred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deemed liquidation event, each holder of the then outstanding Series A Preferred Stock and Series B Preferred Stock will be entitled to receive, prior and in preference to any distributions to the holders of Series Seed Preferred Stock and common stock, an amount equal to the greater of (i) $0.7949 per share for Series A and $2.1389 per share for Series B Preferred Stock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and Series B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6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Each share of Preferred Stock is convertible into common stock, at any time, at the option of the holder, and without the payment of additional consideration, at the applicable conversion ratio then in effect for each series of Preferred Stock, initially set to be one-for-one, and subject to adjustment in accordance with anti-dilution provisions. In addition, each share of Preferred Stock will be automatically converted into common stock at the applicable conversion ratio then in effect for each series of Preferred Stock upon the earlier of a qualified IPO which results in net proceeds of at least $50,000 with the issuance price at least 1.5 times the original issue price of Series B Preferred Stock and the listing of the Company’s common stock on the New York Stock Exchange or the Nasdaq Stock Market, or upon a vote of the holders of a majority of the outstanding Preferred Stock. As of March 31, 2018, each share of Preferred Stock was convertible into one share of common stock and can be adjusted in the event of any stock dividend, stock split, combination or other similar recapitalization with respect to the Preferred Stock.</w:t>
      </w:r>
    </w:p>
    <w:p>
      <w:pPr>
        <w:spacing w:after="0" w:line="17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w:t>
      </w:r>
    </w:p>
    <w:p>
      <w:pPr>
        <w:spacing w:after="0" w:line="16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Series Seed Preferred Stock, Series A Preferred Stock and Series B Preferred Stock are redeemable at $0.45 per share, $0.7949 per share and $2.1389 per share, respectively, (adjusted in the event of any stock dividend, stock split, combination or other similar activity) plus any declared but unpaid dividends, on or after January 19, 2023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March 31, 2018, the authorized capital stock of the Company included 82,000,000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March 31 2018, no cash dividends have been declared or paid.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and March 31, 2018, the Company has reserved the following shares of common stock for future issuance: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2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31,450,499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Series B Preferred Stock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1,141,668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1,014,585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7,391,214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issuance under the 2015 Stock Option and Grant Plan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593,795</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241,506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40,795,799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71,950,459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8,299,387 shares as of March 31, 2018, of which 241,506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During the three months ended March 31, 2018, the Company granted options to purchase 3,114,710 shares of common stock to employees and members of the Board. No options were granted by the Company during the three months ended March 31,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left="58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3"/>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20" w:type="dxa"/>
            <w:vAlign w:val="bottom"/>
            <w:gridSpan w:val="6"/>
          </w:tcPr>
          <w:p>
            <w:pPr>
              <w:ind w:left="420"/>
              <w:spacing w:after="0"/>
              <w:rPr>
                <w:sz w:val="20"/>
                <w:szCs w:val="20"/>
                <w:color w:val="auto"/>
              </w:rPr>
            </w:pPr>
            <w:r>
              <w:rPr>
                <w:rFonts w:ascii="Arial" w:cs="Arial" w:eastAsia="Arial" w:hAnsi="Arial"/>
                <w:sz w:val="18"/>
                <w:szCs w:val="18"/>
                <w:color w:val="auto"/>
                <w:w w:val="93"/>
              </w:rPr>
              <w:t>The following table summarizes the Company’s stock option activity for the three months ended March 31, 2018:</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4,276,504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3,114,710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9.96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7,391,214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6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2018</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line="20" w:lineRule="exact"/>
              <w:rPr>
                <w:sz w:val="1"/>
                <w:szCs w:val="1"/>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8.22</w:t>
            </w:r>
          </w:p>
        </w:tc>
        <w:tc>
          <w:tcPr>
            <w:tcW w:w="660" w:type="dxa"/>
            <w:vAlign w:val="bottom"/>
            <w:gridSpan w:val="2"/>
            <w:vMerge w:val="restart"/>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921,090</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March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6,460,124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66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March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weighted-average grant-date fair value of the Company’s stock options granted during the three months ended March 31, 2018 was $1.09.</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three months ended March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5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2017</w:t>
            </w:r>
          </w:p>
        </w:tc>
        <w:tc>
          <w:tcPr>
            <w:tcW w:w="39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1,141,668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(127,083)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39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 unvested as of March 31, 2018</w:t>
            </w:r>
          </w:p>
        </w:tc>
        <w:tc>
          <w:tcPr>
            <w:tcW w:w="39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1,014,585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140" w:type="dxa"/>
            <w:vAlign w:val="bottom"/>
            <w:gridSpan w:val="3"/>
          </w:tcPr>
          <w:p>
            <w:pPr>
              <w:jc w:val="right"/>
              <w:ind w:right="3780"/>
              <w:spacing w:after="0"/>
              <w:rPr>
                <w:sz w:val="20"/>
                <w:szCs w:val="20"/>
                <w:color w:val="auto"/>
              </w:rPr>
            </w:pPr>
            <w:r>
              <w:rPr>
                <w:rFonts w:ascii="Arial" w:cs="Arial" w:eastAsia="Arial" w:hAnsi="Arial"/>
                <w:sz w:val="18"/>
                <w:szCs w:val="18"/>
                <w:color w:val="auto"/>
              </w:rPr>
              <w:t>F-51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total fair value of restricted common stock vested during the three months ended March 31, 2017 and 2018 was $9 and $13,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March 31, 2018, total unrecognized compensation cost related to the unvested stock-based awards was $4,201, which is expected to be recognized over a weighted-average period of 3.75 years.</w:t>
      </w:r>
    </w:p>
    <w:p>
      <w:pPr>
        <w:spacing w:after="0" w:line="275" w:lineRule="exact"/>
        <w:rPr>
          <w:sz w:val="20"/>
          <w:szCs w:val="20"/>
          <w:color w:val="auto"/>
        </w:rPr>
      </w:pPr>
    </w:p>
    <w:p>
      <w:pPr>
        <w:ind w:left="640" w:right="8900" w:hanging="436"/>
        <w:spacing w:after="0" w:line="425" w:lineRule="auto"/>
        <w:tabs>
          <w:tab w:leader="none" w:pos="4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 digit percentage of annual net sales of licensed products and a lower single-digit royalty percentage in certain circumstances. Additionally, the Company has agreed to pay a low double-digit royalty percentage of all sublicensing revenue. The agreement requires the Company to meet certain performance milestones within specified timeframes.</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months ended March 31, 2017 and 2018, no upfront fee and maintenance fees were incurred related to Fabry license agreement.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4,800,000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 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For the three months ended March 31, 2017 and 2018, the Company recorded research and development expense related to this agreement with UHN of $151 and $41,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upfront fees related to the license were recorded for the three months ended March 31, 2018.</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upfront fees related to the license were recorded for the three months ended March 31, 2018.</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w:t>
      </w:r>
    </w:p>
    <w:p>
      <w:pPr>
        <w:spacing w:after="0" w:line="2" w:lineRule="exact"/>
        <w:rPr>
          <w:sz w:val="20"/>
          <w:szCs w:val="20"/>
          <w:color w:val="auto"/>
        </w:rPr>
      </w:pPr>
    </w:p>
    <w:p>
      <w:pPr>
        <w:jc w:val="both"/>
        <w:ind w:left="200" w:right="40" w:firstLine="4"/>
        <w:spacing w:after="0" w:line="273" w:lineRule="auto"/>
        <w:tabs>
          <w:tab w:leader="none" w:pos="50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upfront fees related to the license were recorded for the three months ended March 31, 2017 and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the warrant to purchase shares of Series A Preferred Stock and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2,476,906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7,391,214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1,606,251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1,014,585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17,171,553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63,303,154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28,035</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three months ended March 31, 2018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 the effects of the accretion of Preferred Stock to redemption value or the change in fair value of the warrant to purchase shares of Series A Preferred Stock because the calculation gives effect to the conversion of shares of Preferred Stock outstanding as of March 31, 2018 into common stock and the conversion of the warrant to purchase shares of Series A Preferred Stock outstanding as of March 31, 2018 into a warrant to purchase shares of common stock, as if such conversion had occurred at the beginning of the period presented or the date of original issuance, whichever is later.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13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 on redeemable convertible preferred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used in computing net loss per share attributable to common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9,606,064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 forma adjustment to reflect assumed conversion of redeemable convertible preferred stock into common stock</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57,282,408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weighted-average number of common shares used in computing pro forma net loss per share attributable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stockholders—basic and diluted</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66,888,472</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current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$181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existing lease agreement.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recorded rent expense of $57 and $171 during the three months ended March 31, 2017 and 2018,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2017 and 2018,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2017 and March 31, 2018, or royalties on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sales of specified products. No milestone or royalty payments under these agreements are expected to be payable in the immediate future.</w:t>
      </w:r>
    </w:p>
    <w:p>
      <w:pPr>
        <w:spacing w:after="0" w:line="23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connection with the Company’s entry into a license agreement with UHN on January 27, 2016, the Company issued UHN 4,800,000 shares of its common stock. As a result of the issuance of common stock, UHN owned 9.65% and 5.90% of the Company’s fully diluted equity as of December 31, 2017 and March 31, 2018,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73"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2017 and 2018, the Company recognized $151 and $41 respectively, of research and development expense related to the license agreements with UHN.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For the three months ended March 31, 2017, the Company recorded expenses of $15 related to services provided by an entity affiliated with a member of the Board and the use of office space. The lease was terminated in February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 (Topic 260), Distinguishing Liabilities from Equity (Topic 480),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(Topic 815) I. Accounting for Certain Financial Instruments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Part I applies to entities that issue financial instruments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80"/>
          </w:cols>
          <w:pgMar w:left="24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w:t>
      </w:r>
    </w:p>
    <w:p>
      <w:pPr>
        <w:ind w:left="200"/>
        <w:spacing w:after="0" w:line="292" w:lineRule="auto"/>
        <w:rPr>
          <w:sz w:val="20"/>
          <w:szCs w:val="20"/>
          <w:color w:val="auto"/>
        </w:rPr>
      </w:pPr>
      <w:r>
        <w:rPr>
          <w:rFonts w:ascii="Arial" w:cs="Arial" w:eastAsia="Arial" w:hAnsi="Arial"/>
          <w:sz w:val="16"/>
          <w:szCs w:val="16"/>
          <w:color w:val="auto"/>
        </w:rPr>
        <w:t>12 months regardless of their classification. Leases with a term of 12 months or less may be accounted for similar to existing guidance for operating leases today. ASU 2016-02 supersedes the previous leases standard, ASC 840, Leases.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The Company has completed an evaluation of all subsequent events after the unaudited balance sheet date of March 31, 2018 through May 11, 2018, the date these unaudited condensed consolidated financial statements were submitted to the SEC, to ensure that these consolidated financial statements include appropriate disclosure of events both recognized in the consolidated financial statements as of March 31, 2018, and events which occurred subsequently but were not recognized in the consolidated financial statements. The Company has concluded that no subsequent events have occurred that require disclosure, except as disclosed within these unaudited condensed consolidated financial statements.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760"/>
        <w:spacing w:after="0"/>
        <w:rPr>
          <w:sz w:val="20"/>
          <w:szCs w:val="20"/>
          <w:color w:val="auto"/>
        </w:rPr>
      </w:pPr>
      <w:r>
        <w:rPr>
          <w:rFonts w:ascii="Arial" w:cs="Arial" w:eastAsia="Arial" w:hAnsi="Arial"/>
          <w:sz w:val="29"/>
          <w:szCs w:val="29"/>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2673985</wp:posOffset>
            </wp:positionV>
            <wp:extent cx="1551940" cy="394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519"/>
        <w:spacing w:after="0"/>
        <w:rPr>
          <w:sz w:val="20"/>
          <w:szCs w:val="20"/>
          <w:color w:val="auto"/>
        </w:rPr>
      </w:pPr>
      <w:r>
        <w:rPr>
          <w:rFonts w:ascii="Arial" w:cs="Arial" w:eastAsia="Arial" w:hAnsi="Arial"/>
          <w:sz w:val="32"/>
          <w:szCs w:val="32"/>
          <w:i w:val="1"/>
          <w:iCs w:val="1"/>
          <w:color w:val="auto"/>
        </w:rPr>
        <w:t>Common Stock</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9"/>
          <w:szCs w:val="19"/>
          <w:i w:val="1"/>
          <w:iCs w:val="1"/>
          <w:color w:val="auto"/>
        </w:rPr>
        <w:t>PRELIMINARY PROSPECTUS</w:t>
      </w:r>
    </w:p>
    <w:p>
      <w:pPr>
        <w:sectPr>
          <w:pgSz w:w="11900" w:h="16838" w:orient="portrait"/>
          <w:cols w:equalWidth="0" w:num="1">
            <w:col w:w="10219"/>
          </w:cols>
          <w:pgMar w:left="240" w:top="459" w:right="1440" w:bottom="1440" w:gutter="0" w:footer="0" w:header="0"/>
          <w:type w:val="continuous"/>
        </w:sectPr>
      </w:pPr>
    </w:p>
    <w:bookmarkStart w:id="232" w:name="page233"/>
    <w:bookmarkEnd w:id="232"/>
    <w:p>
      <w:pPr>
        <w:jc w:val="center"/>
        <w:spacing w:after="0"/>
        <w:rPr>
          <w:sz w:val="20"/>
          <w:szCs w:val="20"/>
          <w:color w:val="auto"/>
        </w:rPr>
      </w:pPr>
      <w:r>
        <w:rPr>
          <w:rFonts w:ascii="Arial" w:cs="Arial" w:eastAsia="Arial" w:hAnsi="Arial"/>
          <w:sz w:val="36"/>
          <w:szCs w:val="36"/>
          <w:i w:val="1"/>
          <w:iCs w:val="1"/>
          <w:color w:val="auto"/>
        </w:rPr>
        <w:t>MORGAN STANLEY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COWEN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WELLS FARGO SECURITIES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 2018</w:t>
      </w:r>
    </w:p>
    <w:p>
      <w:pPr>
        <w:sectPr>
          <w:pgSz w:w="11900" w:h="16838" w:orient="portrait"/>
          <w:cols w:equalWidth="0" w:num="1">
            <w:col w:w="9019"/>
          </w:cols>
          <w:pgMar w:left="1440" w:top="111" w:right="144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BE PAID</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Printing and mailing</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tcBorders>
              <w:right w:val="single" w:sz="8" w:color="CCEEFF"/>
            </w:tcBorders>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660" w:type="dxa"/>
            <w:vAlign w:val="bottom"/>
            <w:gridSpan w:val="3"/>
          </w:tcPr>
          <w:p>
            <w:pPr>
              <w:spacing w:after="0"/>
              <w:rPr>
                <w:sz w:val="20"/>
                <w:szCs w:val="20"/>
                <w:color w:val="auto"/>
              </w:rPr>
            </w:pPr>
            <w:r>
              <w:rPr>
                <w:rFonts w:ascii="Arial" w:cs="Arial" w:eastAsia="Arial" w:hAnsi="Arial"/>
                <w:sz w:val="18"/>
                <w:szCs w:val="18"/>
                <w:color w:val="auto"/>
              </w:rPr>
              <w:t>*  To be completed by amendment.</w:t>
            </w:r>
          </w:p>
        </w:tc>
        <w:tc>
          <w:tcPr>
            <w:tcW w:w="3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adopted provisions in our certificate of incorporation and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52" w:lineRule="exact"/>
        <w:rPr>
          <w:sz w:val="20"/>
          <w:szCs w:val="20"/>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060" w:right="40" w:hanging="424"/>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1060" w:right="480" w:hanging="424"/>
        <w:spacing w:after="0" w:line="264"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intend to enter into such agreements with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November 2015, we sold an aggregate of 5,200,000 shares of common stock to our three founders and a consultant for nominal value.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2016, we sold an aggregate of 4,800,000 shares of common stock to one stockholder for nominal value.</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to one investor for aggregate consideration of approximately $1.5 million.</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 July 2016, with subsequent closings in March 2017 and October 2017, we sold an aggregate of 31,450,499 shares of our Series A preferred stock to 4 investors for aggregate consideration of approximately $25 million.</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January 2018, we sold an aggregate of 28,285,557 shares of our Series B preferred stock to 15 investors for aggregate consideration of approximately $60.5 million and issued an additional 233,765 shares of our Series B preferred stock to one investor as partial consideration under a license agreement.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granted stock options to purchase an aggregate of 7,391,214 shares of our common stock, with exercise prices ranging from $0.01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$1.21 per share, to employees, directors and consultants pursuant to the Amended and Restated 2015 Stock Option and Grant Plan, or the 2015 Plan. No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have been issued upon the exercise of stock options pursuant to the 2015 Plan.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April 2016, we issued an aggregate of 666,667 shares of restricted stock to one employee under the 2015 Plan.</w:t>
      </w:r>
    </w:p>
    <w:p>
      <w:pPr>
        <w:spacing w:after="0" w:line="225"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Issuance of Warrant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June 2017, we issued a warrant to purchase an aggregate of 28,305 shares of our Series A preferred stock, with an exercise price of $0.7949 per share, to Silicon Valley Bank. No shares of Series A preferred stock have been issued upon the exercise of this warrant. The issuance of this warrant was deemed to be exempt from registration pursuant to Section 4(a)(2) of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9460" w:type="dxa"/>
            <w:vAlign w:val="bottom"/>
            <w:vMerge w:val="restart"/>
          </w:tcPr>
          <w:p>
            <w:pPr>
              <w:ind w:left="41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9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9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1.1*</w:t>
            </w:r>
          </w:p>
        </w:tc>
        <w:tc>
          <w:tcPr>
            <w:tcW w:w="660" w:type="dxa"/>
            <w:vAlign w:val="bottom"/>
          </w:tcPr>
          <w:p>
            <w:pPr>
              <w:spacing w:after="0"/>
              <w:rPr>
                <w:sz w:val="24"/>
                <w:szCs w:val="24"/>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Third Amended and Restated Certificate of Incorporation of the Registrant, as currently in effect</w:t>
            </w:r>
          </w:p>
        </w:tc>
        <w:tc>
          <w:tcPr>
            <w:tcW w:w="0" w:type="dxa"/>
            <w:vAlign w:val="bottom"/>
          </w:tcPr>
          <w:p>
            <w:pPr>
              <w:spacing w:after="0"/>
              <w:rPr>
                <w:sz w:val="1"/>
                <w:szCs w:val="1"/>
                <w:color w:val="auto"/>
              </w:rPr>
            </w:pPr>
          </w:p>
        </w:tc>
      </w:tr>
      <w:tr>
        <w:trPr>
          <w:trHeight w:val="31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3.2*</w:t>
            </w:r>
          </w:p>
        </w:tc>
        <w:tc>
          <w:tcPr>
            <w:tcW w:w="660" w:type="dxa"/>
            <w:vAlign w:val="bottom"/>
          </w:tcPr>
          <w:p>
            <w:pPr>
              <w:spacing w:after="0"/>
              <w:rPr>
                <w:sz w:val="24"/>
                <w:szCs w:val="24"/>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w w:val="91"/>
              </w:rPr>
              <w:t>Amendment to Third Amended and Restated Certificate of Incorporation of the Registrant (to be adopted prior to the effectiveness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of this registration statement)</w:t>
            </w:r>
          </w:p>
        </w:tc>
        <w:tc>
          <w:tcPr>
            <w:tcW w:w="0" w:type="dxa"/>
            <w:vAlign w:val="bottom"/>
          </w:tcPr>
          <w:p>
            <w:pPr>
              <w:spacing w:after="0"/>
              <w:rPr>
                <w:sz w:val="1"/>
                <w:szCs w:val="1"/>
                <w:color w:val="auto"/>
              </w:rPr>
            </w:pPr>
          </w:p>
        </w:tc>
      </w:tr>
      <w:tr>
        <w:trPr>
          <w:trHeight w:val="31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3.3*</w:t>
            </w:r>
          </w:p>
        </w:tc>
        <w:tc>
          <w:tcPr>
            <w:tcW w:w="660" w:type="dxa"/>
            <w:vAlign w:val="bottom"/>
          </w:tcPr>
          <w:p>
            <w:pPr>
              <w:spacing w:after="0"/>
              <w:rPr>
                <w:sz w:val="24"/>
                <w:szCs w:val="24"/>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w w:val="96"/>
              </w:rPr>
              <w:t>Form of Fourth Amended and Restated Certificate of Incorporation of the Registrant (to be effective upon the closing of this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3.4**</w:t>
            </w: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3.5*</w:t>
            </w:r>
          </w:p>
        </w:tc>
        <w:tc>
          <w:tcPr>
            <w:tcW w:w="660" w:type="dxa"/>
            <w:vAlign w:val="bottom"/>
          </w:tcPr>
          <w:p>
            <w:pPr>
              <w:spacing w:after="0"/>
              <w:rPr>
                <w:sz w:val="24"/>
                <w:szCs w:val="24"/>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4.1*</w:t>
            </w:r>
          </w:p>
        </w:tc>
        <w:tc>
          <w:tcPr>
            <w:tcW w:w="660" w:type="dxa"/>
            <w:vAlign w:val="bottom"/>
          </w:tcPr>
          <w:p>
            <w:pPr>
              <w:spacing w:after="0"/>
              <w:rPr>
                <w:sz w:val="24"/>
                <w:szCs w:val="24"/>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Form of Specimen Common Stock Certificate</w:t>
            </w:r>
          </w:p>
        </w:tc>
        <w:tc>
          <w:tcPr>
            <w:tcW w:w="0" w:type="dxa"/>
            <w:vAlign w:val="bottom"/>
          </w:tcPr>
          <w:p>
            <w:pPr>
              <w:spacing w:after="0"/>
              <w:rPr>
                <w:sz w:val="1"/>
                <w:szCs w:val="1"/>
                <w:color w:val="auto"/>
              </w:rPr>
            </w:pPr>
          </w:p>
        </w:tc>
      </w:tr>
      <w:tr>
        <w:trPr>
          <w:trHeight w:val="310"/>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w w:val="89"/>
              </w:rPr>
              <w:t>Second Amended and Restated Investors’ Rights Agreement among the Registrant and certain of its stockholders, dated January 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4.3**</w:t>
            </w:r>
          </w:p>
        </w:tc>
        <w:tc>
          <w:tcPr>
            <w:tcW w:w="9940" w:type="dxa"/>
            <w:vAlign w:val="bottom"/>
            <w:gridSpan w:val="2"/>
          </w:tcPr>
          <w:p>
            <w:pPr>
              <w:ind w:left="480"/>
              <w:spacing w:after="0"/>
              <w:rPr>
                <w:sz w:val="20"/>
                <w:szCs w:val="20"/>
                <w:color w:val="auto"/>
              </w:rPr>
            </w:pPr>
            <w:r>
              <w:rPr>
                <w:rFonts w:ascii="Arial" w:cs="Arial" w:eastAsia="Arial" w:hAnsi="Arial"/>
                <w:sz w:val="18"/>
                <w:szCs w:val="18"/>
                <w:color w:val="auto"/>
              </w:rPr>
              <w:t>Warrant to Purchase Stock issued to Silicon Valley Bank, dated June 23, 2017</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60" w:type="dxa"/>
            <w:vAlign w:val="bottom"/>
          </w:tcPr>
          <w:p>
            <w:pPr>
              <w:ind w:left="38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978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9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5.1*</w:t>
            </w:r>
          </w:p>
        </w:tc>
        <w:tc>
          <w:tcPr>
            <w:tcW w:w="500" w:type="dxa"/>
            <w:vAlign w:val="bottom"/>
          </w:tcPr>
          <w:p>
            <w:pPr>
              <w:spacing w:after="0"/>
              <w:rPr>
                <w:sz w:val="24"/>
                <w:szCs w:val="24"/>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2015 Amended and Restated Stock Option and Grant Plan, as amended, and forms of award agreements thereunder</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10.2#*</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w w:val="96"/>
              </w:rPr>
              <w:t>2018 Stock Option and Incentive Plan and forms of award agreements thereunder (to be effective upon the effectiveness of this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10.3#*</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Senior Executive Cash Incentive Bonus Plan</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10.5†**</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w w:val="92"/>
              </w:rPr>
              <w:t>Exclusive License Agreement, by and between the Registrant and University Health Network, dated November 4, 2016, as amended</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10.6†**</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License Agreement, by and between the Registrant and BioMarin Pharmaceutical Inc., dated August 31, 2017</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10.7†**</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Exclusive License Agreement, by and among the Registrant, Stefan Karlsson and Maria Dahl, dated January 30, 2017</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10.8†**</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License Agreement, by and between the Registrant and GenStem Therapeutics, Inc., dated October 2, 2017</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10.9#*</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w w:val="92"/>
              </w:rPr>
              <w:t>Amended and Restated Employment Agreement, by and between the Registrant and Geoff MacKay (to be entered into in connection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10.10#*</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w w:val="95"/>
              </w:rPr>
              <w:t>Amended and Restated Employment Agreement, by and between the Registrant and Nerissa Kreher, M.D. (to be entered into in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connection with this offering)</w:t>
            </w:r>
          </w:p>
        </w:tc>
        <w:tc>
          <w:tcPr>
            <w:tcW w:w="0" w:type="dxa"/>
            <w:vAlign w:val="bottom"/>
          </w:tcPr>
          <w:p>
            <w:pPr>
              <w:spacing w:after="0"/>
              <w:rPr>
                <w:sz w:val="1"/>
                <w:szCs w:val="1"/>
                <w:color w:val="auto"/>
              </w:rPr>
            </w:pPr>
          </w:p>
        </w:tc>
      </w:tr>
      <w:tr>
        <w:trPr>
          <w:trHeight w:val="310"/>
        </w:trPr>
        <w:tc>
          <w:tcPr>
            <w:tcW w:w="940" w:type="dxa"/>
            <w:vAlign w:val="bottom"/>
            <w:gridSpan w:val="3"/>
          </w:tcPr>
          <w:p>
            <w:pPr>
              <w:spacing w:after="0"/>
              <w:rPr>
                <w:sz w:val="20"/>
                <w:szCs w:val="20"/>
                <w:color w:val="auto"/>
              </w:rPr>
            </w:pPr>
            <w:r>
              <w:rPr>
                <w:rFonts w:ascii="Arial" w:cs="Arial" w:eastAsia="Arial" w:hAnsi="Arial"/>
                <w:sz w:val="18"/>
                <w:szCs w:val="18"/>
                <w:color w:val="auto"/>
              </w:rPr>
              <w:t>10.11#*</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w w:val="92"/>
              </w:rPr>
              <w:t>Amended and Restated Employment Agreement, by and between the Registrant and Katina Dorton (to be entered into in connection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10.12**</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Lease Agreement, dated as of January 12, 2018, by and between the Registrant and ARE-MA Region No. 59, LLC</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10.13**</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Loan and Security Agreement, by and among the Registrant and Silicon Valley Bank, dated June 23, 2017</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10.14#*</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2018 Employee Stock Purchase Plan (to be effective upon the effectiveness of this registration statement)</w:t>
            </w: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21.1**</w:t>
            </w: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23.1*</w:t>
            </w:r>
          </w:p>
        </w:tc>
        <w:tc>
          <w:tcPr>
            <w:tcW w:w="500" w:type="dxa"/>
            <w:vAlign w:val="bottom"/>
          </w:tcPr>
          <w:p>
            <w:pPr>
              <w:spacing w:after="0"/>
              <w:rPr>
                <w:sz w:val="24"/>
                <w:szCs w:val="24"/>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23.2*</w:t>
            </w:r>
          </w:p>
        </w:tc>
        <w:tc>
          <w:tcPr>
            <w:tcW w:w="500" w:type="dxa"/>
            <w:vAlign w:val="bottom"/>
          </w:tcPr>
          <w:p>
            <w:pPr>
              <w:spacing w:after="0"/>
              <w:rPr>
                <w:sz w:val="24"/>
                <w:szCs w:val="24"/>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24.1*</w:t>
            </w:r>
          </w:p>
        </w:tc>
        <w:tc>
          <w:tcPr>
            <w:tcW w:w="500" w:type="dxa"/>
            <w:vAlign w:val="bottom"/>
          </w:tcPr>
          <w:p>
            <w:pPr>
              <w:spacing w:after="0"/>
              <w:rPr>
                <w:sz w:val="24"/>
                <w:szCs w:val="24"/>
                <w:color w:val="auto"/>
              </w:rPr>
            </w:pPr>
          </w:p>
        </w:tc>
        <w:tc>
          <w:tcPr>
            <w:tcW w:w="10100" w:type="dxa"/>
            <w:vAlign w:val="bottom"/>
            <w:gridSpan w:val="2"/>
          </w:tcPr>
          <w:p>
            <w:pPr>
              <w:ind w:left="320"/>
              <w:spacing w:after="0"/>
              <w:rPr>
                <w:sz w:val="20"/>
                <w:szCs w:val="20"/>
                <w:color w:val="auto"/>
              </w:rPr>
            </w:pPr>
            <w:r>
              <w:rPr>
                <w:rFonts w:ascii="Arial" w:cs="Arial" w:eastAsia="Arial" w:hAnsi="Arial"/>
                <w:sz w:val="18"/>
                <w:szCs w:val="18"/>
                <w:color w:val="auto"/>
              </w:rPr>
              <w:t>Power of Attorney (included in page II-6)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right="8420" w:firstLine="4"/>
        <w:spacing w:after="0" w:line="291" w:lineRule="auto"/>
        <w:tabs>
          <w:tab w:leader="none" w:pos="63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be included by amendment ** Previously submitted</w:t>
      </w:r>
    </w:p>
    <w:p>
      <w:pPr>
        <w:ind w:left="640" w:right="460" w:hanging="432"/>
        <w:spacing w:after="0" w:line="26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ind w:left="2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any compensatory plan, contract or arrangement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Registrant hereby undertakes that:</w:t>
      </w:r>
    </w:p>
    <w:p>
      <w:pPr>
        <w:spacing w:after="0" w:line="131" w:lineRule="exact"/>
        <w:rPr>
          <w:sz w:val="20"/>
          <w:szCs w:val="20"/>
          <w:color w:val="auto"/>
        </w:rPr>
      </w:pPr>
    </w:p>
    <w:p>
      <w:pPr>
        <w:ind w:left="1060" w:right="140" w:hanging="299"/>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060" w:right="120" w:hanging="310"/>
        <w:spacing w:after="0" w:line="259"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60" w:right="220" w:hanging="299"/>
        <w:spacing w:after="0" w:line="264"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240" w:top="460"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w:t>
      </w:r>
    </w:p>
    <w:p>
      <w:pPr>
        <w:spacing w:after="0" w:line="46" w:lineRule="exact"/>
        <w:rPr>
          <w:sz w:val="20"/>
          <w:szCs w:val="20"/>
          <w:color w:val="auto"/>
        </w:rPr>
      </w:pPr>
    </w:p>
    <w:p>
      <w:pPr>
        <w:ind w:left="920" w:right="780" w:hanging="719"/>
        <w:spacing w:after="0" w:line="250" w:lineRule="auto"/>
        <w:rPr>
          <w:sz w:val="20"/>
          <w:szCs w:val="20"/>
          <w:color w:val="auto"/>
        </w:rPr>
      </w:pPr>
      <w:r>
        <w:rPr>
          <w:rFonts w:ascii="Arial" w:cs="Arial" w:eastAsia="Arial" w:hAnsi="Arial"/>
          <w:sz w:val="18"/>
          <w:szCs w:val="18"/>
          <w:color w:val="auto"/>
        </w:rPr>
        <w:t>its behalf by the undersigned, thereunto duly authorized, in the City of Cambridge, Commonwealth of Massachusetts, on the</w:t>
      </w:r>
      <w:r>
        <w:rPr>
          <w:sz w:val="20"/>
          <w:szCs w:val="20"/>
          <w:color w:val="auto"/>
        </w:rPr>
        <w:t xml:space="preserve"> </w:t>
      </w:r>
      <w:r>
        <w:rPr>
          <w:rFonts w:ascii="Arial" w:cs="Arial" w:eastAsia="Arial" w:hAnsi="Arial"/>
          <w:sz w:val="18"/>
          <w:szCs w:val="18"/>
          <w:color w:val="auto"/>
        </w:rPr>
        <w:t>day of , 2018.</w:t>
      </w:r>
    </w:p>
    <w:p>
      <w:pPr>
        <w:spacing w:after="0" w:line="200" w:lineRule="exact"/>
        <w:rPr>
          <w:sz w:val="20"/>
          <w:szCs w:val="20"/>
          <w:color w:val="auto"/>
        </w:rPr>
      </w:pPr>
    </w:p>
    <w:p>
      <w:pPr>
        <w:spacing w:after="0" w:line="241"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4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Each individual whose signature appears below hereby constitutes and appoints each of Geoff MacKay and Katina Dorton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60" w:type="dxa"/>
            <w:vAlign w:val="bottom"/>
            <w:gridSpan w:val="3"/>
          </w:tcPr>
          <w:p>
            <w:pPr>
              <w:ind w:left="66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2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President, Chief Executive Officer, and</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Geoff MacKay</w:t>
            </w: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Katina Dorton</w:t>
            </w: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and Accounting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w:t>
            </w:r>
            <w:r>
              <w:rPr>
                <w:rFonts w:ascii="Arial" w:cs="Arial" w:eastAsia="Arial" w:hAnsi="Arial"/>
                <w:sz w:val="18"/>
                <w:szCs w:val="18"/>
                <w:color w:val="auto"/>
              </w:rPr>
              <w:t>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Bruce Booth, D.Phil.</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Ian T. Clark</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Annalisa Jenkins, M.B.B.S., F.R.C.P</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4"/>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40" w:type="dxa"/>
            <w:vAlign w:val="bottom"/>
            <w:gridSpan w:val="3"/>
          </w:tcPr>
          <w:p>
            <w:pPr>
              <w:ind w:left="460"/>
              <w:spacing w:after="0"/>
              <w:rPr>
                <w:sz w:val="20"/>
                <w:szCs w:val="20"/>
                <w:color w:val="auto"/>
              </w:rPr>
            </w:pPr>
            <w:r>
              <w:rPr>
                <w:rFonts w:ascii="Arial" w:cs="Arial" w:eastAsia="Arial" w:hAnsi="Arial"/>
                <w:sz w:val="18"/>
                <w:szCs w:val="18"/>
                <w:color w:val="auto"/>
              </w:rPr>
              <w:t>II-6</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440"/>
        <w:spacing w:after="0"/>
        <w:tabs>
          <w:tab w:leader="none" w:pos="6860" w:val="left"/>
          <w:tab w:leader="none" w:pos="1000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Director</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Christopher Paige,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1127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Director</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Scott G.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1127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Director</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Joshua Resnick,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1127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sectPr>
      <w:pgSz w:w="11900" w:h="16838" w:orient="portrait"/>
      <w:cols w:equalWidth="0" w:num="1">
        <w:col w:w="10420"/>
      </w:cols>
      <w:pgMar w:left="240" w:top="459"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1)"/>
      <w:numFmt w:val="decimal"/>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decimal"/>
      <w:start w:val="2"/>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lvl w:ilvl="1">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1)"/>
      <w:numFmt w:val="decimal"/>
      <w:start w:val="1"/>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1)"/>
      <w:numFmt w:val="decimal"/>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1)"/>
      <w:numFmt w:val="decimal"/>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1)"/>
      <w:numFmt w:val="decimal"/>
      <w:start w:val="1"/>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lowerRoman"/>
      <w:start w:val="1"/>
    </w:lvl>
  </w:abstractNum>
  <w:abstractNum w:abstractNumId="82">
    <w:nsid w:val="7DE67713"/>
    <w:multiLevelType w:val="hybridMultilevel"/>
    <w:lvl w:ilvl="0">
      <w:lvlJc w:val="left"/>
      <w:lvlText w:val="(%1)"/>
      <w:numFmt w:val="lowerRoman"/>
      <w:start w:val="2"/>
    </w:lvl>
  </w:abstractNum>
  <w:abstractNum w:abstractNumId="83">
    <w:nsid w:val="555C55B5"/>
    <w:multiLevelType w:val="hybridMultilevel"/>
    <w:lvl w:ilvl="0">
      <w:lvlJc w:val="left"/>
      <w:lvlText w:val="(%1)"/>
      <w:numFmt w:val="decimal"/>
      <w:start w:val="1"/>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4"/>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1)"/>
      <w:numFmt w:val="decimal"/>
      <w:start w:val="1"/>
    </w:lvl>
  </w:abstractNum>
  <w:abstractNum w:abstractNumId="91">
    <w:nsid w:val="5092CA79"/>
    <w:multiLevelType w:val="hybridMultilevel"/>
    <w:lvl w:ilvl="0">
      <w:lvlJc w:val="left"/>
      <w:lvlText w:val="(%1)"/>
      <w:numFmt w:val="decimal"/>
      <w:start w:val="7"/>
    </w:lvl>
  </w:abstractNum>
  <w:abstractNum w:abstractNumId="92">
    <w:nsid w:val="1D545C4D"/>
    <w:multiLevelType w:val="hybridMultilevel"/>
    <w:lvl w:ilvl="0">
      <w:lvlJc w:val="left"/>
      <w:lvlText w:val="(%1)"/>
      <w:numFmt w:val="lowerRoman"/>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1)"/>
      <w:numFmt w:val="lowerRoman"/>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lowerLetter"/>
      <w:start w:val="1"/>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
      <w:numFmt w:val="bullet"/>
      <w:start w:val="1"/>
    </w:lvl>
  </w:abstractNum>
  <w:abstractNum w:abstractNumId="110">
    <w:nsid w:val="39B7AAA2"/>
    <w:multiLevelType w:val="hybridMultilevel"/>
    <w:lvl w:ilvl="0">
      <w:lvlJc w:val="left"/>
      <w:lvlText w:val="$"/>
      <w:numFmt w:val="bullet"/>
      <w:start w:val="1"/>
    </w:lvl>
  </w:abstractNum>
  <w:abstractNum w:abstractNumId="111">
    <w:nsid w:val="2B0D8DBE"/>
    <w:multiLevelType w:val="hybridMultilevel"/>
    <w:lvl w:ilvl="0">
      <w:lvlJc w:val="left"/>
      <w:lvlText w:val="%1."/>
      <w:numFmt w:val="decimal"/>
      <w:start w:val="14"/>
    </w:lvl>
  </w:abstractNum>
  <w:abstractNum w:abstractNumId="112">
    <w:nsid w:val="6C80EC70"/>
    <w:multiLevelType w:val="hybridMultilevel"/>
    <w:lvl w:ilvl="0">
      <w:lvlJc w:val="left"/>
      <w:lvlText w:val="%1."/>
      <w:numFmt w:val="decimal"/>
      <w:start w:val="15"/>
    </w:lvl>
  </w:abstractNum>
  <w:abstractNum w:abstractNumId="113">
    <w:nsid w:val="379E21B5"/>
    <w:multiLevelType w:val="hybridMultilevel"/>
    <w:lvl w:ilvl="0">
      <w:lvlJc w:val="left"/>
      <w:lvlText w:val="%1."/>
      <w:numFmt w:val="decimal"/>
      <w:start w:val="2"/>
    </w:lvl>
  </w:abstractNum>
  <w:abstractNum w:abstractNumId="114">
    <w:nsid w:val="69E373"/>
    <w:multiLevelType w:val="hybridMultilevel"/>
    <w:lvl w:ilvl="0">
      <w:lvlJc w:val="left"/>
      <w:lvlText w:val="%1."/>
      <w:numFmt w:val="decimal"/>
      <w:start w:val="11"/>
    </w:lvl>
  </w:abstractNum>
  <w:abstractNum w:abstractNumId="115">
    <w:nsid w:val="2C27173B"/>
    <w:multiLevelType w:val="hybridMultilevel"/>
    <w:lvl w:ilvl="0">
      <w:lvlJc w:val="left"/>
      <w:lvlText w:val="(%1)"/>
      <w:numFmt w:val="lowerRoman"/>
      <w:start w:val="4"/>
    </w:lvl>
  </w:abstractNum>
  <w:abstractNum w:abstractNumId="116">
    <w:nsid w:val="4C9B0904"/>
    <w:multiLevelType w:val="hybridMultilevel"/>
    <w:lvl w:ilvl="0">
      <w:lvlJc w:val="left"/>
      <w:lvlText w:val="%1."/>
      <w:numFmt w:val="decimal"/>
      <w:start w:val="13"/>
    </w:lvl>
  </w:abstractNum>
  <w:abstractNum w:abstractNumId="117">
    <w:nsid w:val="6AA7B75C"/>
    <w:multiLevelType w:val="hybridMultilevel"/>
    <w:lvl w:ilvl="0">
      <w:lvlJc w:val="left"/>
      <w:lvlText w:val="•"/>
      <w:numFmt w:val="bullet"/>
      <w:start w:val="1"/>
    </w:lvl>
  </w:abstractNum>
  <w:abstractNum w:abstractNumId="118">
    <w:nsid w:val="1DF029D3"/>
    <w:multiLevelType w:val="hybridMultilevel"/>
    <w:lvl w:ilvl="0">
      <w:lvlJc w:val="left"/>
      <w:lvlText w:val="•"/>
      <w:numFmt w:val="bullet"/>
      <w:start w:val="1"/>
    </w:lvl>
  </w:abstractNum>
  <w:abstractNum w:abstractNumId="119">
    <w:nsid w:val="5675FF36"/>
    <w:multiLevelType w:val="hybridMultilevel"/>
    <w:lvl w:ilvl="0">
      <w:lvlJc w:val="left"/>
      <w:lvlText w:val="*"/>
      <w:numFmt w:val="bullet"/>
      <w:start w:val="1"/>
    </w:lvl>
  </w:abstractNum>
  <w:abstractNum w:abstractNumId="120">
    <w:nsid w:val="3DD150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2019-12-08T15:31:36Z</dcterms:created>
  <dcterms:modified xsi:type="dcterms:W3CDTF">2019-12-08T15:31:36Z</dcterms:modified>
</cp:coreProperties>
</file>