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TECTONIC THERAPEUTIC,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217170</wp:posOffset>
            </wp:positionV>
            <wp:extent cx="272605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260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On June 8, 2026</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Tectonic Therapeutic, Inc., a Delaware corporation (the “Company”). The meeting will be held on Monday, June 8, 2026 at 9:00 a.m. Eastern Time. The Annual Meeting will be a virtual meeting of stockholders, which will be conducted only via a live audio webcast. You will be able to attend the Annual Meeting, submit your questions and vote online during the meeting by visiting www.virtualshareholdermeeting.com/TECX2026. A complete list of record stockholders will be available for examination on a reasonably accessible electronic network by any stockholder for any purpose germane to the Annual Meeting for a period of ten days ending on the day before the Annual Meeting date. If you would like to view the list, please email us at info@tectonictx.com. The meeting will be held for the following purposes:</w:t>
      </w:r>
    </w:p>
    <w:p>
      <w:pPr>
        <w:spacing w:after="0" w:line="94" w:lineRule="exact"/>
        <w:rPr>
          <w:sz w:val="20"/>
          <w:szCs w:val="20"/>
          <w:color w:val="auto"/>
        </w:rPr>
      </w:pPr>
    </w:p>
    <w:p>
      <w:pPr>
        <w:ind w:left="1080" w:right="2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two nominees for Class II director named as nominees in this Proxy Statement to hold office until the 2029 Annual Meeting of Stockholders and their successors are duly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Deloitte &amp; Touche LLP as the Company’s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or any adjournment or postponement thereof.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Annual Meeting will be held virtually through a live audio webcast. Stockholders of record at the close of business on April 13, 2026 and their proxy holders will be able to attend the Annual Meeting, submit questions and vote during the live webcast by visiting www.virtualshareholdermeeting.com/TECX2026 and entering the 16-digit Control Number included in your Notice of Internet Availability or in the instructions that you received via email. Please refer to the additional logistical details and recommendations in the accompanying proxy statement. You may log-in beginning at 8:45 a.m. Eastern Time, on Monday, June 8, 2026.</w:t>
      </w:r>
    </w:p>
    <w:p>
      <w:pPr>
        <w:sectPr>
          <w:pgSz w:w="11900" w:h="16838" w:orient="portrait"/>
          <w:cols w:equalWidth="0" w:num="1">
            <w:col w:w="11100"/>
          </w:cols>
          <w:pgMar w:left="320" w:top="482"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13, 2026 and their proxy holders may vote at the meeting or any adjournment thereof.</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Alise Reicin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Alise Reicin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158115</wp:posOffset>
            </wp:positionV>
            <wp:extent cx="6998970" cy="715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715645"/>
                    </a:xfrm>
                    <a:prstGeom prst="rect">
                      <a:avLst/>
                    </a:prstGeom>
                    <a:noFill/>
                  </pic:spPr>
                </pic:pic>
              </a:graphicData>
            </a:graphic>
          </wp:anchor>
        </w:drawing>
      </w: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Stockholders’ Meeting to Be Held on Monday, June 8, 2026 at 9:00 a.m.</w:t>
      </w: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Eastern Time at www.virtualshareholdermeeting.com/TECX2026.</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257810</wp:posOffset>
            </wp:positionV>
            <wp:extent cx="6998970" cy="629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299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right="20"/>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meeting. Even if you have voted by proxy, you may still vote online if you attend the meeting.</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8"/>
              </w:rPr>
              <w:t>SCHEDULE 14A</w:t>
            </w:r>
          </w:p>
        </w:tc>
        <w:tc>
          <w:tcPr>
            <w:tcW w:w="8560" w:type="dxa"/>
            <w:vAlign w:val="bottom"/>
            <w:gridSpan w:val="42"/>
            <w:vMerge w:val="restart"/>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1300" w:type="dxa"/>
            <w:vAlign w:val="bottom"/>
            <w:tcBorders>
              <w:bottom w:val="single" w:sz="8" w:color="0000EE"/>
            </w:tcBorders>
            <w:gridSpan w:val="3"/>
            <w:vMerge w:val="continue"/>
          </w:tcPr>
          <w:p>
            <w:pPr>
              <w:spacing w:after="0"/>
              <w:rPr>
                <w:sz w:val="13"/>
                <w:szCs w:val="13"/>
                <w:color w:val="auto"/>
              </w:rPr>
            </w:pPr>
          </w:p>
        </w:tc>
        <w:tc>
          <w:tcPr>
            <w:tcW w:w="8560" w:type="dxa"/>
            <w:vAlign w:val="bottom"/>
            <w:gridSpan w:val="42"/>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86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NOTICE OF ANNUAL MEETING OF STOCKHOLDERS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PROXY STATEMENT</w:t>
            </w:r>
          </w:p>
        </w:tc>
        <w:tc>
          <w:tcPr>
            <w:tcW w:w="5540" w:type="dxa"/>
            <w:vAlign w:val="bottom"/>
            <w:gridSpan w:val="1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6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6480" w:type="dxa"/>
            <w:vAlign w:val="bottom"/>
            <w:tcBorders>
              <w:top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3380" w:type="dxa"/>
            <w:vAlign w:val="bottom"/>
            <w:gridSpan w:val="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Nominees for Election to the Board of Directors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10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Our Board of Directors</w:t>
            </w:r>
          </w:p>
        </w:tc>
        <w:tc>
          <w:tcPr>
            <w:tcW w:w="604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Class II Director Nominees for Election at the Annual Meeting</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4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Class III Directors and Nominee Continuing in Office Until Our 2027 Annual Meeting</w:t>
            </w:r>
          </w:p>
        </w:tc>
        <w:tc>
          <w:tcPr>
            <w:tcW w:w="2900" w:type="dxa"/>
            <w:vAlign w:val="bottom"/>
            <w:gridSpan w:val="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Class I Directors Continuing in Office Until Our 2028 Annual Meeting</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The Board of Directors and Certain Governance Matters</w:t>
            </w:r>
          </w:p>
        </w:tc>
        <w:tc>
          <w:tcPr>
            <w:tcW w:w="544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Director Nomination Process and Qualifications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Nominations by Stockholders</w:t>
            </w:r>
          </w:p>
        </w:tc>
        <w:tc>
          <w:tcPr>
            <w:tcW w:w="1320" w:type="dxa"/>
            <w:vAlign w:val="bottom"/>
            <w:tcBorders>
              <w:top w:val="single" w:sz="8" w:color="0000EE"/>
            </w:tcBorders>
            <w:gridSpan w:val="13"/>
          </w:tcPr>
          <w:p>
            <w:pPr>
              <w:spacing w:after="0"/>
              <w:rPr>
                <w:sz w:val="17"/>
                <w:szCs w:val="17"/>
                <w:color w:val="auto"/>
              </w:rPr>
            </w:pPr>
          </w:p>
        </w:tc>
        <w:tc>
          <w:tcPr>
            <w:tcW w:w="5680" w:type="dxa"/>
            <w:vAlign w:val="bottom"/>
            <w:gridSpan w:val="13"/>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Director Independence and Independence Determinations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2120" w:type="dxa"/>
            <w:vAlign w:val="bottom"/>
            <w:tcBorders>
              <w:top w:val="single" w:sz="8" w:color="0000EE"/>
            </w:tcBorders>
            <w:gridSpan w:val="18"/>
          </w:tcPr>
          <w:p>
            <w:pPr>
              <w:spacing w:after="0"/>
              <w:rPr>
                <w:sz w:val="17"/>
                <w:szCs w:val="17"/>
                <w:color w:val="auto"/>
              </w:rPr>
            </w:pPr>
          </w:p>
        </w:tc>
        <w:tc>
          <w:tcPr>
            <w:tcW w:w="5000" w:type="dxa"/>
            <w:vAlign w:val="bottom"/>
            <w:gridSpan w:val="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Board’s Role in Risk Oversight</w:t>
            </w:r>
          </w:p>
        </w:tc>
        <w:tc>
          <w:tcPr>
            <w:tcW w:w="6880" w:type="dxa"/>
            <w:vAlign w:val="bottom"/>
            <w:gridSpan w:val="2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Board and Committee Meetings and Attendance</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Committees</w:t>
            </w:r>
          </w:p>
        </w:tc>
        <w:tc>
          <w:tcPr>
            <w:tcW w:w="1740" w:type="dxa"/>
            <w:vAlign w:val="bottom"/>
            <w:tcBorders>
              <w:top w:val="single" w:sz="8" w:color="0000EE"/>
            </w:tcBorders>
            <w:gridSpan w:val="22"/>
          </w:tcPr>
          <w:p>
            <w:pPr>
              <w:spacing w:after="0"/>
              <w:rPr>
                <w:sz w:val="17"/>
                <w:szCs w:val="17"/>
                <w:color w:val="auto"/>
              </w:rPr>
            </w:pPr>
          </w:p>
        </w:tc>
        <w:tc>
          <w:tcPr>
            <w:tcW w:w="6040" w:type="dxa"/>
            <w:vAlign w:val="bottom"/>
            <w:gridSpan w:val="1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Committee Charters and Corporate Governance Guidelines</w:t>
            </w:r>
          </w:p>
        </w:tc>
        <w:tc>
          <w:tcPr>
            <w:tcW w:w="4880" w:type="dxa"/>
            <w:vAlign w:val="bottom"/>
            <w:gridSpan w:val="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Executive Sessions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Board’s Oversight of Strategy</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Communications with the Board</w:t>
            </w:r>
          </w:p>
        </w:tc>
        <w:tc>
          <w:tcPr>
            <w:tcW w:w="7140" w:type="dxa"/>
            <w:vAlign w:val="bottom"/>
            <w:gridSpan w:val="2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6800" w:type="dxa"/>
            <w:vAlign w:val="bottom"/>
            <w:gridSpan w:val="22"/>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1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Hedging and Pledging Policy</w:t>
            </w:r>
          </w:p>
        </w:tc>
        <w:tc>
          <w:tcPr>
            <w:tcW w:w="7360" w:type="dxa"/>
            <w:vAlign w:val="bottom"/>
            <w:gridSpan w:val="3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 RATIFICATION OF APPOINTMENT OF INDEPENDENT REGISTERED PUBLIC ACCOUNTING FIRM</w:t>
            </w:r>
          </w:p>
        </w:tc>
        <w:tc>
          <w:tcPr>
            <w:tcW w:w="7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6640" w:type="dxa"/>
            <w:vAlign w:val="bottom"/>
            <w:gridSpan w:val="2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6760" w:type="dxa"/>
            <w:vAlign w:val="bottom"/>
            <w:gridSpan w:val="2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6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PROPOSAL 3: ADVISORY VOTE ON EXECUTIVE COMPENSATION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940" w:type="dxa"/>
            <w:vAlign w:val="bottom"/>
            <w:tcBorders>
              <w:top w:val="single" w:sz="8" w:color="0000EE"/>
            </w:tcBorders>
            <w:gridSpan w:val="26"/>
          </w:tcPr>
          <w:p>
            <w:pPr>
              <w:spacing w:after="0"/>
              <w:rPr>
                <w:sz w:val="17"/>
                <w:szCs w:val="17"/>
                <w:color w:val="auto"/>
              </w:rPr>
            </w:pPr>
          </w:p>
        </w:tc>
        <w:tc>
          <w:tcPr>
            <w:tcW w:w="4480" w:type="dxa"/>
            <w:vAlign w:val="bottom"/>
            <w:gridSpan w:val="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Fiscal Year 2025 Summary Compensation Table</w:t>
            </w:r>
          </w:p>
        </w:tc>
        <w:tc>
          <w:tcPr>
            <w:tcW w:w="6020" w:type="dxa"/>
            <w:vAlign w:val="bottom"/>
            <w:gridSpan w:val="14"/>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Base Salary</w:t>
            </w:r>
          </w:p>
        </w:tc>
        <w:tc>
          <w:tcPr>
            <w:tcW w:w="8280" w:type="dxa"/>
            <w:vAlign w:val="bottom"/>
            <w:gridSpan w:val="4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Non-Equity Incentive Plan Compensation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Equity-Based Incentive Awards</w:t>
            </w:r>
          </w:p>
        </w:tc>
        <w:tc>
          <w:tcPr>
            <w:tcW w:w="720" w:type="dxa"/>
            <w:vAlign w:val="bottom"/>
            <w:tcBorders>
              <w:top w:val="single" w:sz="8" w:color="0000EE"/>
            </w:tcBorders>
            <w:gridSpan w:val="7"/>
          </w:tcPr>
          <w:p>
            <w:pPr>
              <w:spacing w:after="0"/>
              <w:rPr>
                <w:sz w:val="17"/>
                <w:szCs w:val="17"/>
                <w:color w:val="auto"/>
              </w:rPr>
            </w:pPr>
          </w:p>
        </w:tc>
        <w:tc>
          <w:tcPr>
            <w:tcW w:w="6140" w:type="dxa"/>
            <w:vAlign w:val="bottom"/>
            <w:gridSpan w:val="16"/>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6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8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Employment Arrangements with Our Executive Officers</w:t>
            </w:r>
          </w:p>
        </w:tc>
        <w:tc>
          <w:tcPr>
            <w:tcW w:w="5420" w:type="dxa"/>
            <w:vAlign w:val="bottom"/>
            <w:gridSpan w:val="10"/>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360" w:type="dxa"/>
            <w:vAlign w:val="bottom"/>
            <w:tcBorders>
              <w:bottom w:val="single" w:sz="8" w:color="0000EE"/>
            </w:tcBorders>
            <w:gridSpan w:val="39"/>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and Benefits upon a Termination or Change in Control</w:t>
            </w:r>
          </w:p>
        </w:tc>
        <w:tc>
          <w:tcPr>
            <w:tcW w:w="4140" w:type="dxa"/>
            <w:vAlign w:val="bottom"/>
            <w:gridSpan w:val="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Health and Welfare and Retirement Benefits; Perquisites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Retirement Benefits</w:t>
            </w:r>
          </w:p>
        </w:tc>
        <w:tc>
          <w:tcPr>
            <w:tcW w:w="2260" w:type="dxa"/>
            <w:vAlign w:val="bottom"/>
            <w:tcBorders>
              <w:top w:val="single" w:sz="8" w:color="0000EE"/>
            </w:tcBorders>
            <w:gridSpan w:val="23"/>
          </w:tcPr>
          <w:p>
            <w:pPr>
              <w:spacing w:after="0"/>
              <w:rPr>
                <w:sz w:val="17"/>
                <w:szCs w:val="17"/>
                <w:color w:val="auto"/>
              </w:rPr>
            </w:pPr>
          </w:p>
        </w:tc>
        <w:tc>
          <w:tcPr>
            <w:tcW w:w="5440" w:type="dxa"/>
            <w:vAlign w:val="bottom"/>
            <w:gridSpan w:val="11"/>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Equity Incentive Plans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2024 Equity Incentive Plan</w:t>
            </w:r>
          </w:p>
        </w:tc>
        <w:tc>
          <w:tcPr>
            <w:tcW w:w="7160" w:type="dxa"/>
            <w:vAlign w:val="bottom"/>
            <w:gridSpan w:val="29"/>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2024 Employee Stock Purchase Plan</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2019 Equity Incentive Plan</w:t>
            </w:r>
          </w:p>
        </w:tc>
        <w:tc>
          <w:tcPr>
            <w:tcW w:w="680" w:type="dxa"/>
            <w:vAlign w:val="bottom"/>
            <w:tcBorders>
              <w:top w:val="single" w:sz="8" w:color="0000EE"/>
            </w:tcBorders>
            <w:gridSpan w:val="12"/>
          </w:tcPr>
          <w:p>
            <w:pPr>
              <w:spacing w:after="0"/>
              <w:rPr>
                <w:sz w:val="17"/>
                <w:szCs w:val="17"/>
                <w:color w:val="auto"/>
              </w:rPr>
            </w:pPr>
          </w:p>
        </w:tc>
        <w:tc>
          <w:tcPr>
            <w:tcW w:w="6500" w:type="dxa"/>
            <w:vAlign w:val="bottom"/>
            <w:gridSpan w:val="18"/>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Clawback Policy</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6960" w:type="dxa"/>
            <w:vAlign w:val="bottom"/>
            <w:gridSpan w:val="2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Smaller Reporting Company Status</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760" w:type="dxa"/>
            <w:vAlign w:val="bottom"/>
            <w:tcBorders>
              <w:top w:val="single" w:sz="8" w:color="0000EE"/>
            </w:tcBorders>
            <w:gridSpan w:val="10"/>
          </w:tcPr>
          <w:p>
            <w:pPr>
              <w:spacing w:after="0"/>
              <w:rPr>
                <w:sz w:val="17"/>
                <w:szCs w:val="17"/>
                <w:color w:val="auto"/>
              </w:rPr>
            </w:pPr>
          </w:p>
        </w:tc>
        <w:tc>
          <w:tcPr>
            <w:tcW w:w="6960" w:type="dxa"/>
            <w:vAlign w:val="bottom"/>
            <w:gridSpan w:val="25"/>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Policies and Practices Related to the Grant of Certain Equity Awards Close in Time to the Release of Material Nonpublic Information</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Compensation Policy</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2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PERSON TRANSACTIONS</w:t>
            </w:r>
          </w:p>
        </w:tc>
        <w:tc>
          <w:tcPr>
            <w:tcW w:w="1120" w:type="dxa"/>
            <w:vAlign w:val="bottom"/>
            <w:tcBorders>
              <w:top w:val="single" w:sz="8" w:color="0000EE"/>
            </w:tcBorders>
          </w:tcPr>
          <w:p>
            <w:pPr>
              <w:spacing w:after="0"/>
              <w:rPr>
                <w:sz w:val="17"/>
                <w:szCs w:val="17"/>
                <w:color w:val="auto"/>
              </w:rPr>
            </w:pPr>
          </w:p>
        </w:tc>
        <w:tc>
          <w:tcPr>
            <w:tcW w:w="366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Legacy Tectonic’s Transactions and Agreements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Support Agreements Under the Merger</w:t>
            </w:r>
          </w:p>
        </w:tc>
        <w:tc>
          <w:tcPr>
            <w:tcW w:w="300" w:type="dxa"/>
            <w:vAlign w:val="bottom"/>
            <w:tcBorders>
              <w:top w:val="single" w:sz="8" w:color="0000EE"/>
            </w:tcBorders>
            <w:gridSpan w:val="2"/>
          </w:tcPr>
          <w:p>
            <w:pPr>
              <w:spacing w:after="0"/>
              <w:rPr>
                <w:sz w:val="17"/>
                <w:szCs w:val="17"/>
                <w:color w:val="auto"/>
              </w:rPr>
            </w:pPr>
          </w:p>
        </w:tc>
        <w:tc>
          <w:tcPr>
            <w:tcW w:w="654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February 2025 Private Placement</w:t>
            </w:r>
          </w:p>
        </w:tc>
        <w:tc>
          <w:tcPr>
            <w:tcW w:w="720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Agreements</w:t>
            </w:r>
          </w:p>
        </w:tc>
        <w:tc>
          <w:tcPr>
            <w:tcW w:w="760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37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 FOR STOCKHOLDERS</w:t>
            </w:r>
          </w:p>
        </w:tc>
        <w:tc>
          <w:tcPr>
            <w:tcW w:w="664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for the 2027 Annual Meeting of Stockholders</w:t>
            </w:r>
          </w:p>
        </w:tc>
        <w:tc>
          <w:tcPr>
            <w:tcW w:w="508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620" w:type="dxa"/>
            <w:vAlign w:val="bottom"/>
            <w:gridSpan w:val="11"/>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Filings</w:t>
            </w:r>
          </w:p>
        </w:tc>
        <w:tc>
          <w:tcPr>
            <w:tcW w:w="870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103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73"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217170</wp:posOffset>
            </wp:positionV>
            <wp:extent cx="2726055"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605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ON JUNE 8, 2026</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have sent you this Proxy Statement and the enclosed Proxy Card because the Board of Directors (the “Board”) of Tectonic Therapeutic, Inc. (referred to herein as the “Company”, “Tectonic”, “we”, “us” or “our”) is soliciting your proxy to vote at our 2026 Annual Meeting of Stockholders (the “Annual Meeting”) to be held virtually on June 8, 2026, at 9:00 a.m. Eastern Time, by visiting www.virtualshareholdermeeting.com/TECX2026.</w:t>
      </w:r>
    </w:p>
    <w:p>
      <w:pPr>
        <w:spacing w:after="0" w:line="81"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Annual Meeting and other information you may find useful in determining how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is the means by which you actually authorize another person to vote your shares in accordance with your instructions.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e-mail and personal interviews. We have also retained Broadridge Financial Solutions, Inc. (“Broadridge”)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only outstanding voting securities of Tectonic are shares of common stock, $0.0001 par value per share (the “Common Stock”), of which there were 18,848,500 shares outstanding as of April 13, 2026 (the “Record Date”). The holders of a majority of the shares of common stock issued and outstanding and entitled to vote, present in person or represented by proxy, are required to hold the Annual Meeting.</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120" w:firstLine="2127"/>
        <w:spacing w:after="0" w:line="440" w:lineRule="auto"/>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 Why did I receive a notice regarding the availability of proxy materials on the internet?</w:t>
      </w:r>
    </w:p>
    <w:p>
      <w:pPr>
        <w:spacing w:after="0" w:line="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2026 Annual Meeting of Stockholders,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first mail the Notice and make this proxy statement and the form of proxy available to stockholders on or about April 24,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the Record Date, or hold a valid proxy for the meeting. This year’s Annual Meeting will be a virtual meeting, which will be conducted entirely online via audio webcast to allow greater participation. You may attend, vote and ask questions at the Annual Meeting by following the instructions provided on the Notice or proxy card to log in to www.virtualshareholdermeeting.com/TECX2026. If you are a stockholder of record, you will be asked to provide the 16-digit control number found next to the label “Control Number” on your Notice or proxy card, or in the email sending you the Proxy Statement. If you are a beneficial owner of shares registered in the name of your broker, bank or other agent, follow the instructions from your broker or bank.</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9:00 a.m. Eastern Time. We encourage you to access the meeting prior to the start time. Online check-in will begin at 8:45 a.m. Eastern Time, and you should allow reasonable time for the check-in procedures.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you will be able to login as a guest. To view the meeting webcast visit www.virtualshareholdermeeting.com/TECX2026 and register as a guest. If you login as a guest, you will not be able to vote your shares or ask questions during the meeting.</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or during the meeting, please refer to the technical support telephone number posted on the virtual meeting website login page, where technicians will be available to help you.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During a designated question and answer period at the Annual Meeting, we plan to respond to appropriate questions submitted by stockholders within the rules of conduct for the Annual Meeting as the allotted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permits. If we receive substantially similar questions, we will group such questions together and provide a single response to avoid repetition. Questions that are not relevant to the proposals to be voted on at the Annual Meeting will not be responded to. Questions may be submitted during the Annual Meeting through www.virtualshareholdermeeting.com/TECX2026</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Tectonic’s transfer agent, Computershare Trust Company N.A.,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 Notice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four matters scheduled for a vote:</w:t>
      </w:r>
    </w:p>
    <w:p>
      <w:pPr>
        <w:spacing w:after="0" w:line="131" w:lineRule="exact"/>
        <w:rPr>
          <w:sz w:val="20"/>
          <w:szCs w:val="20"/>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two nominees for director named as nominees in this Proxy Statement to serve until the 2029 Annual Meeting of Stockholders and their successors are duly elected and qualified, or until their earlier death, resignation or removal (Proposal 1);</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Deloitte &amp; Touche LLP as the Company’s independent registered public accounting firm for the fiscal year ending December 31, 2026 (Proposal 2);</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 (Proposal 3);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 or any adjournment or postponement thereof.</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each of the other matters to be voted on, you may vote “For” or “Against” or abstain from voting.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procedures for voting are noted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or you may vote by proxy over the telephone, through the internet or using a proxy card that you may request or that we may elect to deliver at a later time.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By Internet</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You may vote your shares from any location in the world at www.proxyvote.com (you will need the control number printed on your Notice or proxy card)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4"/>
          <w:szCs w:val="14"/>
          <w:b w:val="1"/>
          <w:bCs w:val="1"/>
          <w:u w:val="single" w:color="auto"/>
          <w:color w:val="auto"/>
        </w:rPr>
        <w:t>By Telephone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You may vote your shares by calling 1-800-690-6903 and following the instructions on your proxy card.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u w:val="single" w:color="auto"/>
          <w:color w:val="auto"/>
        </w:rPr>
        <w:t>By Mail</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you received a proxy card by mail, you may vote by completing, dating and signing the proxy card and promptly mailing it in the postage-paid envelope provided.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u w:val="single" w:color="auto"/>
          <w:color w:val="auto"/>
        </w:rPr>
        <w:t>During the Meeting</w:t>
      </w:r>
    </w:p>
    <w:p>
      <w:pPr>
        <w:spacing w:after="0" w:line="27"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To vote at the meeting, visit www.virtualshareholdermeeting.com/ TECX2026 (you will need the control number printed on your Notice or proxy registration confirmation email)</w:t>
      </w:r>
    </w:p>
    <w:p>
      <w:pPr>
        <w:spacing w:after="0" w:line="621" w:lineRule="exact"/>
        <w:rPr>
          <w:sz w:val="20"/>
          <w:szCs w:val="20"/>
          <w:color w:val="auto"/>
        </w:rPr>
      </w:pPr>
    </w:p>
    <w:p>
      <w:pPr>
        <w:sectPr>
          <w:pgSz w:w="11900" w:h="16838" w:orient="portrait"/>
          <w:cols w:equalWidth="0" w:num="4">
            <w:col w:w="2700" w:space="260"/>
            <w:col w:w="1940" w:space="380"/>
            <w:col w:w="2020" w:space="200"/>
            <w:col w:w="3620"/>
          </w:cols>
          <w:pgMar w:left="320" w:top="482" w:right="459" w:bottom="1440" w:gutter="0" w:footer="0" w:header="0"/>
          <w:type w:val="continuous"/>
        </w:sect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11:59 p.m. Eastern Time on June 7, 2026.</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both nominees for director, “For” the advisory vote on executive compensation, and “For” the ratification of the appointment by the Audit Committee of the Board of Deloitte &amp; Touche LLP as our independent registered public accounting firm for the fiscal year ending December 31, 2026. If any other matter is properly presented at the meeting, your proxy holder (one of the individuals named on your proxy card) will vote your shares using that individual’s best judgment.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Tectonic. You must follow these instructions for your bank, broker or other stockholder of record to vote your shares per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your instructions. Alternatively, many brokers and banks provide the means to grant proxies or otherwise instruct them to vote your shares by telephone and via the Internet, including by providing you with a 16-digit control number via email or on your Notice of Availability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Notice of Availability or voting instruction form, and you wish to vote prior to or at the virtual Annual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135890</wp:posOffset>
            </wp:positionV>
            <wp:extent cx="6998970" cy="484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484505"/>
                    </a:xfrm>
                    <a:prstGeom prst="rect">
                      <a:avLst/>
                    </a:prstGeom>
                    <a:noFill/>
                  </pic:spPr>
                </pic:pic>
              </a:graphicData>
            </a:graphic>
          </wp:anchor>
        </w:drawing>
      </w:r>
    </w:p>
    <w:p>
      <w:pPr>
        <w:spacing w:after="0" w:line="215" w:lineRule="exact"/>
        <w:rPr>
          <w:sz w:val="20"/>
          <w:szCs w:val="20"/>
          <w:color w:val="auto"/>
        </w:rPr>
      </w:pPr>
    </w:p>
    <w:p>
      <w:pPr>
        <w:ind w:left="240"/>
        <w:spacing w:after="0" w:line="268"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share of Common Stock you owned as of the Record Date is entitled to one vote.</w:t>
      </w:r>
    </w:p>
    <w:p>
      <w:pPr>
        <w:spacing w:after="0" w:line="329"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both nominees for director, “For” the advisory vote on executive compensation, and “For” the ratification of the appointment by the Audit Committee of the Board of Deloitte &amp; Touche LLP as our independent registered public accounting firm for the fiscal year ending December 31, 2026. If any other matter is properly presented at the meeting, your proxy holder (one of the individuals named on your proxy card) will vote your shares using that individual’s best judgment.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I am a beneficial owner of shares held in street name and I do not provide my broker or bank with voting instructions, what happens?</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 1 and Proposal 3 are considered to be “non-routine,” meaning that your broker may not vote your shares on those proposals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183"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82"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this proposal. Proposal 1 and Proposal 3 are considered to be “non-routine” and we therefore expect broker non-votes to exist in connection with that proposal.</w:t>
      </w:r>
    </w:p>
    <w:p>
      <w:pPr>
        <w:spacing w:after="0" w:line="75" w:lineRule="exact"/>
        <w:rPr>
          <w:sz w:val="20"/>
          <w:szCs w:val="20"/>
          <w:color w:val="auto"/>
        </w:rPr>
      </w:pPr>
    </w:p>
    <w:p>
      <w:pPr>
        <w:jc w:val="both"/>
        <w:ind w:left="120" w:right="4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Tectonic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 In addition, we have hired Broadridge to solicit proxies. We expect to pay Broadridge a fee of $40,000 plus reasonable expenses for these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the Company’s Corporate Secretary at 490 Arsenal Way, Suite 200, Watertown, Massachusetts 02472. Such notice will be considered timely if it is received at the indicated address by the close of business on the business day one week preceding the date of the Annual Meeting.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What vote is required for adoption or approval of each proposal and how will votes be counted?</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Proposal</w:t>
      </w:r>
    </w:p>
    <w:p>
      <w:pPr>
        <w:spacing w:after="0" w:line="27" w:lineRule="exact"/>
        <w:rPr>
          <w:sz w:val="20"/>
          <w:szCs w:val="20"/>
          <w:color w:val="auto"/>
        </w:rPr>
      </w:pPr>
    </w:p>
    <w:p>
      <w:pPr>
        <w:jc w:val="both"/>
        <w:ind w:left="120" w:right="360"/>
        <w:spacing w:after="0" w:line="254"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Election of Directors named in this Proxy Statement</w:t>
      </w:r>
    </w:p>
    <w:p>
      <w:pPr>
        <w:spacing w:after="0" w:line="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Ratification of the appointment of Deloitte &amp; Touche LLP as the Company’s independent registered public accounting firm for</w:t>
      </w:r>
    </w:p>
    <w:p>
      <w:pPr>
        <w:spacing w:after="0" w:line="5" w:lineRule="exact"/>
        <w:rPr>
          <w:sz w:val="20"/>
          <w:szCs w:val="20"/>
          <w:color w:val="auto"/>
        </w:rPr>
      </w:pPr>
    </w:p>
    <w:p>
      <w:pPr>
        <w:ind w:left="120" w:right="500"/>
        <w:spacing w:after="0" w:line="287" w:lineRule="auto"/>
        <w:rPr>
          <w:sz w:val="20"/>
          <w:szCs w:val="20"/>
          <w:color w:val="auto"/>
        </w:rPr>
      </w:pPr>
      <w:r>
        <w:rPr>
          <w:rFonts w:ascii="Times New Roman" w:cs="Times New Roman" w:eastAsia="Times New Roman" w:hAnsi="Times New Roman"/>
          <w:sz w:val="17"/>
          <w:szCs w:val="17"/>
          <w:color w:val="auto"/>
        </w:rPr>
        <w:t>the fiscal year ending December 31, 2026</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Vote</w:t>
            </w:r>
          </w:p>
        </w:tc>
        <w:tc>
          <w:tcPr>
            <w:tcW w:w="2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Required for</w:t>
            </w:r>
          </w:p>
        </w:tc>
        <w:tc>
          <w:tcPr>
            <w:tcW w:w="26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Broker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68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Recommendation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Plurality of the votes cast and</w:t>
            </w:r>
          </w:p>
        </w:tc>
        <w:tc>
          <w:tcPr>
            <w:tcW w:w="20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or WITHHOLD</w:t>
            </w:r>
          </w:p>
        </w:tc>
        <w:tc>
          <w:tcPr>
            <w:tcW w:w="580" w:type="dxa"/>
            <w:vAlign w:val="bottom"/>
          </w:tcPr>
          <w:p>
            <w:pPr>
              <w:spacing w:after="0"/>
              <w:rPr>
                <w:sz w:val="16"/>
                <w:szCs w:val="16"/>
                <w:color w:val="auto"/>
              </w:rPr>
            </w:pPr>
          </w:p>
        </w:tc>
        <w:tc>
          <w:tcPr>
            <w:tcW w:w="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No Effect</w:t>
            </w:r>
          </w:p>
        </w:tc>
        <w:tc>
          <w:tcPr>
            <w:tcW w:w="120" w:type="dxa"/>
            <w:vAlign w:val="bottom"/>
          </w:tcPr>
          <w:p>
            <w:pPr>
              <w:spacing w:after="0"/>
              <w:rPr>
                <w:sz w:val="16"/>
                <w:szCs w:val="16"/>
                <w:color w:val="auto"/>
              </w:rPr>
            </w:pPr>
          </w:p>
        </w:tc>
        <w:tc>
          <w:tcPr>
            <w:tcW w:w="880" w:type="dxa"/>
            <w:vAlign w:val="bottom"/>
            <w:tcBorders>
              <w:top w:val="single" w:sz="8" w:color="auto"/>
            </w:tcBorders>
          </w:tcPr>
          <w:p>
            <w:pPr>
              <w:jc w:val="right"/>
              <w:ind w:right="104"/>
              <w:spacing w:after="0" w:line="191" w:lineRule="exact"/>
              <w:rPr>
                <w:sz w:val="20"/>
                <w:szCs w:val="20"/>
                <w:color w:val="auto"/>
              </w:rPr>
            </w:pPr>
            <w:r>
              <w:rPr>
                <w:rFonts w:ascii="Times New Roman" w:cs="Times New Roman" w:eastAsia="Times New Roman" w:hAnsi="Times New Roman"/>
                <w:sz w:val="18"/>
                <w:szCs w:val="18"/>
                <w:color w:val="auto"/>
                <w:w w:val="96"/>
              </w:rPr>
              <w:t>No Effect</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all nominees</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entitled to vote</w:t>
            </w:r>
          </w:p>
        </w:tc>
        <w:tc>
          <w:tcPr>
            <w:tcW w:w="2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Majority of the votes properly</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AGAINST or</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No Effect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234"/>
        </w:trPr>
        <w:tc>
          <w:tcPr>
            <w:tcW w:w="2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cast</w:t>
            </w: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ABSTAIN</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2" w:lineRule="exact"/>
        <w:rPr>
          <w:sz w:val="20"/>
          <w:szCs w:val="20"/>
          <w:color w:val="auto"/>
        </w:rPr>
      </w:pPr>
    </w:p>
    <w:p>
      <w:pPr>
        <w:sectPr>
          <w:pgSz w:w="11900" w:h="16838" w:orient="portrait"/>
          <w:cols w:equalWidth="0" w:num="2">
            <w:col w:w="2160" w:space="260"/>
            <w:col w:w="87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4"/>
        </w:trPr>
        <w:tc>
          <w:tcPr>
            <w:tcW w:w="1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Proposal 3: Advisory</w:t>
            </w:r>
          </w:p>
        </w:tc>
        <w:tc>
          <w:tcPr>
            <w:tcW w:w="274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Majority of the votes properly</w:t>
            </w:r>
          </w:p>
        </w:tc>
        <w:tc>
          <w:tcPr>
            <w:tcW w:w="22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FOR, AGAINST or</w:t>
            </w:r>
          </w:p>
        </w:tc>
        <w:tc>
          <w:tcPr>
            <w:tcW w:w="1520" w:type="dxa"/>
            <w:vAlign w:val="bottom"/>
          </w:tcPr>
          <w:p>
            <w:pPr>
              <w:ind w:left="620"/>
              <w:spacing w:after="0" w:line="194" w:lineRule="exact"/>
              <w:rPr>
                <w:sz w:val="20"/>
                <w:szCs w:val="20"/>
                <w:color w:val="auto"/>
              </w:rPr>
            </w:pPr>
            <w:r>
              <w:rPr>
                <w:rFonts w:ascii="Times New Roman" w:cs="Times New Roman" w:eastAsia="Times New Roman" w:hAnsi="Times New Roman"/>
                <w:sz w:val="18"/>
                <w:szCs w:val="18"/>
                <w:color w:val="auto"/>
              </w:rPr>
              <w:t>No Effect</w:t>
            </w:r>
          </w:p>
        </w:tc>
        <w:tc>
          <w:tcPr>
            <w:tcW w:w="15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No Effect   FOR</w:t>
            </w:r>
          </w:p>
        </w:tc>
      </w:tr>
      <w:tr>
        <w:trPr>
          <w:trHeight w:val="20"/>
        </w:trPr>
        <w:tc>
          <w:tcPr>
            <w:tcW w:w="7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of the</w:t>
            </w:r>
          </w:p>
        </w:tc>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cast</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ABSTAIN</w:t>
            </w: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of the</w:t>
            </w:r>
          </w:p>
        </w:tc>
        <w:tc>
          <w:tcPr>
            <w:tcW w:w="2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Named</w:t>
            </w:r>
          </w:p>
        </w:tc>
        <w:tc>
          <w:tcPr>
            <w:tcW w:w="27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2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Representatives of Broadridge will tabulate the votes and act as inspectors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at the Annual Meeting are present in person or represented by proxy. On the Record Date, there were 18,848,500 shares of Common Stock, outstanding and entitled to vote.</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Annual Meeting or the holders of a majority of the voting power of the shares present at the Annual Meeting or represented by proxy and entitled to vote may adjourn the Annual Meeting to another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June 2024 merger affect the disclosures in this proxy statement?</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June 20, 2024, Tectonic (formerly AVROBIO, Inc., “AVROBIO”) completed its business combination in accordance with the terms of the Agreement and Plan of Merger and Reorganization, dated as of January 30,</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2024 (the “Merger Agreement”),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As a result of the Merger, (i) Legacy Tectonic changed its name from “Tectonic Therapeutic, Inc.” to “Tectonic Operating Company, Inc.,” and (ii) AVROBIO changed its name from “AVROBIO, Inc.” to “Tectonic Therapeutic, Inc.” Following the completion of the Merger, the business conducted by the Company became primarily the business conducted by Legacy Tectonic.</w:t>
      </w:r>
    </w:p>
    <w:p>
      <w:pPr>
        <w:spacing w:after="0" w:line="187"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Also on June 20, 2024, in connection with and prior to the completion of the Merger, AVROBIO effected a 1-for-10 reverse stock split of its common stock (the “Reverse Stock Split”). All references to common stock and per share amounts in this proxy statement have been retroactively adjusted to reflect, where applicable, the Reverse Stock Split.</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82"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8"/>
          <w:szCs w:val="18"/>
          <w:color w:val="auto"/>
        </w:rPr>
        <w:t>Under our Fourth Amended and Restated Certificate of Incorporation (as amended, the “Certificate of Incorporation”) and Amended and Restated Bylaws (the “Bylaws”), the Board is divided into three classes, with only one class of directors being elected in each year and each class, Class I, Class II and Class III, serving a three-year term. Each Class I director has a term that expires at the Company’s 2028 annual meeting of stockholders, each Class II director has a term that expires at this Annual Meeting and each Class III director has a term that expires at the Company’s 2027 annual meeting of stockholders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in each case until their respective successors are duly elected and qualified, or until their earlier death, resignation, or removal.</w:t>
      </w:r>
    </w:p>
    <w:p>
      <w:pPr>
        <w:spacing w:after="0" w:line="20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are currently seven members of the Board. Effective as of Terrance McGuire’s resignation immediately prior to the Annual Meeting and upon Jessica Chutter’s appointment as of the date of the Annual Meeting, there will be seven members of the Board. Upon the recommendation of the Nominating and Corporate Governance Committee, the Board has considered and nominated the two incumbent directors listed below, all of whom have previously been elected by our stockholders, for election to the Board at the Annual Meeting.</w:t>
      </w:r>
    </w:p>
    <w:p>
      <w:pPr>
        <w:spacing w:after="0" w:line="18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w:t>
      </w:r>
    </w:p>
    <w:p>
      <w:pPr>
        <w:spacing w:after="0" w:line="3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the Class II director nominees.</w:t>
      </w:r>
    </w:p>
    <w:p>
      <w:pPr>
        <w:spacing w:after="0" w:line="1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biographies of each of our nominees for election to the Board as Class I directors, and all other directors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Nominees for Election at the Annual Meeting</w:t>
      </w:r>
    </w:p>
    <w:p>
      <w:pPr>
        <w:spacing w:after="0" w:line="11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Timothy A. Springer, Ph.D.</w:t>
      </w:r>
      <w:r>
        <w:rPr>
          <w:rFonts w:ascii="Times New Roman" w:cs="Times New Roman" w:eastAsia="Times New Roman" w:hAnsi="Times New Roman"/>
          <w:sz w:val="17"/>
          <w:szCs w:val="17"/>
          <w:color w:val="auto"/>
        </w:rPr>
        <w:t>, age 78, has served as a member of our Board since the completion of the Merger. He co-founded Legacy Tectonic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2019 and previously served as a scientific advisor to and director of Legacy Tectonic since June 2019, including as Chair from June 2019 to August 2020. Since 1989, he has served as the Latham Family Professor at Harvard Medical School. He has served as Senior Investigator at Boston Children’s Hospital since 2012 and as Professor of Biological Chemistry and Molecular Pharmacology at Harvard Medical School and Professor of Medicine at Boston Children’s Hospital since 2011. He founded Morphic Therapeutic and served as a scientific advisor and board member from June 2015 to August 2024 (when it was acquired by Eli Lilly). He has served as a scientific advisor to Selecta Biosciences Inc. (now Cartesian Therapeutic) since December 2008 and as a board member since June 2016, and is also a Founder and Board Member of Seismic Therapeutic. He is a member of the National Academy of Sciences and has received numerous honors. He earned a B.A. in Biochemistry from the University of California, Berkeley and a Ph.D. in Biochemistry and Molecular Biology from Harvard University. We believe that Dr. Springer is qualified to serve on our Board because of his extensive knowledge of therapeutically important cell surface molecules and his investment, business and board experience with biopharmaceutical companies.</w:t>
      </w:r>
    </w:p>
    <w:p>
      <w:pPr>
        <w:spacing w:after="0" w:line="17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Stefan Vitorovic, M.S., M.B.A.</w:t>
      </w:r>
      <w:r>
        <w:rPr>
          <w:rFonts w:ascii="Times New Roman" w:cs="Times New Roman" w:eastAsia="Times New Roman" w:hAnsi="Times New Roman"/>
          <w:sz w:val="18"/>
          <w:szCs w:val="18"/>
          <w:color w:val="auto"/>
        </w:rPr>
        <w:t>, age 41, has served as a member of our Board since the completion of the Merger and previously served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Legacy Tectonic board since August 2021. He is a co-founder and Managing Director of Juvia Group (since January 2025) and was co-founder and Managing Director of Vida Ventures (January 2017 – December 2024). Prior roles include Third Rock Ventures (July 2014 – January 2017), where he was part of the founding team of Decibel Therapeutics (acquired by Regeneron Pharmaceuticals), TPG Capital (August 2012 – June 2014), and Credit Suisse healthcare investment banking (2004 – 2008). He previously served on the board of directors of Vigil Neuroscience, Inc. and previously served as a board director or observer for several other life sciences companies. He received a B.S. with Honors in Biological Sciences and an M.S. in Biology from Stanford University and an M.B.A. from Harvard Business School. We believe Mr. Vitorovic is qualified to serve on our Board because of his deep expertise in life sciences research and investing, as well as his extensive experience in new company formation and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and Nominee Continuing in Office Until Our 2027 Annual Meeting</w:t>
      </w:r>
    </w:p>
    <w:p>
      <w:pPr>
        <w:spacing w:after="0" w:line="119"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Phillip B. Donenberg</w:t>
      </w:r>
      <w:r>
        <w:rPr>
          <w:rFonts w:ascii="Times New Roman" w:cs="Times New Roman" w:eastAsia="Times New Roman" w:hAnsi="Times New Roman"/>
          <w:sz w:val="17"/>
          <w:szCs w:val="17"/>
          <w:color w:val="auto"/>
        </w:rPr>
        <w:t>, age 65, has served as a member of our Board and Audit Committee Chairman since the completion of the Merger.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Merger, he served on Legacy Tectonic’s board of directors and as audit committee chairman since June 2018. He has served on the board of directors and as chairman of the audit committee of Taysha Gene Therapies since August 2020, and on the board of directors of Sensei Biotherapeutics since February 2026. He served as Senior Vice President and Chief Financial Officer of Jaguar Gene Therapy (February 2020 – March 2023), previously served as Chief Financial Officer and Senior Vice President of Assertio Therapeutics (July 2018 – November 2018), and as Senior Vice President and Chief Financial Officer of AveXis (August 2017 – June 2018) and Vice President, Corporate Controller (2016 – 2017). He earned a B.S. in</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accountancy from the University of Illinois, Champaign-Urbana and is a Certified Public Accountant. We believe that Mr. Donenberg is qualified to serve as a director of our Board based on his financial expertise and his experience as an audit chair, director and executive of companies in the biotechnology and pharmaceutical industries.</w:t>
      </w:r>
    </w:p>
    <w:p>
      <w:pPr>
        <w:spacing w:after="0" w:line="17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François Nader, M.D.</w:t>
      </w:r>
      <w:r>
        <w:rPr>
          <w:rFonts w:ascii="Times New Roman" w:cs="Times New Roman" w:eastAsia="Times New Roman" w:hAnsi="Times New Roman"/>
          <w:sz w:val="18"/>
          <w:szCs w:val="18"/>
          <w:color w:val="auto"/>
        </w:rPr>
        <w:t>, age 69, has served as a member of our Board since April 2026. Dr. Nader is a seasoned life sciences executive and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 with more than three decades of experience in biotechnology and pharmaceuticals. He currently serves as an Independent Director of Moderna (since December 2019), where he chairs the Talent &amp; Compensation Committee and the Nominating &amp; Governance Committee, and is also Chair of GEn1E Lifesciences. Dr. Nader has served as Chairman, Executive Chairman, or Independent Director of numerous public and private biotechnology companies that have completed significant strategic transactions, including Acceleron Pharma (acquired by Merck), Alexion Pharmaceuticals (acquired by AstraZeneca), Prevail Therapeutics (acquired by Eli Lilly), Clementia Pharmaceuticals (acquired by Ipsen), Advanced Accelerator Applications (acquired by Novartis), Baxalta, Inc. (acquired by Shire), NPS Pharmaceuticals (acquired by Shire), and Noven Pharmaceuticals (acquired by Hisamitsu). He also served as Chairman of BenevolentAI (UK), Chairman of Talaris Therapeutics (merged with Tourmaline Bio), and Co-Founder and Executive Chairman of Neurvati Neurosciences, a Blackstone company. Previously, Dr. Nader served as President and Chief Executive Officer of NPS Pharmaceuticals, where he led the company’s transformation into a global leader in rare diseases, and earlier held senior leadership roles spanning medical, regulatory, and commercial functions at Aventis and its predecessor companies. Dr. Nader earned his French Doctorate in Medicine from St. Joseph University in Lebanon and a Physician Executive MBA from the University of Tennessee. We believe that Dr. Nader is qualified to serve as a director of our Board based on his financial expertise and his experience as chairman, director and executive of companies in the biotechnology and pharmaceutical industries.</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Jessica Chutter</w:t>
      </w:r>
      <w:r>
        <w:rPr>
          <w:rFonts w:ascii="Times New Roman" w:cs="Times New Roman" w:eastAsia="Times New Roman" w:hAnsi="Times New Roman"/>
          <w:sz w:val="18"/>
          <w:szCs w:val="18"/>
          <w:color w:val="auto"/>
        </w:rPr>
        <w:t>, age 65, has been appointed to serve as a member of our Board effective as of the Annual Meeting. Ms. Chutter has over 40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healthcare investment banking, all at Morgan Stanley &amp; Co. LLC and its affiliates (“Morgan Stanley”), a leading global financial services firm. She was a Managing Director from 1998 to February 2026 and most recently served as Vice Chair of Healthcare Investment Banking from 2020 to February 2026 and Chair of Biotechnology Investment Banking from May 2010 to February 2026. From 1998 to May 2010, she was co-head of Biotechnology Investment Banking and from 1982 – 1984 and 1986 – 1997 served in various positions in healthcare investment banking. In her role, she helped build the biotechnology franchise at Morgan Stanley and advised biotechnology companies and pharmaceutical companies on strategic and capital markets considerations, including mergers and acquisitions, initial public offerings, and common stock and convertible financings and valuation analyses. She is a member of the Board of Trustees of The Hospital for Sick Children and a director of Toronto Innovation Acceleration Partners, a not-for-profit and commercializations hub that translates health science research from member institutions. Ms. Chutter was appointed to the board of PTC Therapeutics in March 2026. She earned an MBA from Harvard Business School and Bachelor of Arts in Commerce and Honors Economics from McGill University. We believe Ms. Chutter is qualified to serve as a director of our Board because of her extensive experience in and knowledge of the biotechnology industry and her leadership experience.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Continuing in Office Until Our 2028 Annual Meeting</w:t>
      </w:r>
    </w:p>
    <w:p>
      <w:pPr>
        <w:spacing w:after="0" w:line="11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Alise Reicin, M.D.</w:t>
      </w:r>
      <w:r>
        <w:rPr>
          <w:rFonts w:ascii="Times New Roman" w:cs="Times New Roman" w:eastAsia="Times New Roman" w:hAnsi="Times New Roman"/>
          <w:sz w:val="17"/>
          <w:szCs w:val="17"/>
          <w:color w:val="auto"/>
        </w:rPr>
        <w:t>, age 65, has served as our President and Chief Executive Officer and as a member of our Board since August 2020. Prior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joining Tectonic, she served as President, Global Clinical Development at Celgene Corporation (November 2018 – December 2019) and was a member of its Executive Committee. Before that, she served as Head of Global Clinical Development at EMD Serono (May 2015 – October 2018) and as Vice President, Program and Pipeline Leadership, Oncology at Merck. Before Merck, she was a faculty member at Columbia Medical School and a physician and researcher at Columbia Presbyterian Hospital. At Merck, she led the team that brought Keytruda from Phase 1 through its initial approvals, and over her career played a leadership role in the development and approval of over 10 novel medicines. She previously served on the board of Homology Medicines and currently serves on the boards of Sana Biotechnology and Immatics. She earned a B.A. in Biochemistry from Barnard College of</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Columbia University and an M.D. from Harvard University. We believe that Dr. Reicin is qualified to serve on our Board due to her clinical expertise and leadership roles in the biotechnology and biopharmaceuticals industry.</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Praveen Tipirneni, M.D., M.B.A.</w:t>
      </w:r>
      <w:r>
        <w:rPr>
          <w:rFonts w:ascii="Times New Roman" w:cs="Times New Roman" w:eastAsia="Times New Roman" w:hAnsi="Times New Roman"/>
          <w:sz w:val="18"/>
          <w:szCs w:val="18"/>
          <w:color w:val="auto"/>
        </w:rPr>
        <w:t>, age 56, has served as a member of our Board since completion of the Merger and previously served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Legacy Tectonic board since February 2020. Dr. Tipirneni has served as the Chief Executive Officer of Caldera Therapeutics since April 2025 and currently serves on the board of directors of TheRas, Inc. d/b/a BridgeBio Oncology Therapeutics, and previously served as Chief Executive Officer and a board member of Morphic Holding until its acquisition by Eli Lilly in August 2024. He received a B.A. in Mechanical Engineering from the Massachusetts Institute of Technology, an M.D. from McGill University, and an M.B.A. from the Wharton School of Business of the University of Pennsylvania. We believe Dr. Tipirneni is qualified to serve on our Board because of his experience with biotechnology companies, including working with and serving in various executive positions in life sciences companies.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 and Qualifications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w:t>
      </w:r>
    </w:p>
    <w:p>
      <w:pPr>
        <w:spacing w:after="0" w:line="27" w:lineRule="exact"/>
        <w:rPr>
          <w:sz w:val="20"/>
          <w:szCs w:val="20"/>
          <w:color w:val="auto"/>
        </w:rPr>
      </w:pPr>
    </w:p>
    <w:p>
      <w:pPr>
        <w:ind w:left="120" w:hanging="4"/>
        <w:spacing w:after="0" w:line="251"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possessing relevant expertise upon which to be able to offer advice and guidance to management; (ii) having sufficient time to devote to the affairs of the Company; (iii) demonstrating excellence in his or her field; (iv) having the ability to exercise sound business judgment; (v) experience as a board member or executive officer of another publicly held company; (vi) having a diverse personal background, perspective and experience; and (vii) having the commitment to rigorously represent the long-term interests of the Company’s stockholders. The Board reviews candidates for director nomination in the context of the current composition of the Board, the operating requirements of the Company and the long-term interests of the Company’s stockholders. In conducting this assessment, the Board considers diversity, age, skills and such other factors as it deems appropriate given the current needs of the Board and the Company to maintain a balance of knowledge, experience and capability. In the case of incumbent directors whose terms of office are set to expire, the Board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also determines whether the nominee must be independent for purposes of satisfying applicable listing requirements.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will evaluate director candidates recommended by stockholders in the same manner in which the Nominating and Corporate Governance Committee evaluates any other director candidate.</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Any recommendation submitted to the Company should be in writing and should include any supporting material the stockholder considers appropriate in support of that recommendation but must include information that would be required under the “advance notice” provisions of the Company’s bylaws and rules of the SEC to be included in a proxy statement soliciting proxies for the election of such candidate. Stockholders wishing to propose a candidate for consideration may do so by submitting the above information to the attention of the Secretary of the Company and such director nominations will be presented to the Board for its consideration. Stockholders must also satisfy the notification, timeliness, consent, and information requirements set forth in our bylaws. These requirements are also described under the section entitled “</w:t>
      </w:r>
      <w:r>
        <w:rPr>
          <w:rFonts w:ascii="Times New Roman" w:cs="Times New Roman" w:eastAsia="Times New Roman" w:hAnsi="Times New Roman"/>
          <w:sz w:val="18"/>
          <w:szCs w:val="18"/>
          <w:i w:val="1"/>
          <w:iCs w:val="1"/>
          <w:color w:val="auto"/>
        </w:rPr>
        <w:t>Stockholder Proposals for the 2027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Annual Meeting of Stockholders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121"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Our Corporate Governance Guidelines provide that our Board will consist of a majority of independent directors in accordance with applicable Nasdaq listing standards. Our Corporate Governance Guidelines define an “independent” director consistent with the Nasdaq definition of independence. Under our Corporate Governance Guidelines and Nasdaq listing standards, a director is not independent unless the Board affirmatively</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determines that such director does not have a direct or indirect material relationship with the Company or any of its subsidiaries. Members of the Audit Committee and Compensation Committee are subject to the additional independence requirements of applicable SEC rules and Nasdaq listing standards.</w:t>
      </w:r>
    </w:p>
    <w:p>
      <w:pPr>
        <w:spacing w:after="0" w:line="14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Board has evaluated, with respect to each of our directors and director nominee, whether any relationships exist, which, in the opinion of our Board, would interfere with the exercise of independent judgment in carrying out the responsibilities of a director. Consistent with these considerations, our Board affirmatively determined that Phillip B. Donenberg, Terrance McGuire, Timothy A. Springer, Ph.D., Praveen Tipirneni, M.D., Stefan Vitorovic, François Nader and Jessica Chutter are “independent” in accordance with Nasdaq listing standards and SEC rules applicable to boards of directors in general. In addition, our Board has affirmatively determined that Phillip B. Donenberg, Stefan Vitorovic and Jessica Chutter are “independent” in accordance with the Nasdaq listing standards and SEC rules applicable to audit committee members in particular, and that Praveen Tipirneni, M.D. and Stefan Vitorovic are “independent” in accordance with the Nasdaq listing standards and SEC rules applicable to compensation committee members in particular. As previously disclosed, Terrance McGuire will resign from the Board effective as of the Annual Meeting.</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assessing directors’ independence, our Board also took into account certain transactions, relationships, and arrangements involving some of the directors and concluded that such transactions, relationships, and arrangements did not impair the independence of the director. Dr. Reicin was determined as not being independent by virtue of her executive leadership role with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maintains the flexibility to determine whether the roles of Chair and CEO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At this time, effective April 1, 2026, our Board is led by François Nader, an independent, non-executive Chair. Our Board believes that it is in the best interest of the Company and its stockholders for François Nader to continue to serve as Chair of the Board. François Nader possesses significant knowledge and experience in our industry and a deep understanding of our strategic objectives, all of which will continue to benefit the Company during the year ahead. The Company believes that separation of the positions of the Chair and CEO reinforces the independence of the Board in its oversight of the business and affairs of the Company. In addition, the Company believes that having an independent Chair creates an environment that is more conducive to the Board’s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François Nader’s responsibility is to ensure that our Board functions properly and to work with our President and CEO to set the Board’s agenda. Accordingly, he has substantial ability to shape the work of the Board. We expect him to facilitate communications among our directors and between the Board and senior management. While François Nader provides independent leadership, he also works closely with our CEO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We believe that the leadership structure of our Board is appropriate and enhances its ability to effectively carry out its roles and responsibilities on behalf of our stockholders.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While senior management has primary responsibility for managing risk, the Board has responsibility for risk oversight with specific risk areas delegated to relevant Board committees who report on their deliberations to the full Board. The specific risk areas of focus for the Board and each of its committees are summarized below.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0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Full Board</w:t>
            </w:r>
          </w:p>
        </w:tc>
        <w:tc>
          <w:tcPr>
            <w:tcW w:w="1160" w:type="dxa"/>
            <w:vAlign w:val="bottom"/>
          </w:tcPr>
          <w:p>
            <w:pPr>
              <w:spacing w:after="0"/>
              <w:rPr>
                <w:sz w:val="24"/>
                <w:szCs w:val="2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Oversee the Company’s risk governance framework, including an enterprise-wide culture that supports</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appropriate risk awareness and the identification, escalation, and appropriate management of risk</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Integrity, ethics, and compliance with its Business Code of Ethics and Conduct</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General strategic and commercial risks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Strategic transactions, including execution and integration</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Legal risks such as those arising from litigation, environmental, and intellectual property matters</w:t>
            </w:r>
          </w:p>
        </w:tc>
        <w:tc>
          <w:tcPr>
            <w:tcW w:w="0" w:type="dxa"/>
            <w:vAlign w:val="bottom"/>
          </w:tcPr>
          <w:p>
            <w:pPr>
              <w:spacing w:after="0"/>
              <w:rPr>
                <w:sz w:val="1"/>
                <w:szCs w:val="1"/>
                <w:color w:val="auto"/>
              </w:rPr>
            </w:pPr>
          </w:p>
        </w:tc>
      </w:tr>
      <w:tr>
        <w:trPr>
          <w:trHeight w:val="324"/>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Oversee and coordinate with the Company’s internal and external auditors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Accounting, controls and financial disclosure</w:t>
            </w:r>
          </w:p>
        </w:tc>
        <w:tc>
          <w:tcPr>
            <w:tcW w:w="0" w:type="dxa"/>
            <w:vAlign w:val="bottom"/>
          </w:tcPr>
          <w:p>
            <w:pPr>
              <w:spacing w:after="0"/>
              <w:rPr>
                <w:sz w:val="1"/>
                <w:szCs w:val="1"/>
                <w:color w:val="auto"/>
              </w:rPr>
            </w:pPr>
          </w:p>
        </w:tc>
      </w:tr>
      <w:tr>
        <w:trPr>
          <w:trHeight w:val="319"/>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Cybersecurity risk, including our information security framework, threat assessment, response readiness and</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training efforts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Tax and liquidity management</w:t>
            </w:r>
          </w:p>
        </w:tc>
        <w:tc>
          <w:tcPr>
            <w:tcW w:w="0" w:type="dxa"/>
            <w:vAlign w:val="bottom"/>
          </w:tcPr>
          <w:p>
            <w:pPr>
              <w:spacing w:after="0"/>
              <w:rPr>
                <w:sz w:val="1"/>
                <w:szCs w:val="1"/>
                <w:color w:val="auto"/>
              </w:rPr>
            </w:pPr>
          </w:p>
        </w:tc>
      </w:tr>
      <w:tr>
        <w:trPr>
          <w:trHeight w:val="324"/>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structure and programs</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Recruitment and retention of talent</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Workplace culture</w:t>
            </w:r>
          </w:p>
        </w:tc>
        <w:tc>
          <w:tcPr>
            <w:tcW w:w="0" w:type="dxa"/>
            <w:vAlign w:val="bottom"/>
          </w:tcPr>
          <w:p>
            <w:pPr>
              <w:spacing w:after="0"/>
              <w:rPr>
                <w:sz w:val="1"/>
                <w:szCs w:val="1"/>
                <w:color w:val="auto"/>
              </w:rPr>
            </w:pPr>
          </w:p>
        </w:tc>
      </w:tr>
      <w:tr>
        <w:trPr>
          <w:trHeight w:val="338"/>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Workplace health, safety and well-being</w:t>
            </w:r>
          </w:p>
        </w:tc>
        <w:tc>
          <w:tcPr>
            <w:tcW w:w="0" w:type="dxa"/>
            <w:vAlign w:val="bottom"/>
          </w:tcPr>
          <w:p>
            <w:pPr>
              <w:spacing w:after="0"/>
              <w:rPr>
                <w:sz w:val="1"/>
                <w:szCs w:val="1"/>
                <w:color w:val="auto"/>
              </w:rPr>
            </w:pPr>
          </w:p>
        </w:tc>
      </w:tr>
      <w:tr>
        <w:trPr>
          <w:trHeight w:val="302"/>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w:t>
            </w:r>
          </w:p>
        </w:tc>
        <w:tc>
          <w:tcPr>
            <w:tcW w:w="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Governance structures and processes</w:t>
            </w:r>
          </w:p>
        </w:tc>
        <w:tc>
          <w:tcPr>
            <w:tcW w:w="0" w:type="dxa"/>
            <w:vAlign w:val="bottom"/>
          </w:tcPr>
          <w:p>
            <w:pPr>
              <w:spacing w:after="0"/>
              <w:rPr>
                <w:sz w:val="1"/>
                <w:szCs w:val="1"/>
                <w:color w:val="auto"/>
              </w:rPr>
            </w:pPr>
          </w:p>
        </w:tc>
      </w:tr>
      <w:tr>
        <w:trPr>
          <w:trHeight w:val="238"/>
        </w:trPr>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Governance Committee</w:t>
            </w:r>
          </w:p>
        </w:tc>
        <w:tc>
          <w:tcPr>
            <w:tcW w:w="84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   Board organization, independence and structure</w:t>
            </w: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860"/>
        <w:spacing w:after="0"/>
        <w:tabs>
          <w:tab w:leader="none" w:pos="3120" w:val="left"/>
        </w:tabs>
        <w:rPr>
          <w:sz w:val="20"/>
          <w:szCs w:val="20"/>
          <w:color w:val="auto"/>
        </w:rPr>
      </w:pPr>
      <w:r>
        <w:rPr>
          <w:rFonts w:ascii="Times New Roman" w:cs="Times New Roman" w:eastAsia="Times New Roman" w:hAnsi="Times New Roman"/>
          <w:sz w:val="18"/>
          <w:szCs w:val="18"/>
          <w:color w:val="auto"/>
        </w:rPr>
        <w:t>•</w:t>
        <w:tab/>
        <w:t>Board and executive officer succession and effectiveness</w:t>
      </w:r>
    </w:p>
    <w:p>
      <w:pPr>
        <w:spacing w:after="0" w:line="131" w:lineRule="exact"/>
        <w:rPr>
          <w:sz w:val="20"/>
          <w:szCs w:val="20"/>
          <w:color w:val="auto"/>
        </w:rPr>
      </w:pPr>
    </w:p>
    <w:p>
      <w:pPr>
        <w:ind w:left="2860"/>
        <w:spacing w:after="0"/>
        <w:tabs>
          <w:tab w:leader="none" w:pos="3120" w:val="left"/>
        </w:tabs>
        <w:rPr>
          <w:sz w:val="20"/>
          <w:szCs w:val="20"/>
          <w:color w:val="auto"/>
        </w:rPr>
      </w:pPr>
      <w:r>
        <w:rPr>
          <w:rFonts w:ascii="Times New Roman" w:cs="Times New Roman" w:eastAsia="Times New Roman" w:hAnsi="Times New Roman"/>
          <w:sz w:val="18"/>
          <w:szCs w:val="18"/>
          <w:color w:val="auto"/>
        </w:rPr>
        <w:t>•</w:t>
        <w:tab/>
        <w:t>Oversee the Company’s ESG initiatives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all directors are expected to prepare for, attend and participate in all meetings of the Board and committees on which they serve. The Board met fourteen times in 2025, the Audit Committee held four meetings, the Compensation Committee held five meetings, and the Nominating and Corporate Governance Committee held two meetings. No member of the Board attended fewer than 75% of the aggregate of the total number of meetings of the Board (held during the period for which he or she was a director) and the total number of meetings held by all committees of the Board on which such director served (held during the period that such director served).</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Board has established three standing committees—the Audit Committee, the Compensation Committee, and the Nominating and Corporate Governance Committee—each of which operates under a charter that has been approved by our Board. Current copies of the Audit Committee, Compensation Committee, and Nominating and Corporate Governance Committee charters are posted on the “Corporate Governance” section of our website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73"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located at </w:t>
      </w:r>
      <w:r>
        <w:rPr>
          <w:rFonts w:ascii="Times New Roman" w:cs="Times New Roman" w:eastAsia="Times New Roman" w:hAnsi="Times New Roman"/>
          <w:sz w:val="18"/>
          <w:szCs w:val="18"/>
          <w:u w:val="single" w:color="auto"/>
          <w:color w:val="auto"/>
        </w:rPr>
        <w:t>https://investors.tectonictx.com/</w:t>
      </w:r>
      <w:r>
        <w:rPr>
          <w:rFonts w:ascii="Times New Roman" w:cs="Times New Roman" w:eastAsia="Times New Roman" w:hAnsi="Times New Roman"/>
          <w:sz w:val="18"/>
          <w:szCs w:val="18"/>
          <w:color w:val="auto"/>
        </w:rPr>
        <w:t>. The following tables summarize the primary responsibilities and committee members effective as of the date of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ectPr>
          <w:pgSz w:w="11900" w:h="16838" w:orient="portrait"/>
          <w:cols w:equalWidth="0" w:num="1">
            <w:col w:w="11080"/>
          </w:cols>
          <w:pgMar w:left="320" w:top="482" w:right="499" w:bottom="1440" w:gutter="0" w:footer="0" w:header="0"/>
        </w:sectPr>
      </w:pPr>
    </w:p>
    <w:p>
      <w:pPr>
        <w:spacing w:after="0" w:line="250"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Primary Responsibilities</w:t>
      </w:r>
    </w:p>
    <w:p>
      <w:pPr>
        <w:spacing w:after="0" w:line="27" w:lineRule="exact"/>
        <w:rPr>
          <w:sz w:val="20"/>
          <w:szCs w:val="20"/>
          <w:color w:val="auto"/>
        </w:rPr>
      </w:pPr>
    </w:p>
    <w:p>
      <w:pPr>
        <w:ind w:left="120" w:firstLine="360"/>
        <w:spacing w:after="0" w:line="258"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Audit Committee, including:</w:t>
      </w:r>
    </w:p>
    <w:p>
      <w:pPr>
        <w:spacing w:after="0" w:line="88" w:lineRule="exact"/>
        <w:rPr>
          <w:sz w:val="20"/>
          <w:szCs w:val="20"/>
          <w:color w:val="auto"/>
        </w:rPr>
      </w:pPr>
    </w:p>
    <w:p>
      <w:pPr>
        <w:ind w:left="840" w:right="180" w:hanging="274"/>
        <w:spacing w:after="0" w:line="26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systems of internal control over financial reporting and audits of financial statements, as well as the quality and integrity of our financial statements and reports;</w:t>
      </w:r>
    </w:p>
    <w:p>
      <w:pPr>
        <w:spacing w:after="0" w:line="81" w:lineRule="exact"/>
        <w:rPr>
          <w:rFonts w:ascii="Times New Roman" w:cs="Times New Roman" w:eastAsia="Times New Roman" w:hAnsi="Times New Roman"/>
          <w:sz w:val="18"/>
          <w:szCs w:val="18"/>
          <w:color w:val="auto"/>
        </w:rPr>
      </w:pPr>
    </w:p>
    <w:p>
      <w:pPr>
        <w:ind w:left="840" w:right="20" w:hanging="274"/>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qualifications, performance, and independence of the independent registered public accounting firm;</w:t>
      </w:r>
    </w:p>
    <w:p>
      <w:pPr>
        <w:spacing w:after="0" w:line="67" w:lineRule="exact"/>
        <w:rPr>
          <w:rFonts w:ascii="Times New Roman" w:cs="Times New Roman" w:eastAsia="Times New Roman" w:hAnsi="Times New Roman"/>
          <w:sz w:val="18"/>
          <w:szCs w:val="18"/>
          <w:color w:val="auto"/>
        </w:rPr>
      </w:pPr>
    </w:p>
    <w:p>
      <w:pPr>
        <w:ind w:left="840" w:right="40" w:hanging="274"/>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compliance with legal and regulatory requirements relating to accounting, internal accounting controls and auditing matters; and</w:t>
      </w:r>
    </w:p>
    <w:p>
      <w:pPr>
        <w:spacing w:after="0" w:line="67" w:lineRule="exact"/>
        <w:rPr>
          <w:rFonts w:ascii="Times New Roman" w:cs="Times New Roman" w:eastAsia="Times New Roman" w:hAnsi="Times New Roman"/>
          <w:sz w:val="18"/>
          <w:szCs w:val="18"/>
          <w:color w:val="auto"/>
        </w:rPr>
      </w:pPr>
    </w:p>
    <w:p>
      <w:pPr>
        <w:ind w:left="840" w:right="280" w:hanging="274"/>
        <w:spacing w:after="0" w:line="26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risk management, risk assessment and major risk exposures with respect to financial, accounting, operational, tax, privacy and cybersecurity and information technology risks.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1040"/>
        <w:spacing w:after="0" w:line="273" w:lineRule="auto"/>
        <w:rPr>
          <w:sz w:val="20"/>
          <w:szCs w:val="20"/>
          <w:color w:val="auto"/>
        </w:rPr>
      </w:pPr>
      <w:r>
        <w:rPr>
          <w:rFonts w:ascii="Times New Roman" w:cs="Times New Roman" w:eastAsia="Times New Roman" w:hAnsi="Times New Roman"/>
          <w:sz w:val="18"/>
          <w:szCs w:val="18"/>
          <w:color w:val="auto"/>
        </w:rPr>
        <w:t>Phillip B. Donenberg (Chair) Stefan Vitorovic Jessica Chutter</w:t>
      </w:r>
      <w:r>
        <w:rPr>
          <w:rFonts w:ascii="Times New Roman" w:cs="Times New Roman" w:eastAsia="Times New Roman" w:hAnsi="Times New Roman"/>
          <w:sz w:val="26"/>
          <w:szCs w:val="26"/>
          <w:color w:val="auto"/>
          <w:vertAlign w:val="superscript"/>
        </w:rPr>
        <w:t>(1)</w:t>
      </w:r>
    </w:p>
    <w:p>
      <w:pPr>
        <w:spacing w:after="0" w:line="2485" w:lineRule="exact"/>
        <w:rPr>
          <w:sz w:val="20"/>
          <w:szCs w:val="20"/>
          <w:color w:val="auto"/>
        </w:rPr>
      </w:pPr>
    </w:p>
    <w:p>
      <w:pPr>
        <w:sectPr>
          <w:pgSz w:w="11900" w:h="16838" w:orient="portrait"/>
          <w:cols w:equalWidth="0" w:num="2">
            <w:col w:w="7840" w:space="100"/>
            <w:col w:w="3140"/>
          </w:cols>
          <w:pgMar w:left="320" w:top="482" w:right="499" w:bottom="1440" w:gutter="0" w:footer="0" w:header="0"/>
          <w:type w:val="continuous"/>
        </w:sectPr>
      </w:pP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Expertise and Independence</w:t>
      </w:r>
    </w:p>
    <w:p>
      <w:pPr>
        <w:spacing w:after="0" w:line="135" w:lineRule="exact"/>
        <w:rPr>
          <w:sz w:val="20"/>
          <w:szCs w:val="20"/>
          <w:color w:val="auto"/>
        </w:rPr>
      </w:pPr>
    </w:p>
    <w:p>
      <w:pPr>
        <w:ind w:left="120" w:right="3360" w:firstLine="360"/>
        <w:spacing w:after="0" w:line="258" w:lineRule="auto"/>
        <w:rPr>
          <w:sz w:val="20"/>
          <w:szCs w:val="20"/>
          <w:color w:val="auto"/>
        </w:rPr>
      </w:pPr>
      <w:r>
        <w:rPr>
          <w:rFonts w:ascii="Times New Roman" w:cs="Times New Roman" w:eastAsia="Times New Roman" w:hAnsi="Times New Roman"/>
          <w:sz w:val="18"/>
          <w:szCs w:val="18"/>
          <w:color w:val="auto"/>
        </w:rPr>
        <w:t>All members of the Audit Committee are “independent” in accordance with the Nasdaq listing standards and SEC rules applicable to boards of directors in general and audit committee members in particular. The Board has determined that Phillip B. Donenberg qualifies as an “audit committee financial expert” as defined by the applicable SEC rules and that each member of the Audit Committee is “financially sophisticated.”</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Report of the Audit Committee is set forth beginning on page 23 of this proxy statement.</w:t>
      </w:r>
    </w:p>
    <w:p>
      <w:pPr>
        <w:spacing w:after="0" w:line="27" w:lineRule="exact"/>
        <w:rPr>
          <w:sz w:val="20"/>
          <w:szCs w:val="20"/>
          <w:color w:val="auto"/>
        </w:rPr>
      </w:pPr>
    </w:p>
    <w:p>
      <w:pPr>
        <w:ind w:left="480" w:right="3540" w:hanging="359"/>
        <w:spacing w:after="0" w:line="260" w:lineRule="auto"/>
        <w:rPr>
          <w:sz w:val="20"/>
          <w:szCs w:val="20"/>
          <w:color w:val="auto"/>
        </w:rPr>
      </w:pPr>
      <w:r>
        <w:rPr>
          <w:rFonts w:ascii="Times New Roman" w:cs="Times New Roman" w:eastAsia="Times New Roman" w:hAnsi="Times New Roman"/>
          <w:sz w:val="18"/>
          <w:szCs w:val="18"/>
          <w:color w:val="auto"/>
        </w:rPr>
        <w:t>(1)    Jessica Chutter will be appointed to the Board effective as of the Annual Meeting and serve on the Audit Committee immediately following Terrance McGuire’s resignation.</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50"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u w:val="single" w:color="auto"/>
          <w:color w:val="auto"/>
        </w:rPr>
        <w:t>Primary Responsibilities</w:t>
      </w:r>
    </w:p>
    <w:p>
      <w:pPr>
        <w:spacing w:after="0" w:line="27" w:lineRule="exact"/>
        <w:rPr>
          <w:sz w:val="20"/>
          <w:szCs w:val="20"/>
          <w:color w:val="auto"/>
        </w:rPr>
      </w:pPr>
    </w:p>
    <w:p>
      <w:pPr>
        <w:ind w:left="120" w:right="560"/>
        <w:spacing w:after="0" w:line="258" w:lineRule="auto"/>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Compensation Committee, including:</w:t>
      </w:r>
    </w:p>
    <w:p>
      <w:pPr>
        <w:spacing w:after="0" w:line="88" w:lineRule="exact"/>
        <w:rPr>
          <w:sz w:val="20"/>
          <w:szCs w:val="20"/>
          <w:color w:val="auto"/>
        </w:rPr>
      </w:pPr>
    </w:p>
    <w:p>
      <w:pPr>
        <w:ind w:left="840" w:hanging="274"/>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our overall compensation philosophy in light of our specific business objectives;</w:t>
      </w:r>
    </w:p>
    <w:p>
      <w:pPr>
        <w:spacing w:after="0" w:line="67" w:lineRule="exact"/>
        <w:rPr>
          <w:rFonts w:ascii="Times New Roman" w:cs="Times New Roman" w:eastAsia="Times New Roman" w:hAnsi="Times New Roman"/>
          <w:sz w:val="18"/>
          <w:szCs w:val="18"/>
          <w:color w:val="auto"/>
        </w:rPr>
      </w:pPr>
    </w:p>
    <w:p>
      <w:pPr>
        <w:ind w:left="840" w:right="480" w:hanging="274"/>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or recommending to the full Board the compensation, for our Chief Executive Officer;</w:t>
      </w:r>
    </w:p>
    <w:p>
      <w:pPr>
        <w:spacing w:after="0" w:line="67"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for our other executive officers and directors;</w:t>
      </w:r>
    </w:p>
    <w:p>
      <w:pPr>
        <w:spacing w:after="0" w:line="130"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 plans;</w:t>
      </w:r>
    </w:p>
    <w:p>
      <w:pPr>
        <w:spacing w:after="0" w:line="130"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compensation-related disclosures required by the SEC; and</w:t>
      </w:r>
    </w:p>
    <w:p>
      <w:pPr>
        <w:spacing w:after="0" w:line="130"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and strategies relating to human capital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54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Praveen Tipirneni (Chair)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Stefan Vitorovic</w:t>
      </w:r>
    </w:p>
    <w:p>
      <w:pPr>
        <w:spacing w:after="0" w:line="2625" w:lineRule="exact"/>
        <w:rPr>
          <w:sz w:val="20"/>
          <w:szCs w:val="20"/>
          <w:color w:val="auto"/>
        </w:rPr>
      </w:pPr>
    </w:p>
    <w:p>
      <w:pPr>
        <w:sectPr>
          <w:pgSz w:w="11900" w:h="16838" w:orient="portrait"/>
          <w:cols w:equalWidth="0" w:num="2">
            <w:col w:w="7780" w:space="280"/>
            <w:col w:w="2180"/>
          </w:cols>
          <w:pgMar w:left="320" w:top="482" w:right="1339" w:bottom="1440" w:gutter="0" w:footer="0" w:header="0"/>
        </w:sectPr>
      </w:pP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All members of the Compensation Committee are “independent” in accordance with the Nasdaq listing standards and SEC rules applicable to boards of directors in general and compensation committees in particular. In addition, all members of the Compensation Committee qualify as “non-employee directors” for purposes of Rule 16b-3 under the Exchange Act.</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13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Compensation Committee may form and delegate authority to subcommittees for any purpose that the Committee deems appropriate, including (a) a subcommittee consisting of a single member, and (b) a subcommittee consisting of at least two members, each of whom qualify as “non-employee directors” for purposes of Rule 16b-3 under the Exchange Act.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50"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u w:val="single" w:color="auto"/>
          <w:color w:val="auto"/>
        </w:rPr>
        <w:t>Primary Responsibilities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adopted a committee charter that details the primary responsibilities of the Nominating and</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Corporate Governance Committee, including:</w:t>
      </w:r>
    </w:p>
    <w:p>
      <w:pPr>
        <w:spacing w:after="0" w:line="112" w:lineRule="exact"/>
        <w:rPr>
          <w:sz w:val="20"/>
          <w:szCs w:val="20"/>
          <w:color w:val="auto"/>
        </w:rPr>
      </w:pPr>
    </w:p>
    <w:p>
      <w:pPr>
        <w:ind w:left="840" w:right="320" w:hanging="274"/>
        <w:spacing w:after="0" w:line="258"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(consistent with criteria approved by the Board), reviewing the qualifications of, and considering stockholders’ recommendations for, director candidates and recommending to the Board qualified director nominees for appointment, election or reelection to the Board at each annual stockholders’ meeting and as necessary to fill vacancies and newly created directorships;</w:t>
      </w:r>
    </w:p>
    <w:p>
      <w:pPr>
        <w:spacing w:after="0" w:line="88" w:lineRule="exact"/>
        <w:rPr>
          <w:rFonts w:ascii="Times New Roman" w:cs="Times New Roman" w:eastAsia="Times New Roman" w:hAnsi="Times New Roman"/>
          <w:sz w:val="18"/>
          <w:szCs w:val="18"/>
          <w:color w:val="auto"/>
        </w:rPr>
      </w:pPr>
    </w:p>
    <w:p>
      <w:pPr>
        <w:ind w:left="840" w:right="200" w:hanging="274"/>
        <w:spacing w:after="0" w:line="266"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adoption the corporate governance guidelines applicable to us, periodically reviewing such guidelines, recommending changes to the same from</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19545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8"/>
          <w:szCs w:val="18"/>
          <w:color w:val="auto"/>
        </w:rPr>
        <w:t>Timothy A. Springer (Chair) François Nader</w:t>
      </w:r>
    </w:p>
    <w:p>
      <w:pPr>
        <w:sectPr>
          <w:pgSz w:w="11900" w:h="16838" w:orient="portrait"/>
          <w:cols w:equalWidth="0" w:num="2">
            <w:col w:w="7780" w:space="280"/>
            <w:col w:w="2180"/>
          </w:cols>
          <w:pgMar w:left="320" w:top="482" w:right="1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3220"/>
        <w:spacing w:after="0"/>
        <w:tabs>
          <w:tab w:leader="none" w:pos="8920" w:val="left"/>
        </w:tabs>
        <w:rPr>
          <w:sz w:val="20"/>
          <w:szCs w:val="20"/>
          <w:color w:val="auto"/>
        </w:rPr>
      </w:pPr>
      <w:r>
        <w:rPr>
          <w:rFonts w:ascii="Times New Roman" w:cs="Times New Roman" w:eastAsia="Times New Roman" w:hAnsi="Times New Roman"/>
          <w:sz w:val="14"/>
          <w:szCs w:val="14"/>
          <w:b w:val="1"/>
          <w:bCs w:val="1"/>
          <w:u w:val="single" w:color="auto"/>
          <w:color w:val="auto"/>
        </w:rPr>
        <w:t>Primary Responsibilities</w:t>
      </w:r>
      <w:r>
        <w:rPr>
          <w:sz w:val="20"/>
          <w:szCs w:val="20"/>
          <w:color w:val="auto"/>
        </w:rPr>
        <w:tab/>
      </w:r>
      <w:r>
        <w:rPr>
          <w:rFonts w:ascii="Times New Roman" w:cs="Times New Roman" w:eastAsia="Times New Roman" w:hAnsi="Times New Roman"/>
          <w:sz w:val="14"/>
          <w:szCs w:val="14"/>
          <w:b w:val="1"/>
          <w:bCs w:val="1"/>
          <w:color w:val="auto"/>
        </w:rPr>
        <w:t>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16510</wp:posOffset>
            </wp:positionV>
            <wp:extent cx="1954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as appropriate and overseeing and monitoring compliance with such guidelines;</w:t>
      </w:r>
    </w:p>
    <w:p>
      <w:pPr>
        <w:spacing w:after="0" w:line="111" w:lineRule="exact"/>
        <w:rPr>
          <w:sz w:val="20"/>
          <w:szCs w:val="20"/>
          <w:color w:val="auto"/>
        </w:rPr>
      </w:pPr>
    </w:p>
    <w:p>
      <w:pPr>
        <w:ind w:left="840" w:hanging="27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evaluations of the Board, its committees, and Board members;</w:t>
      </w:r>
    </w:p>
    <w:p>
      <w:pPr>
        <w:spacing w:after="0" w:line="130" w:lineRule="exact"/>
        <w:rPr>
          <w:rFonts w:ascii="Times New Roman" w:cs="Times New Roman" w:eastAsia="Times New Roman" w:hAnsi="Times New Roman"/>
          <w:sz w:val="18"/>
          <w:szCs w:val="18"/>
          <w:color w:val="auto"/>
        </w:rPr>
      </w:pPr>
    </w:p>
    <w:p>
      <w:pPr>
        <w:ind w:left="840" w:right="3800" w:hanging="274"/>
        <w:spacing w:after="0" w:line="312" w:lineRule="auto"/>
        <w:tabs>
          <w:tab w:leader="none" w:pos="8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directors qualified to serve on the various committees of the Board and recommending to the Board qualified nominees for membership on each such committee;</w:t>
      </w:r>
    </w:p>
    <w:p>
      <w:pPr>
        <w:spacing w:after="0" w:line="45" w:lineRule="exact"/>
        <w:rPr>
          <w:rFonts w:ascii="Times New Roman" w:cs="Times New Roman" w:eastAsia="Times New Roman" w:hAnsi="Times New Roman"/>
          <w:sz w:val="17"/>
          <w:szCs w:val="17"/>
          <w:color w:val="auto"/>
        </w:rPr>
      </w:pPr>
    </w:p>
    <w:p>
      <w:pPr>
        <w:ind w:left="840" w:right="3680" w:hanging="274"/>
        <w:spacing w:after="0" w:line="282"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the Board and key leadership roles on the Board and its committees; and</w:t>
      </w:r>
    </w:p>
    <w:p>
      <w:pPr>
        <w:spacing w:after="0" w:line="67" w:lineRule="exact"/>
        <w:rPr>
          <w:rFonts w:ascii="Times New Roman" w:cs="Times New Roman" w:eastAsia="Times New Roman" w:hAnsi="Times New Roman"/>
          <w:sz w:val="18"/>
          <w:szCs w:val="18"/>
          <w:color w:val="auto"/>
        </w:rPr>
      </w:pPr>
    </w:p>
    <w:p>
      <w:pPr>
        <w:jc w:val="both"/>
        <w:ind w:left="840" w:right="3660" w:hanging="274"/>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management’s system to monitor compliance with the Company’s programs and policies designed to ensure adherence to applicable laws, including the Company’s Code of Business Conduct and Ethics.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35" w:lineRule="exact"/>
        <w:rPr>
          <w:sz w:val="20"/>
          <w:szCs w:val="20"/>
          <w:color w:val="auto"/>
        </w:rPr>
      </w:pPr>
    </w:p>
    <w:p>
      <w:pPr>
        <w:ind w:left="120" w:right="3440"/>
        <w:spacing w:after="0" w:line="282"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are “independent” in accordance with Nasdaq listing standards.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 and Corporate Governance Guidelines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Complete copies of our Corporate Governance Guidelines and committee charters are posted in the “Corporate Governance” section of our website located at https://investors.tectonictx.com/.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Executive sessions, which are meetings at which only independent directors are present, are regularly scheduled throughout the year, typically at the time of each regular Board meeting and as frequently as such independent directors deem appropriate.</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Board’s Oversight of Strategy</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Our Board is deeply engaged and involved in overseeing our long-range strategy, including evaluating key market opportunities, customer and supplier trends, and competitive developments. Our Board’s oversight of risk is another integral component of the Board’s oversight and engagement on strategic matters. Strategy-related matters are regularly discussed at board meetings and, when relevant, at Committee meetings. Matters of strategy also inform committee-level discussions of many issues, including enterprise risk. Engagement of the Board on these issues and other matters of strategic importance continues in between meetings, including through updates to the Board on significant items and discussions between the CEO and our Chair on a periodic basis. Each director is expected to and does bring to bear their own talents, insights, and experiences to these strategy discussions.</w:t>
      </w: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has adopted a formal policy by which stockholders may communicate with the Board or any of its directors. Stockholders who wish to communicate with our Board may do so by sending written communications to the Board or such individual director at Tectonic Therapeutic, Inc., 490 Arsenal Way, Suite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82"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200, Watertown, MA 02472, Attn: Chief Executive Officer in accordance with such policy. Our Chief Executive Officer will review each communication and will forward such communication to the Board or any of its directors to whom the communication is addressed, unless the communication contains advertisements or solicitations or is unduly hostile, threatening or similarly inappropriate, in which case the Chief Executive Officer shall discard the communication.</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which is applicable to all our directors, officers and employees, including our Chief Executive Officer, Chief Financial Officer and other senior financial officers. The Code of Business Conduct and Ethics provides a framework for sound ethical business decisions and sets forth our expectations on a number of topics, including conflicts of interest, compliance with laws, use of our assets and business ethics. Our Code of Business Conduct and Ethics is posted in the “Corporate Governance” section of our website located at https://investors.tectonictx.com/. If the Company ever were to amend or waive any provision of its Code of Business Conduct and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 In the case of a waiver for an executive officer or a director, the disclosure required under applicable Nasdaq listing standards also will be made available on our website.</w:t>
      </w: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2025. In addition, it is the Company’s intent to comply with applicable laws and regulations relating to insider trading.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Insider Trading Policy prohibits directors, officers and other employees from engaging in derivatives securities or hedging transactions, including prepaid variable forward contracts, equity swaps, collars and exchange funds, or otherwise engage in transactions that hedge or offset, or are designed to hedge or offset any decrease in the market value of our securities and the risks associated with holding our common stock. Our Insider Trading Policy also prohibits trading in publicly-traded options, such as puts and calls, and other derivative securities with respect to our securities (other than stock options and other compensatory equity awards issued by us), as well as holding our common stock in margin accounts.</w:t>
      </w: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has appointed Deloitte &amp; Touche LLP (“Deloitte”) as our independent registered public accounting firm for the fiscal year ending December 31, 2026 and has further directed that management submit the selection of its independent registered public accounting firm for ratification by the stockholders at the annual meeting and recommended that stockholders ratify such selection. Deloitte &amp; Touche LLP has audited our financial statements since the closing of the Merger and served as Legacy Tectonic’s independent registered public accounting firm since 2022. Representatives of Deloitte &amp; Touche LLP are expected to be present at the Annual Meeting. They will have an opportunity to make a statement if they so desire and will be available to respond to appropriate questions.</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Deloitte &amp; Touche LLP as our independent registered public accounting firm. However, the Audit Committee of the Board is submitting the selection of Deloitte &amp; Touche LLP to the stockholders for ratification as a matter of good corporate practice. If the stockholders fail to ratify the appointment,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us and our stockholders.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Deloitte.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aggregate fees paid to Deloitte for services rendered to Legacy Tectonic, prior to the closing of the Merger, and to the Company, following the closing of the Merger, for the fiscal years ended December 31, 2025 and 2024. All fees described below were approved by the Audit Committee.</w:t>
      </w:r>
    </w:p>
    <w:p>
      <w:pPr>
        <w:spacing w:after="0" w:line="196"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843,834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$ 1,688,729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157,651</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129,390</w:t>
            </w:r>
          </w:p>
        </w:tc>
      </w:tr>
      <w:tr>
        <w:trPr>
          <w:trHeight w:val="27"/>
        </w:trPr>
        <w:tc>
          <w:tcPr>
            <w:tcW w:w="6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1,001,485</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$ 1,818,119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20" w:hanging="424"/>
        <w:spacing w:after="0" w:line="270" w:lineRule="auto"/>
        <w:tabs>
          <w:tab w:leader="none" w:pos="5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Fees consist of fees in connection with the audit of our annual consolidated financial statements, including the audited financial statements as well as other financial statements presented in our Registration Statement on Form S-4 filed with the SEC in connection with the Merger, the review of our interim financial statements, and related services that are normally provided in connection with private offerings. Included in the fiscal year 2024 Audit Fees are fees billed in connection with regulatory filings associated with the Merger and related private financings.</w:t>
      </w:r>
    </w:p>
    <w:p>
      <w:pPr>
        <w:spacing w:after="0" w:line="2" w:lineRule="exact"/>
        <w:rPr>
          <w:rFonts w:ascii="Times New Roman" w:cs="Times New Roman" w:eastAsia="Times New Roman" w:hAnsi="Times New Roman"/>
          <w:sz w:val="17"/>
          <w:szCs w:val="17"/>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in connection with tax compliance, and tax advisory services.</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incurred subsequent to the closing of the Merger in June 2024 were pre-approved by our Audit Committee.</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87"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is compatible with maintaining the principal accountant’s independence.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listing standards. The Audit Committee operates pursuant to a written charter adopted by the Board.</w:t>
      </w:r>
    </w:p>
    <w:p>
      <w:pPr>
        <w:spacing w:after="0" w:line="16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2025, for filing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Phillip B. Donenberg (Chair)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Terrance McGuire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Stefan Vitorovic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3: ADVISORY VOTE ON EXECUTIVE COMPENSATION</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Discussion and Analysis, compensation tables, and narrative discussion. In considering their vote, we urge stockholders to review the information on our compensation policies and decisions regarding the Named Executive Officers presented in the section on Executive Officers beginning on page 25.</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We expect that we will conduct our next say-on-pay vote at the 2027 annual meeting of stockholders.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text of the resolution in respect of Proposal 3 is as follows:</w:t>
      </w:r>
    </w:p>
    <w:p>
      <w:pPr>
        <w:spacing w:after="0" w:line="223"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Company’s Named Executive Officers as disclosed pursuant to Item 402 of Regulation S-K, including the compensation tables and narrative discussion, is hereby approved.”</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Proposal 3.</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2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4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2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w:t>
            </w: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McNamara, Ph.D.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w:t>
            </w: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w:t>
            </w: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Schwabish, Ph.D.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46</w:t>
            </w: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Business Officer</w:t>
            </w:r>
          </w:p>
        </w:tc>
      </w:tr>
    </w:tbl>
    <w:p>
      <w:pPr>
        <w:spacing w:after="0" w:line="1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Alise Reicin, M.D. </w:t>
      </w:r>
      <w:r>
        <w:rPr>
          <w:rFonts w:ascii="Times New Roman" w:cs="Times New Roman" w:eastAsia="Times New Roman" w:hAnsi="Times New Roman"/>
          <w:sz w:val="18"/>
          <w:szCs w:val="18"/>
          <w:color w:val="auto"/>
        </w:rPr>
        <w:t>Biographical information for Dr. Reicin is included above with the director biographies under the caption “</w:t>
      </w:r>
      <w:r>
        <w:rPr>
          <w:rFonts w:ascii="Times New Roman" w:cs="Times New Roman" w:eastAsia="Times New Roman" w:hAnsi="Times New Roman"/>
          <w:sz w:val="18"/>
          <w:szCs w:val="18"/>
          <w:i w:val="1"/>
          <w:iCs w:val="1"/>
          <w:color w:val="auto"/>
        </w:rPr>
        <w:t>Nominees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Daniel Lochner, M.B.A.</w:t>
      </w:r>
      <w:r>
        <w:rPr>
          <w:rFonts w:ascii="Times New Roman" w:cs="Times New Roman" w:eastAsia="Times New Roman" w:hAnsi="Times New Roman"/>
          <w:sz w:val="18"/>
          <w:szCs w:val="18"/>
          <w:color w:val="auto"/>
        </w:rPr>
        <w:t>, has served as our Chief Financial Officer since June 2024. Mr. Lochner most recently served as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Business Officer for the Eye Care Division of Viatris Inc., a global healthcare company, from 2023 to 2024. Prior to Viatris, Mr. Lochner was the Chief Financial Officer and Chief Business Officer of Oyster Point Pharma, Inc., a biotechnology company that was acquired by Viatris in 2023, from 2019 to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 Mr. Lochner received a B.A. in Economics from the University of Richmond and an M.B.A. from Columbia University.</w:t>
      </w:r>
    </w:p>
    <w:p>
      <w:pPr>
        <w:spacing w:after="0" w:line="18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Peter McNamara, Ph.D.</w:t>
      </w:r>
      <w:r>
        <w:rPr>
          <w:rFonts w:ascii="Times New Roman" w:cs="Times New Roman" w:eastAsia="Times New Roman" w:hAnsi="Times New Roman"/>
          <w:sz w:val="18"/>
          <w:szCs w:val="18"/>
          <w:color w:val="auto"/>
        </w:rPr>
        <w:t>, has served as our Chief Scientific Officer since June 2022. Prior to that, Dr. McNamara served as our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Head of Research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 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w:t>
      </w:r>
    </w:p>
    <w:p>
      <w:pPr>
        <w:spacing w:after="0" w:line="188" w:lineRule="exact"/>
        <w:rPr>
          <w:sz w:val="20"/>
          <w:szCs w:val="20"/>
          <w:color w:val="auto"/>
        </w:rPr>
      </w:pPr>
    </w:p>
    <w:p>
      <w:pPr>
        <w:ind w:left="120" w:right="60" w:firstLine="440"/>
        <w:spacing w:after="0" w:line="242" w:lineRule="auto"/>
        <w:rPr>
          <w:sz w:val="20"/>
          <w:szCs w:val="20"/>
          <w:color w:val="auto"/>
        </w:rPr>
      </w:pPr>
      <w:r>
        <w:rPr>
          <w:rFonts w:ascii="Times New Roman" w:cs="Times New Roman" w:eastAsia="Times New Roman" w:hAnsi="Times New Roman"/>
          <w:sz w:val="18"/>
          <w:szCs w:val="18"/>
          <w:i w:val="1"/>
          <w:iCs w:val="1"/>
          <w:color w:val="auto"/>
        </w:rPr>
        <w:t>Marcella K. Ruddy, M.D.</w:t>
      </w:r>
      <w:r>
        <w:rPr>
          <w:rFonts w:ascii="Times New Roman" w:cs="Times New Roman" w:eastAsia="Times New Roman" w:hAnsi="Times New Roman"/>
          <w:sz w:val="18"/>
          <w:szCs w:val="18"/>
          <w:color w:val="auto"/>
        </w:rPr>
        <w:t>, has served as our Chief Medical Officer since July 2021. She has over 20 years of experience in drug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all stages of clinical drug development. She currently serves as a member of the board of directors of Upstream Bio since January 2023 and Sionna Therapeutics since January 2025. She previously served on the Board of Directors of Polarean Imaging from August 2022 through August 2024. Prior to joining Tectonic, Dr. Ruddy was the Head of Clinical Development for the Immunology/ Inflammation Therapeutic Area at Regeneron Pharmaceuticals. In that role she led the clinical development of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Marc Schwabish, Ph.D.</w:t>
      </w:r>
      <w:r>
        <w:rPr>
          <w:rFonts w:ascii="Times New Roman" w:cs="Times New Roman" w:eastAsia="Times New Roman" w:hAnsi="Times New Roman"/>
          <w:sz w:val="18"/>
          <w:szCs w:val="18"/>
          <w:color w:val="auto"/>
        </w:rPr>
        <w:t>, has served as our Chief Business Officer since March 2021. Prior to joining Tectonic, Dr. Schwabish served as SVP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320" w:top="482" w:right="5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Fiscal Year 2025 Summary Compensation Table</w:t>
      </w:r>
    </w:p>
    <w:p>
      <w:pPr>
        <w:spacing w:after="0" w:line="22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December 31, 2024 compensation awarded to or paid to, or earned by, the Company’s CEO and its two other most highly compensated executive officers at December 31, 2025 and one former executive officer who departed from the Company during the fiscal year ended December 31, 2024 (the “Named Executive Officers”).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80" w:type="dxa"/>
            <w:vAlign w:val="bottom"/>
            <w:gridSpan w:val="2"/>
            <w:vMerge w:val="restart"/>
          </w:tcPr>
          <w:p>
            <w:pPr>
              <w:jc w:val="center"/>
              <w:ind w:right="31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8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gridSpan w:val="3"/>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tcPr>
          <w:p>
            <w:pPr>
              <w:jc w:val="center"/>
              <w:ind w:right="31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4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60" w:type="dxa"/>
            <w:vAlign w:val="bottom"/>
          </w:tcPr>
          <w:p>
            <w:pPr>
              <w:jc w:val="right"/>
              <w:ind w:right="94"/>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16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(4)</w:t>
            </w:r>
          </w:p>
        </w:tc>
        <w:tc>
          <w:tcPr>
            <w:tcW w:w="38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3"/>
                <w:szCs w:val="13"/>
                <w:color w:val="auto"/>
              </w:rPr>
            </w:pPr>
          </w:p>
        </w:tc>
        <w:tc>
          <w:tcPr>
            <w:tcW w:w="78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Alise Reicin, M.D.</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640,833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1,946,853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4,373,617</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99"/>
              </w:rPr>
              <w:t>372,500</w:t>
            </w: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17,775</w:t>
            </w:r>
          </w:p>
        </w:tc>
        <w:tc>
          <w:tcPr>
            <w:tcW w:w="3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w w:val="92"/>
              </w:rPr>
              <w:t>(6)</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7,351,578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CEO and Director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606,151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600,848</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4,291,563</w:t>
            </w:r>
          </w:p>
        </w:tc>
        <w:tc>
          <w:tcPr>
            <w:tcW w:w="1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392,150</w:t>
            </w:r>
          </w:p>
        </w:tc>
        <w:tc>
          <w:tcPr>
            <w:tcW w:w="12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10,267</w:t>
            </w:r>
            <w:r>
              <w:rPr>
                <w:rFonts w:ascii="Times New Roman" w:cs="Times New Roman" w:eastAsia="Times New Roman" w:hAnsi="Times New Roman"/>
                <w:sz w:val="25"/>
                <w:szCs w:val="25"/>
                <w:color w:val="auto"/>
                <w:vertAlign w:val="superscript"/>
              </w:rPr>
              <w:t>(6)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5,900,217</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Daniel Lochner, M.B.A.</w:t>
            </w:r>
          </w:p>
        </w:tc>
        <w:tc>
          <w:tcPr>
            <w:tcW w:w="68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488,854</w:t>
            </w:r>
          </w:p>
        </w:tc>
        <w:tc>
          <w:tcPr>
            <w:tcW w:w="94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947,608</w:t>
            </w:r>
          </w:p>
        </w:tc>
        <w:tc>
          <w:tcPr>
            <w:tcW w:w="94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1,424,794</w:t>
            </w:r>
          </w:p>
        </w:tc>
        <w:tc>
          <w:tcPr>
            <w:tcW w:w="1280" w:type="dxa"/>
            <w:vAlign w:val="bottom"/>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206,500</w:t>
            </w:r>
          </w:p>
        </w:tc>
        <w:tc>
          <w:tcPr>
            <w:tcW w:w="1280" w:type="dxa"/>
            <w:vAlign w:val="bottom"/>
            <w:gridSpan w:val="2"/>
          </w:tcPr>
          <w:p>
            <w:pPr>
              <w:jc w:val="right"/>
              <w:ind w:right="153"/>
              <w:spacing w:after="0" w:line="196" w:lineRule="exact"/>
              <w:rPr>
                <w:sz w:val="20"/>
                <w:szCs w:val="20"/>
                <w:color w:val="auto"/>
              </w:rPr>
            </w:pPr>
            <w:r>
              <w:rPr>
                <w:rFonts w:ascii="Times New Roman" w:cs="Times New Roman" w:eastAsia="Times New Roman" w:hAnsi="Times New Roman"/>
                <w:sz w:val="16"/>
                <w:szCs w:val="16"/>
                <w:color w:val="auto"/>
              </w:rPr>
              <w:t>33,358</w:t>
            </w:r>
            <w:r>
              <w:rPr>
                <w:rFonts w:ascii="Times New Roman" w:cs="Times New Roman" w:eastAsia="Times New Roman" w:hAnsi="Times New Roman"/>
                <w:sz w:val="22"/>
                <w:szCs w:val="22"/>
                <w:color w:val="auto"/>
                <w:vertAlign w:val="superscript"/>
              </w:rPr>
              <w:t>(7)</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3,101,114</w:t>
            </w:r>
          </w:p>
        </w:tc>
        <w:tc>
          <w:tcPr>
            <w:tcW w:w="0" w:type="dxa"/>
            <w:vAlign w:val="bottom"/>
          </w:tcPr>
          <w:p>
            <w:pPr>
              <w:spacing w:after="0"/>
              <w:rPr>
                <w:sz w:val="1"/>
                <w:szCs w:val="1"/>
                <w:color w:val="auto"/>
              </w:rPr>
            </w:pPr>
          </w:p>
        </w:tc>
      </w:tr>
      <w:tr>
        <w:trPr>
          <w:trHeight w:val="236"/>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277,083</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1,855,869</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126,311</w:t>
            </w:r>
          </w:p>
        </w:tc>
        <w:tc>
          <w:tcPr>
            <w:tcW w:w="1280" w:type="dxa"/>
            <w:vAlign w:val="bottom"/>
            <w:gridSpan w:val="2"/>
          </w:tcPr>
          <w:p>
            <w:pPr>
              <w:jc w:val="right"/>
              <w:ind w:right="153"/>
              <w:spacing w:after="0" w:line="236" w:lineRule="exact"/>
              <w:rPr>
                <w:sz w:val="20"/>
                <w:szCs w:val="20"/>
                <w:color w:val="auto"/>
              </w:rPr>
            </w:pPr>
            <w:r>
              <w:rPr>
                <w:rFonts w:ascii="Times New Roman" w:cs="Times New Roman" w:eastAsia="Times New Roman" w:hAnsi="Times New Roman"/>
                <w:sz w:val="18"/>
                <w:szCs w:val="18"/>
                <w:color w:val="auto"/>
              </w:rPr>
              <w:t>24,744</w:t>
            </w:r>
            <w:r>
              <w:rPr>
                <w:rFonts w:ascii="Times New Roman" w:cs="Times New Roman" w:eastAsia="Times New Roman" w:hAnsi="Times New Roman"/>
                <w:sz w:val="26"/>
                <w:szCs w:val="26"/>
                <w:color w:val="auto"/>
                <w:vertAlign w:val="superscript"/>
              </w:rPr>
              <w:t>(7)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2,284,007</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501,050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937,219</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1,409,161</w:t>
            </w:r>
          </w:p>
        </w:tc>
        <w:tc>
          <w:tcPr>
            <w:tcW w:w="1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211,700</w:t>
            </w:r>
          </w:p>
        </w:tc>
        <w:tc>
          <w:tcPr>
            <w:tcW w:w="12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10,500</w:t>
            </w:r>
            <w:r>
              <w:rPr>
                <w:rFonts w:ascii="Times New Roman" w:cs="Times New Roman" w:eastAsia="Times New Roman" w:hAnsi="Times New Roman"/>
                <w:sz w:val="25"/>
                <w:szCs w:val="25"/>
                <w:color w:val="auto"/>
                <w:vertAlign w:val="superscript"/>
              </w:rPr>
              <w:t>(8)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3,069,630</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6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476,165</w:t>
            </w: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1,140,034</w:t>
            </w:r>
          </w:p>
        </w:tc>
        <w:tc>
          <w:tcPr>
            <w:tcW w:w="12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223,951</w:t>
            </w:r>
          </w:p>
        </w:tc>
        <w:tc>
          <w:tcPr>
            <w:tcW w:w="1280" w:type="dxa"/>
            <w:vAlign w:val="bottom"/>
            <w:gridSpan w:val="2"/>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7"/>
                <w:szCs w:val="17"/>
                <w:color w:val="auto"/>
              </w:rPr>
              <w:t>742</w:t>
            </w:r>
            <w:r>
              <w:rPr>
                <w:rFonts w:ascii="Times New Roman" w:cs="Times New Roman" w:eastAsia="Times New Roman" w:hAnsi="Times New Roman"/>
                <w:sz w:val="25"/>
                <w:szCs w:val="25"/>
                <w:color w:val="auto"/>
                <w:vertAlign w:val="superscript"/>
              </w:rPr>
              <w:t>(8)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1,840,150</w:t>
            </w:r>
          </w:p>
        </w:tc>
        <w:tc>
          <w:tcPr>
            <w:tcW w:w="0" w:type="dxa"/>
            <w:vAlign w:val="bottom"/>
          </w:tcPr>
          <w:p>
            <w:pPr>
              <w:spacing w:after="0"/>
              <w:rPr>
                <w:sz w:val="1"/>
                <w:szCs w:val="1"/>
                <w:color w:val="auto"/>
              </w:rPr>
            </w:pPr>
          </w:p>
        </w:tc>
      </w:tr>
      <w:tr>
        <w:trPr>
          <w:trHeight w:val="196"/>
        </w:trPr>
        <w:tc>
          <w:tcPr>
            <w:tcW w:w="4240" w:type="dxa"/>
            <w:vAlign w:val="bottom"/>
            <w:gridSpan w:val="3"/>
          </w:tcPr>
          <w:p>
            <w:pPr>
              <w:spacing w:after="0" w:line="196" w:lineRule="exact"/>
              <w:rPr>
                <w:sz w:val="20"/>
                <w:szCs w:val="20"/>
                <w:color w:val="auto"/>
              </w:rPr>
            </w:pPr>
            <w:r>
              <w:rPr>
                <w:rFonts w:ascii="Times New Roman" w:cs="Times New Roman" w:eastAsia="Times New Roman" w:hAnsi="Times New Roman"/>
                <w:sz w:val="16"/>
                <w:szCs w:val="16"/>
                <w:color w:val="auto"/>
              </w:rPr>
              <w:t>Erik Ostrowski, M.B.A.</w:t>
            </w:r>
            <w:r>
              <w:rPr>
                <w:rFonts w:ascii="Times New Roman" w:cs="Times New Roman" w:eastAsia="Times New Roman" w:hAnsi="Times New Roman"/>
                <w:sz w:val="22"/>
                <w:szCs w:val="22"/>
                <w:color w:val="auto"/>
                <w:vertAlign w:val="superscript"/>
              </w:rPr>
              <w:t>(9)</w:t>
            </w:r>
          </w:p>
        </w:tc>
        <w:tc>
          <w:tcPr>
            <w:tcW w:w="68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254,125</w:t>
            </w:r>
          </w:p>
        </w:tc>
        <w:tc>
          <w:tcPr>
            <w:tcW w:w="940" w:type="dxa"/>
            <w:vAlign w:val="bottom"/>
            <w:gridSpan w:val="2"/>
          </w:tcPr>
          <w:p>
            <w:pPr>
              <w:ind w:left="5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300"/>
              <w:spacing w:after="0" w:line="196" w:lineRule="exact"/>
              <w:rPr>
                <w:sz w:val="20"/>
                <w:szCs w:val="20"/>
                <w:color w:val="auto"/>
              </w:rPr>
            </w:pPr>
            <w:r>
              <w:rPr>
                <w:rFonts w:ascii="Times New Roman" w:cs="Times New Roman" w:eastAsia="Times New Roman" w:hAnsi="Times New Roman"/>
                <w:sz w:val="16"/>
                <w:szCs w:val="16"/>
                <w:color w:val="auto"/>
              </w:rPr>
              <w:t>829,250</w:t>
            </w:r>
            <w:r>
              <w:rPr>
                <w:rFonts w:ascii="Times New Roman" w:cs="Times New Roman" w:eastAsia="Times New Roman" w:hAnsi="Times New Roman"/>
                <w:sz w:val="22"/>
                <w:szCs w:val="22"/>
                <w:color w:val="auto"/>
                <w:vertAlign w:val="superscript"/>
              </w:rPr>
              <w:t>(10)</w:t>
            </w:r>
          </w:p>
        </w:tc>
        <w:tc>
          <w:tcPr>
            <w:tcW w:w="1280" w:type="dxa"/>
            <w:vAlign w:val="bottom"/>
            <w:gridSpan w:val="2"/>
          </w:tcPr>
          <w:p>
            <w:pPr>
              <w:jc w:val="right"/>
              <w:ind w:right="93"/>
              <w:spacing w:after="0" w:line="196" w:lineRule="exact"/>
              <w:rPr>
                <w:sz w:val="20"/>
                <w:szCs w:val="20"/>
                <w:color w:val="auto"/>
              </w:rPr>
            </w:pPr>
            <w:r>
              <w:rPr>
                <w:rFonts w:ascii="Times New Roman" w:cs="Times New Roman" w:eastAsia="Times New Roman" w:hAnsi="Times New Roman"/>
                <w:sz w:val="16"/>
                <w:szCs w:val="16"/>
                <w:color w:val="auto"/>
              </w:rPr>
              <w:t>9,883</w:t>
            </w:r>
            <w:r>
              <w:rPr>
                <w:rFonts w:ascii="Times New Roman" w:cs="Times New Roman" w:eastAsia="Times New Roman" w:hAnsi="Times New Roman"/>
                <w:sz w:val="22"/>
                <w:szCs w:val="22"/>
                <w:color w:val="auto"/>
                <w:vertAlign w:val="superscript"/>
              </w:rPr>
              <w:t>(11)</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1,093,258</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Interim Chief Executive Officer,</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4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0" w:hanging="424"/>
        <w:spacing w:after="0" w:line="255"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amounts represent actual amounts paid during 2024 and 2025. With respect to Drs. Reicin and Ruddy, the amounts reflect increases to base salary effective April 1, 2024 and further increases to base salary effective June 20, 2024 and March 1, 2025. Mr. Lochner’s base salary was effective June 3, 2024 pursuant to his employment agreement and further increases to base salary effective March 1, 2025. See “—</w:t>
      </w:r>
      <w:r>
        <w:rPr>
          <w:rFonts w:ascii="Times New Roman" w:cs="Times New Roman" w:eastAsia="Times New Roman" w:hAnsi="Times New Roman"/>
          <w:sz w:val="18"/>
          <w:szCs w:val="18"/>
          <w:i w:val="1"/>
          <w:iCs w:val="1"/>
          <w:color w:val="auto"/>
        </w:rPr>
        <w:t>Narrative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Compensation Table—Base Salary</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ind w:left="540" w:right="80" w:hanging="424"/>
        <w:spacing w:after="0" w:line="265" w:lineRule="auto"/>
        <w:tabs>
          <w:tab w:leader="none" w:pos="5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here do not reflect the actual economic value realized by our Named Executive Officers. In accordance with SEC rules, this column represents the grant date fair value of shares underlying RSUs, calculated in accordance with ASC 718. Assumptions used in the calculation of the grant date fair value of the RSUs are set forth in “</w:t>
      </w:r>
      <w:r>
        <w:rPr>
          <w:rFonts w:ascii="Times New Roman" w:cs="Times New Roman" w:eastAsia="Times New Roman" w:hAnsi="Times New Roman"/>
          <w:sz w:val="17"/>
          <w:szCs w:val="17"/>
          <w:i w:val="1"/>
          <w:iCs w:val="1"/>
          <w:color w:val="auto"/>
        </w:rPr>
        <w:t>Note 2. Summary of Significant Accounting Policies and Basis of Presentation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Note 8. Equity Incentive Plans</w:t>
      </w:r>
      <w:r>
        <w:rPr>
          <w:rFonts w:ascii="Times New Roman" w:cs="Times New Roman" w:eastAsia="Times New Roman" w:hAnsi="Times New Roman"/>
          <w:sz w:val="17"/>
          <w:szCs w:val="17"/>
          <w:color w:val="auto"/>
        </w:rPr>
        <w:t>” to our audited consolidated financial statements included in our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Form 10-K for each of the fiscal years ended December 31, 2025 and December 31, 2024. These amounts do not correspond to the actual value that may be received by the Named Executive Officers upon vesting and settlement of the shares of RSUs or any sale of the shares.</w:t>
      </w:r>
    </w:p>
    <w:p>
      <w:pPr>
        <w:ind w:left="540" w:right="8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 do not reflect the actual economic value realized by our Named Executive Officers. In accordance with SEC rules, this column represents the grant date fair value of shares underlying stock options, calculated in accordance with ASC 718. Assumptions used in the calculation of the grant date fair value of the stock options are set forth in “</w:t>
      </w:r>
      <w:r>
        <w:rPr>
          <w:rFonts w:ascii="Times New Roman" w:cs="Times New Roman" w:eastAsia="Times New Roman" w:hAnsi="Times New Roman"/>
          <w:sz w:val="18"/>
          <w:szCs w:val="18"/>
          <w:i w:val="1"/>
          <w:iCs w:val="1"/>
          <w:color w:val="auto"/>
        </w:rPr>
        <w:t>Note 2. Summary of Significant Accounting Policies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Presentation—Stock-Based Compensation”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Note 8. Equity Incentive Plans</w:t>
      </w:r>
      <w:r>
        <w:rPr>
          <w:rFonts w:ascii="Times New Roman" w:cs="Times New Roman" w:eastAsia="Times New Roman" w:hAnsi="Times New Roman"/>
          <w:sz w:val="18"/>
          <w:szCs w:val="18"/>
          <w:color w:val="auto"/>
        </w:rPr>
        <w:t>” to our audited consolidated financial statements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for each of the fiscal years ended December 31, 2025 and December 31, 2024. These amounts do not correspond to the actual economic value that may be received by our Named Executive Officers upon the exercise of the stock options or any sale of the underlying shares of common stock.</w:t>
      </w:r>
    </w:p>
    <w:p>
      <w:pPr>
        <w:spacing w:after="0" w:line="2"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disclosed for fiscal year 2025 reflect performance-based cash bonuses earned in 2025 and paid in early 2026 and amounts disclosed for fiscal year 2024 reflect performance-based cash bonuses earned in 2024 and paid in early 2025. See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below for a description of the material terms of the program pursuant to which this compensation was awarded.</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Reicin also served as a member of our Board but did not receive any additional compensation for her service as a director.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57"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commuting expenses in the amount of $7,275 and (ii) $10,500 in matching employer 401(k) contributions for the year ended December 31, 2025 and (iii) commuting expenses in the amount of $9,505, and (iv) other benefits of $762 paid by us on behalf of Dr. Reicin. for the year ended December 31, 2024.</w:t>
      </w:r>
    </w:p>
    <w:p>
      <w:pPr>
        <w:spacing w:after="0" w:line="1" w:lineRule="exact"/>
        <w:rPr>
          <w:rFonts w:ascii="Times New Roman" w:cs="Times New Roman" w:eastAsia="Times New Roman" w:hAnsi="Times New Roman"/>
          <w:sz w:val="18"/>
          <w:szCs w:val="18"/>
          <w:color w:val="auto"/>
        </w:rPr>
      </w:pPr>
    </w:p>
    <w:p>
      <w:pPr>
        <w:ind w:left="540" w:right="100" w:hanging="424"/>
        <w:spacing w:after="0" w:line="265"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commuting expenses in the amount of $18,081, (ii) $10,500 in matching employer 401(k) contributions, (iii) other taxable benefits of $4,777 for the year ended December 31, 2025 and (iv) commuting expenses in the amount of $16,189 and (v) $8,133 in matching employer 401(k) contributions, and (vi) other benefits in the amount of $422 paid by us on behalf of Mr. Lochner for the year ended December 31, 2024.</w:t>
      </w:r>
    </w:p>
    <w:p>
      <w:pPr>
        <w:ind w:left="540" w:right="22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$10,500 in matching employer 401(k) contributions for the year ended December 31, 2025 and other benefits in the amount of $742 paid by us on behalf of Dr. Ruddy for the year ended December 31, 2024.</w:t>
      </w:r>
    </w:p>
    <w:p>
      <w:pPr>
        <w:ind w:left="540" w:right="32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20, 2024, Mr. Ostrowski resigned from all of his offices with the Company, including as the President, Interim Chief Executive Officer, Chief Financial Officer and Treasurer.</w:t>
      </w: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paid to Mr. Ostrowski in connection with the closing of the Merger.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dollar value of 401(k) contributions and life insurance premiums paid by AVROBIO on behalf of Mr. Ostrowski.</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Summary Compensation Table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Each of our current Named Executive Officer’s annual base salary is a fixed component of annual compensation for performing specific duties and functions, and is established by our Board taking into account each individual’s role, responsibilities, skills, and expertise. Base salaries are reviewed annually, typically in connection with our annual performance review process, approved by our Board, and adjusted from time to time to realign salaries with market levels and internal benchmarking, after taking into account individual responsibilities, performance and experience. Please see the “</w:t>
      </w:r>
      <w:r>
        <w:rPr>
          <w:rFonts w:ascii="Times New Roman" w:cs="Times New Roman" w:eastAsia="Times New Roman" w:hAnsi="Times New Roman"/>
          <w:sz w:val="18"/>
          <w:szCs w:val="18"/>
          <w:i w:val="1"/>
          <w:iCs w:val="1"/>
          <w:color w:val="auto"/>
        </w:rPr>
        <w:t>Salary</w:t>
      </w:r>
      <w:r>
        <w:rPr>
          <w:rFonts w:ascii="Times New Roman" w:cs="Times New Roman" w:eastAsia="Times New Roman" w:hAnsi="Times New Roman"/>
          <w:sz w:val="18"/>
          <w:szCs w:val="18"/>
          <w:color w:val="auto"/>
        </w:rPr>
        <w:t>” column in the Summary Compensation Table above for the actual base salary amount received by each current named executive officers during the year ended December 31, 2025. The annual base salaries for Drs. Reicin and Ruddy and Mr. Lochner were $620,000, $486,850, and $475,000 respectively, for the period from January 1, 2025 through March 1, 2025 and $645,000, $503,890 and $491,625 respectively, for the period from March 1, 2025 to December 31, 2025.</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Non-Equity Incentive Plan Compensation</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annual incentive program is intended to reward our Named Executive Officers for performance during a fiscal year. From time to time, our compensation committee or our Board, as applicable, in their discretion may approve annual incentives for our Named Executive Officers based on individual performance, company performance, or as otherwise determined appropriate. Each of our Named Executive Officers were eligible to receive a target bonus at the discretion of our Board with respect to the year ended December 31, 2025 (as a percentage of base salary) based upon their performance.</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540" w:type="dxa"/>
            <w:vAlign w:val="bottom"/>
            <w:vMerge w:val="restart"/>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540" w:type="dxa"/>
            <w:vAlign w:val="bottom"/>
            <w:vMerge w:val="continue"/>
          </w:tcPr>
          <w:p>
            <w:pPr>
              <w:spacing w:after="0"/>
              <w:rPr>
                <w:sz w:val="15"/>
                <w:szCs w:val="15"/>
                <w:color w:val="auto"/>
              </w:rPr>
            </w:pPr>
          </w:p>
        </w:tc>
        <w:tc>
          <w:tcPr>
            <w:tcW w:w="4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4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Alise Reicin, M.D.</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6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March 2026, based on the Named Executive Officer’s performance, our Board determined that Dr. Reicin, Mr. Lochner and Dr. Ruddy were eligible to receive 105% of their target annual bonus for the year ended December 31, 2025, and as a result, approved annual performance bonuses for Dr. Reicin, Mr. Lochner and Dr. Ruddy in the amounts of $372,500, $206,500 and $211,700, respectively, as reflected in the “</w:t>
      </w:r>
      <w:r>
        <w:rPr>
          <w:rFonts w:ascii="Times New Roman" w:cs="Times New Roman" w:eastAsia="Times New Roman" w:hAnsi="Times New Roman"/>
          <w:sz w:val="18"/>
          <w:szCs w:val="18"/>
          <w:i w:val="1"/>
          <w:iCs w:val="1"/>
          <w:color w:val="auto"/>
        </w:rPr>
        <w:t>Non-Equity Incentive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column of the Summary Compensation Table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Equity-Based Incentive Awards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February 2025, each of Dr. Reicin, Mr. Lochner and Dr. Ruddy received an option grant to purchase 101,953, 32,862 and 32,502 shares of our common stock, respectively, with an exercise price per share equal to $48.01. The shares subject to this option grant vest in 48 equal monthly installments beginning on March 4, 2025, in each case subject to his or her continuous service through the applicable vesting dates, such that the options are vested in full on February 4, 2029. In addition, in February 2025, each of Dr. Reicin, Mr. Lochner and Dr. Ruddy received a grant of 36,047, 18,074 and 17,876 restricted stock units, respectively, of which 1/3 of the units will vest on each of the three anniversaries of February 4, 2025, in each case subject to his or her continuous service through the applicable vesting dates, such that the units are vested in full on February 4, 2028.</w:t>
      </w:r>
    </w:p>
    <w:p>
      <w:pPr>
        <w:spacing w:after="0" w:line="187"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In September 2025, each of Dr. Reicin, Mr. Lochner and Dr. Ruddy received an option grant to purchase 26,710, 9,860 and 9,750 shares of our common stock, respectively, with an exercise price per share equal to $14.71. The shares subject to this option grant vest in 48 equal monthly installments beginning on October 25, 2025, in each case subject to his or her continuous service through the applicable vesting dates, such that the options are vested in full on September 25, 2029. In addition, in September 2025, each of Dr. Reicin, Mr. Lochner and Dr. Ruddy received a grant of 14,700, 5,430 and 5,370 restricted stock units, respectively, of which 1/3 of the units will vest on each of the three anniversaries of September 25, 2025, in each case subject to his or her continuous service through the applicable vesting dates, such that the units are vested in full on September 25, 2028.</w:t>
      </w: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Named Executive Officers as of December 31, 2025.</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vMerge w:val="restart"/>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880" w:type="dxa"/>
            <w:vAlign w:val="bottom"/>
            <w:gridSpan w:val="2"/>
            <w:vMerge w:val="continue"/>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gridSpan w:val="2"/>
          </w:tcPr>
          <w:p>
            <w:pPr>
              <w:jc w:val="center"/>
              <w:ind w:right="319"/>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4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220" w:type="dxa"/>
            <w:vAlign w:val="bottom"/>
          </w:tcPr>
          <w:p>
            <w:pPr>
              <w:spacing w:after="0"/>
              <w:rPr>
                <w:sz w:val="15"/>
                <w:szCs w:val="15"/>
                <w:color w:val="auto"/>
              </w:rPr>
            </w:pPr>
          </w:p>
        </w:tc>
        <w:tc>
          <w:tcPr>
            <w:tcW w:w="88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5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Alise Reicin, M.D.</w:t>
            </w:r>
          </w:p>
        </w:tc>
        <w:tc>
          <w:tcPr>
            <w:tcW w:w="3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6/28/2021</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gridSpan w:val="2"/>
            <w:shd w:val="clear" w:color="auto" w:fill="CCEEFF"/>
          </w:tcPr>
          <w:p>
            <w:pPr>
              <w:ind w:left="360"/>
              <w:spacing w:after="0" w:line="175" w:lineRule="exact"/>
              <w:rPr>
                <w:sz w:val="20"/>
                <w:szCs w:val="20"/>
                <w:color w:val="auto"/>
              </w:rPr>
            </w:pPr>
            <w:r>
              <w:rPr>
                <w:rFonts w:ascii="Times New Roman" w:cs="Times New Roman" w:eastAsia="Times New Roman" w:hAnsi="Times New Roman"/>
                <w:sz w:val="16"/>
                <w:szCs w:val="16"/>
                <w:color w:val="auto"/>
                <w:w w:val="95"/>
              </w:rPr>
              <w:t>3/31/2021</w:t>
            </w: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22,957</w:t>
            </w: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60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380" w:type="dxa"/>
            <w:vAlign w:val="bottom"/>
            <w:tcBorders>
              <w:top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w w:val="85"/>
              </w:rPr>
              <w:t>(3)</w:t>
            </w:r>
          </w:p>
        </w:tc>
        <w:tc>
          <w:tcPr>
            <w:tcW w:w="48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2.38</w:t>
            </w:r>
          </w:p>
        </w:tc>
        <w:tc>
          <w:tcPr>
            <w:tcW w:w="2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06/27/31</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w w:val="99"/>
              </w:rPr>
              <w:t>— </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12/1/2023</w:t>
            </w: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13,360</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11/30/33</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6/20/2024</w:t>
            </w: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6/20/2024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108,600</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181,000</w:t>
            </w:r>
            <w:r>
              <w:rPr>
                <w:rFonts w:ascii="Times New Roman" w:cs="Times New Roman" w:eastAsia="Times New Roman" w:hAnsi="Times New Roman"/>
                <w:sz w:val="23"/>
                <w:szCs w:val="23"/>
                <w:color w:val="auto"/>
                <w:vertAlign w:val="superscript"/>
              </w:rPr>
              <w:t>(3)</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06/19/34</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12/4/2024</w:t>
            </w: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6/20/2024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3,750</w:t>
            </w:r>
            <w:r>
              <w:rPr>
                <w:rFonts w:ascii="Times New Roman" w:cs="Times New Roman" w:eastAsia="Times New Roman" w:hAnsi="Times New Roman"/>
                <w:sz w:val="23"/>
                <w:szCs w:val="23"/>
                <w:color w:val="auto"/>
                <w:vertAlign w:val="superscript"/>
              </w:rPr>
              <w:t>(3)</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51.28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12/03/34</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12/4/2024</w:t>
            </w: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6/20/2024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6"/>
                <w:szCs w:val="16"/>
                <w:color w:val="auto"/>
              </w:rPr>
              <w:t>8,787</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183,297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2/4/2025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21,240</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80,713</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48.01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02/03/35</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2/4/2025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2/4/2025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6"/>
                <w:szCs w:val="16"/>
                <w:color w:val="auto"/>
              </w:rPr>
              <w:t>36,047</w:t>
            </w:r>
            <w:r>
              <w:rPr>
                <w:rFonts w:ascii="Times New Roman" w:cs="Times New Roman" w:eastAsia="Times New Roman" w:hAnsi="Times New Roman"/>
                <w:sz w:val="23"/>
                <w:szCs w:val="23"/>
                <w:color w:val="auto"/>
                <w:vertAlign w:val="superscript"/>
              </w:rPr>
              <w:t>(6)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751,940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9/25/2025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5"/>
              </w:rPr>
              <w:t>9/25/2025</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25,041</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09/24/35</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9/25/2025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95"/>
              </w:rPr>
              <w:t>9/25/2025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240"/>
              <w:spacing w:after="0" w:line="217" w:lineRule="exact"/>
              <w:rPr>
                <w:sz w:val="20"/>
                <w:szCs w:val="20"/>
                <w:color w:val="auto"/>
              </w:rPr>
            </w:pPr>
            <w:r>
              <w:rPr>
                <w:rFonts w:ascii="Times New Roman" w:cs="Times New Roman" w:eastAsia="Times New Roman" w:hAnsi="Times New Roman"/>
                <w:sz w:val="16"/>
                <w:szCs w:val="16"/>
                <w:color w:val="auto"/>
              </w:rPr>
              <w:t>14,700</w:t>
            </w:r>
            <w:r>
              <w:rPr>
                <w:rFonts w:ascii="Times New Roman" w:cs="Times New Roman" w:eastAsia="Times New Roman" w:hAnsi="Times New Roman"/>
                <w:sz w:val="24"/>
                <w:szCs w:val="24"/>
                <w:color w:val="auto"/>
                <w:vertAlign w:val="superscript"/>
              </w:rPr>
              <w:t>(6)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306,642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Daniel Lochner, M.B.A.</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6/20/2024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5"/>
              </w:rPr>
              <w:t>5/31/2024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46,708</w:t>
            </w:r>
          </w:p>
        </w:tc>
        <w:tc>
          <w:tcPr>
            <w:tcW w:w="240" w:type="dxa"/>
            <w:vAlign w:val="bottom"/>
          </w:tcPr>
          <w:p>
            <w:pPr>
              <w:spacing w:after="0"/>
              <w:rPr>
                <w:sz w:val="16"/>
                <w:szCs w:val="16"/>
                <w:color w:val="auto"/>
              </w:rPr>
            </w:pPr>
          </w:p>
        </w:tc>
        <w:tc>
          <w:tcPr>
            <w:tcW w:w="1220" w:type="dxa"/>
            <w:vAlign w:val="bottom"/>
            <w:gridSpan w:val="2"/>
          </w:tcPr>
          <w:p>
            <w:pPr>
              <w:jc w:val="right"/>
              <w:ind w:right="179"/>
              <w:spacing w:after="0" w:line="189" w:lineRule="exact"/>
              <w:rPr>
                <w:sz w:val="20"/>
                <w:szCs w:val="20"/>
                <w:color w:val="auto"/>
              </w:rPr>
            </w:pPr>
            <w:r>
              <w:rPr>
                <w:rFonts w:ascii="Times New Roman" w:cs="Times New Roman" w:eastAsia="Times New Roman" w:hAnsi="Times New Roman"/>
                <w:sz w:val="14"/>
                <w:szCs w:val="14"/>
                <w:color w:val="auto"/>
              </w:rPr>
              <w:t>71,292</w:t>
            </w:r>
            <w:r>
              <w:rPr>
                <w:rFonts w:ascii="Times New Roman" w:cs="Times New Roman" w:eastAsia="Times New Roman" w:hAnsi="Times New Roman"/>
                <w:sz w:val="21"/>
                <w:szCs w:val="21"/>
                <w:color w:val="auto"/>
                <w:vertAlign w:val="superscript"/>
              </w:rPr>
              <w:t>(3)</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06/19/34</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6/20/2024</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5/31/2024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3"/>
                <w:szCs w:val="23"/>
                <w:color w:val="auto"/>
                <w:vertAlign w:val="superscript"/>
              </w:rPr>
              <w:t>(7)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06/19/34</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2/4/2025</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2/4/2025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6,846</w:t>
            </w:r>
          </w:p>
        </w:tc>
        <w:tc>
          <w:tcPr>
            <w:tcW w:w="240" w:type="dxa"/>
            <w:vAlign w:val="bottom"/>
          </w:tcPr>
          <w:p>
            <w:pPr>
              <w:spacing w:after="0"/>
              <w:rPr>
                <w:sz w:val="17"/>
                <w:szCs w:val="17"/>
                <w:color w:val="auto"/>
              </w:rPr>
            </w:pPr>
          </w:p>
        </w:tc>
        <w:tc>
          <w:tcPr>
            <w:tcW w:w="1220" w:type="dxa"/>
            <w:vAlign w:val="bottom"/>
            <w:gridSpan w:val="2"/>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26,016</w:t>
            </w:r>
            <w:r>
              <w:rPr>
                <w:rFonts w:ascii="Times New Roman" w:cs="Times New Roman" w:eastAsia="Times New Roman" w:hAnsi="Times New Roman"/>
                <w:sz w:val="23"/>
                <w:szCs w:val="23"/>
                <w:color w:val="auto"/>
                <w:vertAlign w:val="superscript"/>
              </w:rPr>
              <w:t>(4)</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48.01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02/03/35</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2/4/2025</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2/4/2025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6"/>
                <w:szCs w:val="16"/>
                <w:color w:val="auto"/>
              </w:rPr>
              <w:t>18,074</w:t>
            </w:r>
            <w:r>
              <w:rPr>
                <w:rFonts w:ascii="Times New Roman" w:cs="Times New Roman" w:eastAsia="Times New Roman" w:hAnsi="Times New Roman"/>
                <w:sz w:val="23"/>
                <w:szCs w:val="23"/>
                <w:color w:val="auto"/>
                <w:vertAlign w:val="superscript"/>
              </w:rPr>
              <w:t>(6)</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9/25/2025</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9/25/2025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240" w:type="dxa"/>
            <w:vAlign w:val="bottom"/>
          </w:tcPr>
          <w:p>
            <w:pPr>
              <w:spacing w:after="0"/>
              <w:rPr>
                <w:sz w:val="17"/>
                <w:szCs w:val="17"/>
                <w:color w:val="auto"/>
              </w:rPr>
            </w:pPr>
          </w:p>
        </w:tc>
        <w:tc>
          <w:tcPr>
            <w:tcW w:w="1220" w:type="dxa"/>
            <w:vAlign w:val="bottom"/>
            <w:gridSpan w:val="2"/>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9,244</w:t>
            </w:r>
            <w:r>
              <w:rPr>
                <w:rFonts w:ascii="Times New Roman" w:cs="Times New Roman" w:eastAsia="Times New Roman" w:hAnsi="Times New Roman"/>
                <w:sz w:val="23"/>
                <w:szCs w:val="23"/>
                <w:color w:val="auto"/>
                <w:vertAlign w:val="superscript"/>
              </w:rPr>
              <w:t>(4)</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09/24/35</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9/25/2025</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9/25/2025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tcPr>
          <w:p>
            <w:pPr>
              <w:jc w:val="right"/>
              <w:ind w:right="240"/>
              <w:spacing w:after="0" w:line="217" w:lineRule="exact"/>
              <w:rPr>
                <w:sz w:val="20"/>
                <w:szCs w:val="20"/>
                <w:color w:val="auto"/>
              </w:rPr>
            </w:pPr>
            <w:r>
              <w:rPr>
                <w:rFonts w:ascii="Times New Roman" w:cs="Times New Roman" w:eastAsia="Times New Roman" w:hAnsi="Times New Roman"/>
                <w:sz w:val="16"/>
                <w:szCs w:val="16"/>
                <w:color w:val="auto"/>
              </w:rPr>
              <w:t>5,430</w:t>
            </w:r>
            <w:r>
              <w:rPr>
                <w:rFonts w:ascii="Times New Roman" w:cs="Times New Roman" w:eastAsia="Times New Roman" w:hAnsi="Times New Roman"/>
                <w:sz w:val="24"/>
                <w:szCs w:val="24"/>
                <w:color w:val="auto"/>
                <w:vertAlign w:val="superscript"/>
              </w:rPr>
              <w:t>(6)</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113,270</w:t>
            </w:r>
          </w:p>
        </w:tc>
        <w:tc>
          <w:tcPr>
            <w:tcW w:w="0" w:type="dxa"/>
            <w:vAlign w:val="bottom"/>
          </w:tcPr>
          <w:p>
            <w:pPr>
              <w:spacing w:after="0"/>
              <w:rPr>
                <w:sz w:val="1"/>
                <w:szCs w:val="1"/>
                <w:color w:val="auto"/>
              </w:rPr>
            </w:pPr>
          </w:p>
        </w:tc>
      </w:tr>
      <w:tr>
        <w:trPr>
          <w:trHeight w:val="188"/>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Marcella K. Ruddy, M.D.</w:t>
            </w: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9/17/2021</w:t>
            </w: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7/19/2021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43,946</w:t>
            </w: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79"/>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0"/>
                <w:szCs w:val="10"/>
                <w:color w:val="auto"/>
              </w:rPr>
              <w:t>(3)</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09/16/31</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12/1/2023</w:t>
            </w: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12/1/2023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9,352</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11/30/33</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6/20/2024</w:t>
            </w: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6/20/2024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30,638</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51,062</w:t>
            </w:r>
            <w:r>
              <w:rPr>
                <w:rFonts w:ascii="Times New Roman" w:cs="Times New Roman" w:eastAsia="Times New Roman" w:hAnsi="Times New Roman"/>
                <w:sz w:val="23"/>
                <w:szCs w:val="23"/>
                <w:color w:val="auto"/>
                <w:vertAlign w:val="superscript"/>
              </w:rPr>
              <w:t>(3)</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16.80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06/19/34</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2/4/2025</w:t>
            </w: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6,771</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25,731</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48.01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02/03/35</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2/4/2025</w:t>
            </w:r>
          </w:p>
        </w:tc>
        <w:tc>
          <w:tcPr>
            <w:tcW w:w="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2/4/2025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6"/>
                <w:szCs w:val="16"/>
                <w:color w:val="auto"/>
              </w:rPr>
              <w:t>17,876</w:t>
            </w:r>
            <w:r>
              <w:rPr>
                <w:rFonts w:ascii="Times New Roman" w:cs="Times New Roman" w:eastAsia="Times New Roman" w:hAnsi="Times New Roman"/>
                <w:sz w:val="23"/>
                <w:szCs w:val="23"/>
                <w:color w:val="auto"/>
                <w:vertAlign w:val="superscript"/>
              </w:rPr>
              <w:t>(6)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372,893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9/25/2025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9/25/2025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16"/>
                <w:szCs w:val="16"/>
                <w:color w:val="auto"/>
              </w:rPr>
              <w:t>9,141</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09/24/35</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9/25/2025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9/25/2025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shd w:val="clear" w:color="auto" w:fill="CCEEFF"/>
          </w:tcPr>
          <w:p>
            <w:pPr>
              <w:jc w:val="right"/>
              <w:ind w:right="240"/>
              <w:spacing w:after="0" w:line="217" w:lineRule="exact"/>
              <w:rPr>
                <w:sz w:val="20"/>
                <w:szCs w:val="20"/>
                <w:color w:val="auto"/>
              </w:rPr>
            </w:pPr>
            <w:r>
              <w:rPr>
                <w:rFonts w:ascii="Times New Roman" w:cs="Times New Roman" w:eastAsia="Times New Roman" w:hAnsi="Times New Roman"/>
                <w:sz w:val="16"/>
                <w:szCs w:val="16"/>
                <w:color w:val="auto"/>
              </w:rPr>
              <w:t>5,370</w:t>
            </w:r>
            <w:r>
              <w:rPr>
                <w:rFonts w:ascii="Times New Roman" w:cs="Times New Roman" w:eastAsia="Times New Roman" w:hAnsi="Times New Roman"/>
                <w:sz w:val="24"/>
                <w:szCs w:val="24"/>
                <w:color w:val="auto"/>
                <w:vertAlign w:val="superscript"/>
              </w:rPr>
              <w:t>(6)</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112,018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40" w:right="100" w:hanging="424"/>
        <w:spacing w:after="0" w:line="269"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equity awards were granted under our Legacy Tectonic’s 2019 Equity Incentive Plan (the “Tectonic 2019 Plan”) or our Tectonic Therapeutic, Inc. 2024 Equity Incentive Plan (the “2024 Plan”).</w:t>
      </w:r>
    </w:p>
    <w:p>
      <w:pPr>
        <w:ind w:left="540" w:hanging="424"/>
        <w:spacing w:after="0" w:line="276"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option awards listed in the table granted prior to the Merger have an exercise price per share that is no less than the fair market value of Legacy Tectonic common stock on the date of grant of such award, as determined in good faith by the Legacy Tectonic Board. All option awards listed in the table granted subsequent to the Merger have an exercise price based on the closing price per share of common stock as reported on the Nasdaq Select Market on the date of grant.</w:t>
      </w:r>
    </w:p>
    <w:p>
      <w:pPr>
        <w:spacing w:after="0" w:line="175" w:lineRule="exact"/>
        <w:rPr>
          <w:rFonts w:ascii="Times New Roman" w:cs="Times New Roman" w:eastAsia="Times New Roman" w:hAnsi="Times New Roman"/>
          <w:sz w:val="16"/>
          <w:szCs w:val="16"/>
          <w:color w:val="auto"/>
        </w:rPr>
      </w:pPr>
    </w:p>
    <w:p>
      <w:pPr>
        <w:ind w:left="540" w:hanging="424"/>
        <w:spacing w:after="0" w:line="264"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this option grant vested or will vest 1/4 on the first anniversary of the vesting commencement date, and thereafter the remaining 3/4 of the shares will vest in equal monthly installments over the following three years, in each case subject to the officer’s continuous service through the applicable vesting dates, such that the options are vested in full on the four-year anniversary of the vesting commencement date.</w:t>
      </w:r>
    </w:p>
    <w:p>
      <w:pPr>
        <w:jc w:val="both"/>
        <w:ind w:left="540" w:right="20" w:hanging="424"/>
        <w:spacing w:after="0" w:line="264"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this option vest in equal monthly installments beginning one month following the vesting commencement date over the following four years, in each case subject to the officer’s continuous service through the applicable vesting dates, such that the options are vested in full on the four-year anniversary of the vesting commencement date.</w:t>
      </w:r>
    </w:p>
    <w:p>
      <w:pPr>
        <w:ind w:left="540" w:right="140" w:hanging="424"/>
        <w:spacing w:after="0" w:line="264"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will vest in four equal installments beginning on June 20, 2025, in each case subject to the officer’s continuous service through the applicable vesting dates, such that the shares are vested in full on the four-year anniversary of the vesting commencement date.</w:t>
      </w:r>
    </w:p>
    <w:p>
      <w:pPr>
        <w:ind w:left="540" w:right="220" w:hanging="424"/>
        <w:spacing w:after="0" w:line="264"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will vest in three equal installments beginning on the first anniversary of the vesting commencement date, in each case subject to the officer’s continuous service through the applicable vesting dates, such that the shares are vested in full on the three-year anniversary of the vesting commencement date.</w:t>
      </w:r>
    </w:p>
    <w:p>
      <w:pPr>
        <w:ind w:left="540" w:hanging="424"/>
        <w:spacing w:after="0" w:line="272" w:lineRule="auto"/>
        <w:tabs>
          <w:tab w:leader="none" w:pos="5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this option grant will vest 1/2 on June 1, 2026 if we raise $100 million by June 1, 2026 and have a minimum of a two year cash runway as of June 1, 2026 (i.e. until June 1, 2029), and 1/2 on June 1, 2029 if we have a minimum of a two year cash runway as of June 1, 2029 (i.e. until June 1, 2030), in each case, as determined by our Board (or the Compensation Committee) in its sole discretion, and in each case subject to the officer’s continued service through the applicable vesting dates.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Employment Arrangements with Our Executive Officers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descriptions of the material terms of our employment agreement and offer letters with our current Named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Alise Reicin, M.D.</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August 2020, Legacy Tectonic entered into an executive employment agreement with Dr. Reicin (the “Reicin Employment Agreement”) in connection with her appointment as Legacy Tectonic’s President and Chief Executive Officer and as a member of the Legacy Tectonic Board. In connection with the Merger, we entered into an amended and restated executive employment agreement with Dr. Reicin. The material terms of the amendment are as follows: (i) Dr. Reicin shall remain President and Chief Executive Officer and shall continue to serve as an executive director to the Board; (ii) an annual base salary of $620,000; (iii) eligibility for an annual, performance-based cash bonus with a target bonus percentage of 55% of Dr. Reicin’s base salary subject to her continuous employment through February 15th of the following calendar year; (iv) following the closing of the Merger, issuance of an option award to purchase our common stock, such that when combined with Dr. Reicin’s prior securities holdings or rights to acquire securities in the combined company, Dr. Reicin will hold or have the right to acquire shares representing at least 4.34% of our post-Merger common stock; and (v) eligibility to participate in our executive severance plan and other employee benefit, welfare and other plans, as may be maintained by us from time to time. In March 2026, our Board increased Dr. Reicin’s salary to $675,000 , with an annual target cash incentive payment of up to 55% of her annual base salary for fiscal year 2026.</w:t>
      </w:r>
    </w:p>
    <w:p>
      <w:pPr>
        <w:spacing w:after="0" w:line="19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employment agreement for Dr. Reicin does not purport to be complete and is subject to and qualified in its entirety by reference to the copy of the amended and restated employment agreement for Dr. Reicin included as an exhibit to our Annual Report on Form 10-K for the year ended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Daniel Lochner, M.B.A</w:t>
      </w:r>
    </w:p>
    <w:p>
      <w:pPr>
        <w:spacing w:after="0" w:line="121" w:lineRule="exact"/>
        <w:rPr>
          <w:sz w:val="20"/>
          <w:szCs w:val="20"/>
          <w:color w:val="auto"/>
        </w:rPr>
      </w:pPr>
    </w:p>
    <w:p>
      <w:pPr>
        <w:ind w:left="120" w:right="240" w:firstLine="440"/>
        <w:spacing w:after="0" w:line="276" w:lineRule="auto"/>
        <w:rPr>
          <w:sz w:val="20"/>
          <w:szCs w:val="20"/>
          <w:color w:val="auto"/>
        </w:rPr>
      </w:pPr>
      <w:r>
        <w:rPr>
          <w:rFonts w:ascii="Times New Roman" w:cs="Times New Roman" w:eastAsia="Times New Roman" w:hAnsi="Times New Roman"/>
          <w:sz w:val="17"/>
          <w:szCs w:val="17"/>
          <w:color w:val="auto"/>
        </w:rPr>
        <w:t>On May 28, 2024, we entered into an employment agreement with Daniel Lochner. The material terms of the employment agreement are as follows: (i) Mr. Lochner shall be employed as Chief Financial Officer of the Company, effective June 3, 2024; (ii) an annual base salary of $475,000;</w:t>
      </w:r>
    </w:p>
    <w:p>
      <w:pPr>
        <w:spacing w:after="0" w:line="1" w:lineRule="exact"/>
        <w:rPr>
          <w:sz w:val="20"/>
          <w:szCs w:val="20"/>
          <w:color w:val="auto"/>
        </w:rPr>
      </w:pPr>
    </w:p>
    <w:p>
      <w:pPr>
        <w:ind w:left="120" w:right="220" w:hanging="4"/>
        <w:spacing w:after="0" w:line="265" w:lineRule="auto"/>
        <w:tabs>
          <w:tab w:leader="none" w:pos="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eligibility for an annual, performance-based cash bonus with a target bonus percentage of 40% of Mr. Lochner’s base salary subject to his continuous service through the payment of the bonus set to occur no later than April 13th the following calendar year; (iv) an issuance of an option award to purchase shares of common stock of the Company, representing 0.80% of the Company’s post-Merger outstanding shares of common stock;</w:t>
      </w:r>
    </w:p>
    <w:p>
      <w:pPr>
        <w:ind w:left="120" w:hanging="4"/>
        <w:spacing w:after="0" w:line="253"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performance-based equity award to purchase a number of shares of common stock equal to 0.10% of the combined Company’s post- merger outstanding shares of common stock; and (vi) eligibility to participate in the Company’s executive severance plan and other employee benefit, welfare and other plans, as may be maintained by the Company from time to time. In March 2026, our Compensation Committee increased Mr. Lochner’s salary to $509,000.</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employment agreement for Mr. Lochner does not purport to be complete and is subject to and qualified in its entirety by reference to the copy of the offer letter for Mr. Lochner included as an exhibit to our Annual Report on Form 10-K for the year ended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Marcella K. Ruddy, M.D.</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June 2021, Legacy Tectonic entered into an offer letter with Dr. Ruddy (the “Ruddy Offer Letter”) in connection with her appointment as Legacy Tectonic’s Chief Medical Officer. The material terms of the offer letter are as follows: (i) Dr. Ruddy shall be employed as Chief Medical Officer of the Company; (ii) an annual base salary of $486,850; (iii) eligibility for an annual, performance-based cash bonus with a target bonus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percentage of 40% of Dr. Ruddy’s base salary subject to her continuous service through the payment of the bonus set to occur no later than April 13th the following calendar year; (iv) an option to purchase 142,233 shares of Tectonic common stock pursuant to the terms of Legacy Tectonic’s 2019 Equity Incentive Plan (the “Tectonic 2019 Plan”); and (v) eligibility to participate in the Company’s executive severance plan and other employee benefit, welfare and other plans, as may be maintained by the Company from time to time. In March 2026, our Compensation Committee increased Dr. Ruddy’s salary to $522,000.</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above description of the offer letter for Dr. Ruddy does not purport to be complete and is subject to and qualified in its entirety by reference to the copy of the offer letter for Dr. Ruddy included as an exhibit to our Annual Report on Form 10-K for the year ended December 31, 2025.</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a Termination or Change in Control</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Merger, our Board adopted the Severance Plan pursuant to which certain employees are eligible to participate, including the Named Executive Officers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full text of the Severance Plan.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22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These payments and benefits discussed above are in addition to eligibility to participate in benefits available generally to salaried employees, including medical, vision, dental, and life insurance plans, in each case on the same basis as all of our other employees. We generally do not provide perquisites or personal benefits to our Named Executive Officers, except in limited circumstances.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maintains a tax-qualified 401(k) retirement plan that provides eligible U.S. employees with an opportunity to save for retirement on a tax-advantaged basis. Pursuant to the terms of such 401(k) plan, the Company makes a 3% mandatory contribution under and pursuant to the terms of the plan and applicable law. The Company does not maintain any defined benefit pension plan or nonqualified deferred compensation plan.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Board adopted the 2024 Equity Incentive Plan (the “2024 Plan”) in connection with and effective as of the closing of the Merger, which provides for the grant of nonstatutory stock options, (“NSOs”) stock appreciation rights, restricted stock awards, restricted stock unit awards, performance awards and other forms of awards to employees, directors and consultants, including employees and consultants of our affiliates. Initially, the maximum number of shares of common stock that may be issued under the 2024 Plan will not exceed 12.5% of the Company’s fully diluted shares outstanding determined as of immediately after the Effective Time (the “2024 Plan’s initial share reserve”). In addition, the number of shares of common stock reserved for issuance under the 2024 Plan will automatically increase on January 1 of each year, starting on January 1, 2025, through and including January 1, 2034, in an amount equal to (1) 5% of the total number of shares of common stock outstanding on the last day of the preceding calendar year, or (2) a lesser number of shares of common stock determined by the Board prior to the date of the increase. The maximum number of shares of common stock that may be issued on the exercise of ISOs under the 2024 Plan is three multiplied by the 2024 Plan’s initial share reserve.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the 2024 Employee Stock Purchase Plan (the “2024 ESPP”) in connection with the Merger pursuant to which the Company may provide eligible employees with an opportunity to purchase shares of the common stock through accumulated contributions. The 2024 ESPP is designed to allow eligible U.S. employees to purchase common stock in a manner that may qualify for favorable tax treatment under Section 423 of the Code.</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2024 ESPP authorizes the issuance of a number of shares of common stock equal to 1% of the total number of shares of common stock issued and outstanding determined as of immediately after the effective time of the Merger (the “2024 ESPP’s initial share reserve”), pursuant to purchase rights granted to the Company’s employees or to employees of any of the Company’s designated affiliates. The number of shares of common stock reserved for issuance will automatically increase on January 1 of each year, from January 1, 2025 through and including January 1, 2034, by the lesser of (1) 1% of the total number of shares of common stock outstanding on the last day of the preceding calendar year, and (2) a number of shares of common stock equal to three times the 2024 ESPP’s initial share reserve; provided, that prior to the date of any such increase, the Board may determine that such increase will be less than the amount set forth in clauses (1) and (2). To date the Company has not made any offerings under the 2024 ESPP.</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Equity Incentive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Legacy Tectonic Board adopted the Tectonic 2019 Plan and Legacy Tectonic stockholders approved the Tectonic 2019 Plan in June 2019. No additional awards have been made under the Tectonic 2019 Plan after the 2024 Plan became effective, and all awards under the Tectonic 2019 Plan were assumed by the Company after application of the exchange ratio. The terms and conditions of such assumed awards are the same as they were under the Tectonic 2019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us or a subsidiary of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policy covers any cash or equity-based incentive compensation award that was paid, earned, or granted to a covered officer during the last completed three fiscal years immediately preceding the date on which we are required to prepare the accounting restatement.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pay.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Tabular Disclosure of Pay Versus Performance</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for Named Executive Officers” have been calculated in a manner consistent with Item 402(v) of Regulation S-K.</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Use of the term “compensation actually paid” (“CAP”) is required by the SEC’s rules and as a result of the calculation methodology required by the SEC, such amounts differ from compensation actually received by the individuals.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First</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 First</w:t>
            </w:r>
          </w:p>
        </w:tc>
        <w:tc>
          <w:tcPr>
            <w:tcW w:w="120" w:type="dxa"/>
            <w:vAlign w:val="bottom"/>
          </w:tcPr>
          <w:p>
            <w:pPr>
              <w:spacing w:after="0"/>
              <w:rPr>
                <w:sz w:val="12"/>
                <w:szCs w:val="12"/>
                <w:color w:val="auto"/>
              </w:rPr>
            </w:pPr>
          </w:p>
        </w:tc>
        <w:tc>
          <w:tcPr>
            <w:tcW w:w="13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800" w:type="dxa"/>
            <w:vAlign w:val="bottom"/>
            <w:vMerge w:val="restart"/>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8"/>
                <w:szCs w:val="8"/>
                <w:b w:val="1"/>
                <w:bCs w:val="1"/>
                <w:color w:val="auto"/>
              </w:rPr>
              <w:t>(1)(2)</w:t>
            </w: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Second</w:t>
            </w: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8"/>
                <w:szCs w:val="8"/>
                <w:b w:val="1"/>
                <w:bCs w:val="1"/>
                <w:color w:val="auto"/>
              </w:rPr>
              <w:t>(1)(3)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to Second</w:t>
            </w: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Officers</w:t>
            </w:r>
            <w:r>
              <w:rPr>
                <w:rFonts w:ascii="Times New Roman" w:cs="Times New Roman" w:eastAsia="Times New Roman" w:hAnsi="Times New Roman"/>
                <w:sz w:val="8"/>
                <w:szCs w:val="8"/>
                <w:b w:val="1"/>
                <w:bCs w:val="1"/>
                <w:color w:val="auto"/>
              </w:rPr>
              <w:t>(1)(2)</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Officers</w:t>
            </w:r>
            <w:r>
              <w:rPr>
                <w:rFonts w:ascii="Times New Roman" w:cs="Times New Roman" w:eastAsia="Times New Roman" w:hAnsi="Times New Roman"/>
                <w:sz w:val="8"/>
                <w:szCs w:val="8"/>
                <w:b w:val="1"/>
                <w:bCs w:val="1"/>
                <w:color w:val="auto"/>
              </w:rPr>
              <w:t>(1)(3)</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8"/>
                <w:szCs w:val="8"/>
                <w:b w:val="1"/>
                <w:bCs w:val="1"/>
                <w:color w:val="auto"/>
              </w:rPr>
              <w:t>(4)</w:t>
            </w:r>
          </w:p>
        </w:tc>
        <w:tc>
          <w:tcPr>
            <w:tcW w:w="1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r>
              <w:rPr>
                <w:rFonts w:ascii="Times New Roman" w:cs="Times New Roman" w:eastAsia="Times New Roman" w:hAnsi="Times New Roman"/>
                <w:sz w:val="8"/>
                <w:szCs w:val="8"/>
                <w:b w:val="1"/>
                <w:bCs w:val="1"/>
                <w:color w:val="auto"/>
              </w:rPr>
              <w:t>(5)</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0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8"/>
                <w:szCs w:val="8"/>
                <w:b w:val="1"/>
                <w:bCs w:val="1"/>
                <w:color w:val="auto"/>
              </w:rPr>
              <w:t>(1)(2)</w:t>
            </w:r>
          </w:p>
        </w:tc>
        <w:tc>
          <w:tcPr>
            <w:tcW w:w="1020" w:type="dxa"/>
            <w:vAlign w:val="bottom"/>
            <w:gridSpan w:val="2"/>
          </w:tcPr>
          <w:p>
            <w:pPr>
              <w:jc w:val="center"/>
              <w:ind w:left="3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PEO</w:t>
            </w:r>
            <w:r>
              <w:rPr>
                <w:rFonts w:ascii="Times New Roman" w:cs="Times New Roman" w:eastAsia="Times New Roman" w:hAnsi="Times New Roman"/>
                <w:sz w:val="8"/>
                <w:szCs w:val="8"/>
                <w:b w:val="1"/>
                <w:bCs w:val="1"/>
                <w:color w:val="auto"/>
              </w:rPr>
              <w:t>(1)(3)</w:t>
            </w:r>
          </w:p>
        </w:tc>
        <w:tc>
          <w:tcPr>
            <w:tcW w:w="100" w:type="dxa"/>
            <w:vAlign w:val="bottom"/>
          </w:tcPr>
          <w:p>
            <w:pPr>
              <w:spacing w:after="0"/>
              <w:rPr>
                <w:sz w:val="15"/>
                <w:szCs w:val="15"/>
                <w:color w:val="auto"/>
              </w:rPr>
            </w:pPr>
          </w:p>
        </w:tc>
        <w:tc>
          <w:tcPr>
            <w:tcW w:w="80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21"/>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$ 7,351,578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4,409,638)</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3,085,372</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0"/>
              </w:rPr>
              <w:t>($ 1,128,512)</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243.84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($ 74,151)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$ 1,093,258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$5,900,979</w:t>
            </w:r>
          </w:p>
        </w:tc>
        <w:tc>
          <w:tcPr>
            <w:tcW w:w="1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956,456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$16,248,199</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2,062,450</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$ 5,785,002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539.70</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($ 57,982)</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$ 1,590,892</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$ 1,905,484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1,111,951</w:t>
            </w:r>
          </w:p>
        </w:tc>
        <w:tc>
          <w:tcPr>
            <w:tcW w:w="118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rPr>
              <w:t>$ 1,405,801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190.77</w:t>
            </w:r>
          </w:p>
        </w:tc>
        <w:tc>
          <w:tcPr>
            <w:tcW w:w="9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($ 42,823)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are our PEO and other non-PEO Named Executive Officers for each fiscal year:</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0" w:type="dxa"/>
            <w:vAlign w:val="bottom"/>
          </w:tcPr>
          <w:p>
            <w:pPr>
              <w:spacing w:after="0"/>
              <w:rPr>
                <w:sz w:val="1"/>
                <w:szCs w:val="1"/>
                <w:color w:val="auto"/>
              </w:rPr>
            </w:pPr>
          </w:p>
        </w:tc>
      </w:tr>
      <w:tr>
        <w:trPr>
          <w:trHeight w:val="149"/>
        </w:trPr>
        <w:tc>
          <w:tcPr>
            <w:tcW w:w="300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7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First PEO</w:t>
            </w:r>
          </w:p>
        </w:tc>
        <w:tc>
          <w:tcPr>
            <w:tcW w:w="220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Second PEO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Named Executive</w:t>
            </w:r>
          </w:p>
        </w:tc>
        <w:tc>
          <w:tcPr>
            <w:tcW w:w="0" w:type="dxa"/>
            <w:vAlign w:val="bottom"/>
          </w:tcPr>
          <w:p>
            <w:pPr>
              <w:spacing w:after="0"/>
              <w:rPr>
                <w:sz w:val="1"/>
                <w:szCs w:val="1"/>
                <w:color w:val="auto"/>
              </w:rPr>
            </w:pPr>
          </w:p>
        </w:tc>
      </w:tr>
      <w:tr>
        <w:trPr>
          <w:trHeight w:val="193"/>
        </w:trPr>
        <w:tc>
          <w:tcPr>
            <w:tcW w:w="3000" w:type="dxa"/>
            <w:vAlign w:val="bottom"/>
            <w:gridSpan w:val="3"/>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2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0" w:type="dxa"/>
            <w:vAlign w:val="bottom"/>
          </w:tcPr>
          <w:p>
            <w:pPr>
              <w:spacing w:after="0"/>
              <w:rPr>
                <w:sz w:val="1"/>
                <w:szCs w:val="1"/>
                <w:color w:val="auto"/>
              </w:rPr>
            </w:pPr>
          </w:p>
        </w:tc>
      </w:tr>
      <w:tr>
        <w:trPr>
          <w:trHeight w:val="185"/>
        </w:trPr>
        <w:tc>
          <w:tcPr>
            <w:tcW w:w="1300" w:type="dxa"/>
            <w:vAlign w:val="bottom"/>
            <w:tcBorders>
              <w:top w:val="single" w:sz="8" w:color="CCEEFF"/>
            </w:tcBorders>
            <w:shd w:val="clear" w:color="auto" w:fill="CCEEFF"/>
          </w:tcPr>
          <w:p>
            <w:pPr>
              <w:jc w:val="right"/>
              <w:ind w:right="855"/>
              <w:spacing w:after="0" w:line="185" w:lineRule="exact"/>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ind w:left="2360"/>
              <w:spacing w:after="0" w:line="185" w:lineRule="exact"/>
              <w:rPr>
                <w:sz w:val="20"/>
                <w:szCs w:val="20"/>
                <w:color w:val="auto"/>
              </w:rPr>
            </w:pPr>
            <w:r>
              <w:rPr>
                <w:rFonts w:ascii="Times New Roman" w:cs="Times New Roman" w:eastAsia="Times New Roman" w:hAnsi="Times New Roman"/>
                <w:sz w:val="18"/>
                <w:szCs w:val="18"/>
                <w:color w:val="auto"/>
                <w:w w:val="96"/>
              </w:rPr>
              <w:t>— </w:t>
            </w:r>
          </w:p>
        </w:tc>
        <w:tc>
          <w:tcPr>
            <w:tcW w:w="10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Alise Reicin, M.D.</w:t>
            </w: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Daniel Lochner and</w:t>
            </w: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Marcella K. Ruddy, M.D.</w:t>
            </w:r>
          </w:p>
        </w:tc>
        <w:tc>
          <w:tcPr>
            <w:tcW w:w="0" w:type="dxa"/>
            <w:vAlign w:val="bottom"/>
          </w:tcPr>
          <w:p>
            <w:pPr>
              <w:spacing w:after="0"/>
              <w:rPr>
                <w:sz w:val="1"/>
                <w:szCs w:val="1"/>
                <w:color w:val="auto"/>
              </w:rPr>
            </w:pPr>
          </w:p>
        </w:tc>
      </w:tr>
      <w:tr>
        <w:trPr>
          <w:trHeight w:val="198"/>
        </w:trPr>
        <w:tc>
          <w:tcPr>
            <w:tcW w:w="1300" w:type="dxa"/>
            <w:vAlign w:val="bottom"/>
          </w:tcPr>
          <w:p>
            <w:pPr>
              <w:jc w:val="right"/>
              <w:ind w:right="855"/>
              <w:spacing w:after="0" w:line="198" w:lineRule="exact"/>
              <w:rPr>
                <w:sz w:val="20"/>
                <w:szCs w:val="20"/>
                <w:color w:val="auto"/>
              </w:rPr>
            </w:pPr>
            <w:r>
              <w:rPr>
                <w:rFonts w:ascii="Times New Roman" w:cs="Times New Roman" w:eastAsia="Times New Roman" w:hAnsi="Times New Roman"/>
                <w:sz w:val="18"/>
                <w:szCs w:val="18"/>
                <w:color w:val="auto"/>
                <w:w w:val="94"/>
              </w:rPr>
              <w:t>2024</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Erik Ostrowski (through June 20,</w:t>
            </w:r>
          </w:p>
        </w:tc>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Alise Reicin, M.D. (starting</w:t>
            </w:r>
          </w:p>
        </w:tc>
        <w:tc>
          <w:tcPr>
            <w:tcW w:w="440" w:type="dxa"/>
            <w:vAlign w:val="bottom"/>
          </w:tcPr>
          <w:p>
            <w:pPr>
              <w:spacing w:after="0"/>
              <w:rPr>
                <w:sz w:val="17"/>
                <w:szCs w:val="17"/>
                <w:color w:val="auto"/>
              </w:rPr>
            </w:pPr>
          </w:p>
        </w:tc>
        <w:tc>
          <w:tcPr>
            <w:tcW w:w="26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Daniel Lochner and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June 20, 2024)</w:t>
            </w:r>
          </w:p>
        </w:tc>
        <w:tc>
          <w:tcPr>
            <w:tcW w:w="4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Marcella K. Ruddy, M.D.</w:t>
            </w:r>
          </w:p>
        </w:tc>
        <w:tc>
          <w:tcPr>
            <w:tcW w:w="0" w:type="dxa"/>
            <w:vAlign w:val="bottom"/>
          </w:tcPr>
          <w:p>
            <w:pPr>
              <w:spacing w:after="0"/>
              <w:rPr>
                <w:sz w:val="1"/>
                <w:szCs w:val="1"/>
                <w:color w:val="auto"/>
              </w:rPr>
            </w:pPr>
          </w:p>
        </w:tc>
      </w:tr>
      <w:tr>
        <w:trPr>
          <w:trHeight w:val="198"/>
        </w:trPr>
        <w:tc>
          <w:tcPr>
            <w:tcW w:w="1300" w:type="dxa"/>
            <w:vAlign w:val="bottom"/>
            <w:shd w:val="clear" w:color="auto" w:fill="CCEEFF"/>
          </w:tcPr>
          <w:p>
            <w:pPr>
              <w:jc w:val="right"/>
              <w:ind w:right="855"/>
              <w:spacing w:after="0" w:line="198" w:lineRule="exact"/>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Erik Ostrowski</w:t>
            </w:r>
          </w:p>
        </w:tc>
        <w:tc>
          <w:tcPr>
            <w:tcW w:w="2200" w:type="dxa"/>
            <w:vAlign w:val="bottom"/>
            <w:shd w:val="clear" w:color="auto" w:fill="CCEEFF"/>
          </w:tcPr>
          <w:p>
            <w:pPr>
              <w:spacing w:after="0"/>
              <w:rPr>
                <w:sz w:val="17"/>
                <w:szCs w:val="17"/>
                <w:color w:val="auto"/>
              </w:rPr>
            </w:pPr>
          </w:p>
        </w:tc>
        <w:tc>
          <w:tcPr>
            <w:tcW w:w="308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—   Geoff MacKay, Azadeh Golipour,</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Ph.D. and Essra</w:t>
            </w:r>
          </w:p>
        </w:tc>
        <w:tc>
          <w:tcPr>
            <w:tcW w:w="0" w:type="dxa"/>
            <w:vAlign w:val="bottom"/>
          </w:tcPr>
          <w:p>
            <w:pPr>
              <w:spacing w:after="0"/>
              <w:rPr>
                <w:sz w:val="1"/>
                <w:szCs w:val="1"/>
                <w:color w:val="auto"/>
              </w:rPr>
            </w:pPr>
          </w:p>
        </w:tc>
      </w:tr>
      <w:tr>
        <w:trPr>
          <w:trHeight w:val="234"/>
        </w:trPr>
        <w:tc>
          <w:tcPr>
            <w:tcW w:w="1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Ridha, M.D., MRCP, FFPM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28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total compensation reported for our Principal Executive Officers (“PEO”) and the average total compensation for our non-PEO Named Executive Officers for each corresponding year in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column of the Summary Compensation Table. Refer to “Executive Compensation—Summary Compensation Table.”</w:t>
      </w:r>
    </w:p>
    <w:p>
      <w:pPr>
        <w:spacing w:after="0" w:line="27" w:lineRule="exact"/>
        <w:rPr>
          <w:sz w:val="20"/>
          <w:szCs w:val="20"/>
          <w:color w:val="auto"/>
        </w:rPr>
      </w:pPr>
    </w:p>
    <w:p>
      <w:pPr>
        <w:ind w:left="540" w:right="220" w:hanging="424"/>
        <w:spacing w:after="0" w:line="253"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CAP to our PEOs and the average amount of CAP to our Non-PEO Named Executive Officers, respectively, as computed in accordance with Item 402(v) of Regulation S-K. The dollar amounts do not reflect the actual amount of compensation earned by or paid to our Named Executive Officers during the applicable year. In accordance with the requirements of Item 402(v) of Regulation S-K, the following adjustments were made to the reported total compensation for each year to determine the CAP:</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Add: Change</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Add: Change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in Fair Value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78"/>
              </w:rPr>
              <w:t>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5"/>
              </w:rPr>
              <w:t>Add: Fair</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9"/>
              </w:rPr>
              <w:t>from the end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Fair Value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Value at</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7"/>
              </w:rPr>
              <w:t>of the Prior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from</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3"/>
                <w:szCs w:val="13"/>
                <w:color w:val="auto"/>
                <w:w w:val="97"/>
              </w:rPr>
              <w:t>Deduct: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8"/>
              </w:rPr>
              <w:t>FY to the end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9"/>
              </w:rPr>
              <w:t>the end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3"/>
                <w:szCs w:val="13"/>
                <w:color w:val="auto"/>
                <w:w w:val="95"/>
              </w:rPr>
              <w:t>Fair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FY</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9"/>
              </w:rPr>
              <w:t>of the</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2"/>
              </w:rPr>
              <w:t>Add:</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2"/>
              </w:rPr>
              <w:t>Prior</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Value at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End of</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4"/>
              </w:rPr>
              <w:t>Applicable</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3"/>
              </w:rPr>
              <w:t>Vesting</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3"/>
              </w:rPr>
              <w:t>FY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3"/>
                <w:szCs w:val="13"/>
                <w:color w:val="auto"/>
                <w:w w:val="92"/>
              </w:rPr>
              <w:t>Prior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Deduct: Grant</w:t>
            </w: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3"/>
              </w:rPr>
              <w:t>Awards</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FY</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8"/>
              </w:rPr>
              <w:t>Date Fair</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88"/>
              </w:rPr>
              <w:t>Vesting</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Year End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Date Fair</w:t>
            </w: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5"/>
              </w:rPr>
              <w:t>Granted</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1"/>
              </w:rPr>
              <w:t>of Awards</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2"/>
              </w:rPr>
              <w:t>Value of</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Date Fair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3"/>
                <w:szCs w:val="13"/>
                <w:color w:val="auto"/>
                <w:w w:val="91"/>
              </w:rPr>
              <w:t>of</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3"/>
              </w:rPr>
              <w:t>Value of the</w:t>
            </w: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rPr>
              <w:t>during</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rPr>
              <w:t>Granted</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3"/>
              </w:rPr>
              <w:t>Awards</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Value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3"/>
                <w:szCs w:val="13"/>
                <w:color w:val="auto"/>
                <w:w w:val="93"/>
              </w:rPr>
              <w:t>Awards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“Stock</w:t>
            </w: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8"/>
              </w:rPr>
              <w:t>during Prior</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Granted</w:t>
            </w:r>
          </w:p>
        </w:tc>
        <w:tc>
          <w:tcPr>
            <w:tcW w:w="8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3"/>
              </w:rPr>
              <w:t>Awards</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Granted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3"/>
              </w:rPr>
              <w:t>Awards” and</w:t>
            </w: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FY</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7"/>
              </w:rPr>
              <w:t>FY that were</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4"/>
              </w:rPr>
              <w:t>during</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Granted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3"/>
                <w:szCs w:val="13"/>
                <w:color w:val="auto"/>
                <w:w w:val="94"/>
              </w:rPr>
              <w:t>during</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Summary</w:t>
            </w: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5"/>
              </w:rPr>
              <w:t>“Option</w:t>
            </w: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that Remain</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7"/>
              </w:rPr>
              <w:t>Outstanding</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4"/>
              </w:rPr>
              <w:t>during Prior</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Prior FY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Compensation</w:t>
            </w: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5"/>
              </w:rPr>
              <w:t>Awards”</w:t>
            </w: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Unvested as</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8"/>
              </w:rPr>
              <w:t>and Unvested</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FY that</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FY</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that were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4"/>
              </w:rPr>
              <w:t>Table</w:t>
            </w:r>
          </w:p>
        </w:tc>
        <w:tc>
          <w:tcPr>
            <w:tcW w:w="6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6"/>
              </w:rPr>
              <w:t>Columns in</w:t>
            </w:r>
          </w:p>
        </w:tc>
        <w:tc>
          <w:tcPr>
            <w:tcW w:w="7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1"/>
              </w:rPr>
              <w:t>of</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as of</w:t>
            </w: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4"/>
              </w:rPr>
              <w:t>Vested</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that Vested</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Forfeited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rPr>
              <w:t>Named</w:t>
            </w: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(“SCT”)</w:t>
            </w: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the SCT for</w:t>
            </w: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4"/>
              </w:rPr>
              <w:t>Applicable</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During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3"/>
                <w:szCs w:val="13"/>
                <w:color w:val="auto"/>
                <w:w w:val="94"/>
              </w:rPr>
              <w:t>during</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86"/>
              </w:rPr>
              <w:t>Year</w:t>
            </w:r>
          </w:p>
        </w:tc>
        <w:tc>
          <w:tcPr>
            <w:tcW w:w="164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Executive</w:t>
            </w: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6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7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6"/>
              </w:rPr>
              <w:t>FY</w:t>
            </w:r>
          </w:p>
        </w:tc>
        <w:tc>
          <w:tcPr>
            <w:tcW w:w="8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FY</w:t>
            </w:r>
          </w:p>
        </w:tc>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Applicable</w:t>
            </w:r>
          </w:p>
        </w:tc>
        <w:tc>
          <w:tcPr>
            <w:tcW w:w="140" w:type="dxa"/>
            <w:vAlign w:val="bottom"/>
          </w:tcPr>
          <w:p>
            <w:pPr>
              <w:spacing w:after="0"/>
              <w:rPr>
                <w:sz w:val="11"/>
                <w:szCs w:val="11"/>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CAP</w:t>
            </w:r>
          </w:p>
        </w:tc>
        <w:tc>
          <w:tcPr>
            <w:tcW w:w="0" w:type="dxa"/>
            <w:vAlign w:val="bottom"/>
          </w:tcPr>
          <w:p>
            <w:pPr>
              <w:spacing w:after="0"/>
              <w:rPr>
                <w:sz w:val="1"/>
                <w:szCs w:val="1"/>
                <w:color w:val="auto"/>
              </w:rPr>
            </w:pPr>
          </w:p>
        </w:tc>
      </w:tr>
      <w:tr>
        <w:trPr>
          <w:trHeight w:val="118"/>
        </w:trPr>
        <w:tc>
          <w:tcPr>
            <w:tcW w:w="1520" w:type="dxa"/>
            <w:vAlign w:val="bottom"/>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640" w:type="dxa"/>
            <w:vAlign w:val="bottom"/>
          </w:tcPr>
          <w:p>
            <w:pPr>
              <w:spacing w:after="0"/>
              <w:rPr>
                <w:sz w:val="9"/>
                <w:szCs w:val="9"/>
                <w:color w:val="auto"/>
              </w:rPr>
            </w:pPr>
          </w:p>
        </w:tc>
        <w:tc>
          <w:tcPr>
            <w:tcW w:w="7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2"/>
                <w:szCs w:val="12"/>
                <w:color w:val="auto"/>
              </w:rPr>
              <w:t>Officers</w:t>
            </w:r>
          </w:p>
        </w:tc>
        <w:tc>
          <w:tcPr>
            <w:tcW w:w="82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color w:val="auto"/>
              </w:rPr>
              <w:t>Compensation</w:t>
            </w:r>
          </w:p>
        </w:tc>
        <w:tc>
          <w:tcPr>
            <w:tcW w:w="60" w:type="dxa"/>
            <w:vAlign w:val="bottom"/>
          </w:tcPr>
          <w:p>
            <w:pPr>
              <w:spacing w:after="0"/>
              <w:rPr>
                <w:sz w:val="9"/>
                <w:szCs w:val="9"/>
                <w:color w:val="auto"/>
              </w:rPr>
            </w:pPr>
          </w:p>
        </w:tc>
        <w:tc>
          <w:tcPr>
            <w:tcW w:w="96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color w:val="auto"/>
              </w:rPr>
              <w:t>FY*</w:t>
            </w:r>
          </w:p>
        </w:tc>
        <w:tc>
          <w:tcPr>
            <w:tcW w:w="78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2"/>
                <w:szCs w:val="12"/>
                <w:color w:val="auto"/>
              </w:rPr>
              <w:t>End*</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2"/>
                <w:szCs w:val="12"/>
                <w:color w:val="auto"/>
              </w:rPr>
              <w:t>End*</w:t>
            </w:r>
          </w:p>
        </w:tc>
        <w:tc>
          <w:tcPr>
            <w:tcW w:w="720" w:type="dxa"/>
            <w:vAlign w:val="bottom"/>
            <w:gridSpan w:val="2"/>
          </w:tcPr>
          <w:p>
            <w:pPr>
              <w:jc w:val="center"/>
              <w:ind w:right="140"/>
              <w:spacing w:after="0" w:line="106" w:lineRule="exact"/>
              <w:rPr>
                <w:sz w:val="20"/>
                <w:szCs w:val="20"/>
                <w:color w:val="auto"/>
              </w:rPr>
            </w:pPr>
            <w:r>
              <w:rPr>
                <w:rFonts w:ascii="Times New Roman" w:cs="Times New Roman" w:eastAsia="Times New Roman" w:hAnsi="Times New Roman"/>
                <w:sz w:val="12"/>
                <w:szCs w:val="12"/>
                <w:color w:val="auto"/>
              </w:rPr>
              <w:t>FY*</w:t>
            </w:r>
          </w:p>
        </w:tc>
        <w:tc>
          <w:tcPr>
            <w:tcW w:w="88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2"/>
                <w:szCs w:val="12"/>
                <w:color w:val="auto"/>
              </w:rPr>
              <w:t>FY*</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35"/>
              <w:spacing w:after="0" w:line="106" w:lineRule="exact"/>
              <w:rPr>
                <w:sz w:val="20"/>
                <w:szCs w:val="20"/>
                <w:color w:val="auto"/>
              </w:rPr>
            </w:pPr>
            <w:r>
              <w:rPr>
                <w:rFonts w:ascii="Times New Roman" w:cs="Times New Roman" w:eastAsia="Times New Roman" w:hAnsi="Times New Roman"/>
                <w:sz w:val="12"/>
                <w:szCs w:val="12"/>
                <w:color w:val="auto"/>
              </w:rPr>
              <w:t>FY*</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1520" w:type="dxa"/>
            <w:vAlign w:val="bottom"/>
            <w:shd w:val="clear" w:color="auto" w:fill="CCEEFF"/>
          </w:tcPr>
          <w:p>
            <w:pPr>
              <w:jc w:val="right"/>
              <w:ind w:right="1144"/>
              <w:spacing w:after="0" w:line="138" w:lineRule="exact"/>
              <w:rPr>
                <w:sz w:val="20"/>
                <w:szCs w:val="20"/>
                <w:color w:val="auto"/>
              </w:rPr>
            </w:pPr>
            <w:r>
              <w:rPr>
                <w:rFonts w:ascii="Times New Roman" w:cs="Times New Roman" w:eastAsia="Times New Roman" w:hAnsi="Times New Roman"/>
                <w:sz w:val="15"/>
                <w:szCs w:val="15"/>
                <w:color w:val="auto"/>
                <w:w w:val="93"/>
              </w:rPr>
              <w:t>2025</w:t>
            </w:r>
          </w:p>
        </w:tc>
        <w:tc>
          <w:tcPr>
            <w:tcW w:w="2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Second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($ 4,409,638)</w:t>
            </w:r>
          </w:p>
        </w:tc>
        <w:tc>
          <w:tcPr>
            <w:tcW w:w="0" w:type="dxa"/>
            <w:vAlign w:val="bottom"/>
          </w:tcPr>
          <w:p>
            <w:pPr>
              <w:spacing w:after="0"/>
              <w:rPr>
                <w:sz w:val="1"/>
                <w:szCs w:val="1"/>
                <w:color w:val="auto"/>
              </w:rPr>
            </w:pPr>
          </w:p>
        </w:tc>
      </w:tr>
      <w:tr>
        <w:trPr>
          <w:trHeight w:val="179"/>
        </w:trPr>
        <w:tc>
          <w:tcPr>
            <w:tcW w:w="1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PEO</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$ 7,351,578</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($ 6,320,470)</w:t>
            </w:r>
          </w:p>
        </w:tc>
        <w:tc>
          <w:tcPr>
            <w:tcW w:w="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$2,840,810</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($ 5,326,514)</w:t>
            </w:r>
          </w:p>
        </w:tc>
        <w:tc>
          <w:tcPr>
            <w:tcW w:w="7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$366,400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95"/>
              </w:rPr>
              <w:t>($ 3,321,442)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w w:val="97"/>
              </w:rPr>
              <w:t>— </w:t>
            </w:r>
          </w:p>
        </w:tc>
        <w:tc>
          <w:tcPr>
            <w:tcW w:w="10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Average</w:t>
            </w:r>
          </w:p>
        </w:tc>
        <w:tc>
          <w:tcPr>
            <w:tcW w:w="82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5"/>
                <w:szCs w:val="15"/>
                <w:color w:val="auto"/>
              </w:rPr>
              <w:t>$ 3,085,372</w:t>
            </w:r>
          </w:p>
        </w:tc>
        <w:tc>
          <w:tcPr>
            <w:tcW w:w="1020" w:type="dxa"/>
            <w:vAlign w:val="bottom"/>
            <w:gridSpan w:val="3"/>
          </w:tcPr>
          <w:p>
            <w:pPr>
              <w:jc w:val="right"/>
              <w:ind w:right="140"/>
              <w:spacing w:after="0" w:line="145" w:lineRule="exact"/>
              <w:rPr>
                <w:sz w:val="20"/>
                <w:szCs w:val="20"/>
                <w:color w:val="auto"/>
              </w:rPr>
            </w:pPr>
            <w:r>
              <w:rPr>
                <w:rFonts w:ascii="Times New Roman" w:cs="Times New Roman" w:eastAsia="Times New Roman" w:hAnsi="Times New Roman"/>
                <w:sz w:val="15"/>
                <w:szCs w:val="15"/>
                <w:color w:val="auto"/>
              </w:rPr>
              <w:t>($ 2,359,391)</w:t>
            </w:r>
          </w:p>
        </w:tc>
        <w:tc>
          <w:tcPr>
            <w:tcW w:w="7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5"/>
                <w:szCs w:val="15"/>
                <w:color w:val="auto"/>
              </w:rPr>
              <w:t>$1,079,391</w:t>
            </w:r>
          </w:p>
        </w:tc>
        <w:tc>
          <w:tcPr>
            <w:tcW w:w="104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5"/>
                <w:szCs w:val="15"/>
                <w:color w:val="auto"/>
              </w:rPr>
              <w:t>($ 1,892,181)</w:t>
            </w:r>
          </w:p>
        </w:tc>
        <w:tc>
          <w:tcPr>
            <w:tcW w:w="72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rPr>
              <w:t>$118,761</w:t>
            </w:r>
          </w:p>
        </w:tc>
        <w:tc>
          <w:tcPr>
            <w:tcW w:w="88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5"/>
                <w:szCs w:val="15"/>
                <w:color w:val="auto"/>
                <w:w w:val="95"/>
              </w:rPr>
              <w:t>($ 1,160,464)</w:t>
            </w:r>
          </w:p>
        </w:tc>
        <w:tc>
          <w:tcPr>
            <w:tcW w:w="1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ind w:left="240"/>
              <w:spacing w:after="0" w:line="145" w:lineRule="exact"/>
              <w:rPr>
                <w:sz w:val="20"/>
                <w:szCs w:val="20"/>
                <w:color w:val="auto"/>
              </w:rPr>
            </w:pPr>
            <w:r>
              <w:rPr>
                <w:rFonts w:ascii="Times New Roman" w:cs="Times New Roman" w:eastAsia="Times New Roman" w:hAnsi="Times New Roman"/>
                <w:sz w:val="15"/>
                <w:szCs w:val="15"/>
                <w:color w:val="auto"/>
                <w:w w:val="97"/>
              </w:rPr>
              <w:t>— </w:t>
            </w:r>
          </w:p>
        </w:tc>
        <w:tc>
          <w:tcPr>
            <w:tcW w:w="1000" w:type="dxa"/>
            <w:vAlign w:val="bottom"/>
            <w:gridSpan w:val="3"/>
          </w:tcPr>
          <w:p>
            <w:pPr>
              <w:jc w:val="right"/>
              <w:ind w:right="60"/>
              <w:spacing w:after="0" w:line="145" w:lineRule="exact"/>
              <w:rPr>
                <w:sz w:val="20"/>
                <w:szCs w:val="20"/>
                <w:color w:val="auto"/>
              </w:rPr>
            </w:pPr>
            <w:r>
              <w:rPr>
                <w:rFonts w:ascii="Times New Roman" w:cs="Times New Roman" w:eastAsia="Times New Roman" w:hAnsi="Times New Roman"/>
                <w:sz w:val="15"/>
                <w:szCs w:val="15"/>
                <w:b w:val="1"/>
                <w:bCs w:val="1"/>
                <w:color w:val="auto"/>
              </w:rPr>
              <w:t>($ 1,128,512)</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Non-PEO</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Named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-521335</wp:posOffset>
            </wp:positionV>
            <wp:extent cx="6995160" cy="728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728980"/>
                    </a:xfrm>
                    <a:prstGeom prst="rect">
                      <a:avLst/>
                    </a:prstGeom>
                    <a:noFill/>
                  </pic:spPr>
                </pic:pic>
              </a:graphicData>
            </a:graphic>
          </wp:anchor>
        </w:drawing>
      </w:r>
    </w:p>
    <w:p>
      <w:pPr>
        <w:ind w:left="3520"/>
        <w:spacing w:after="0" w:line="225" w:lineRule="auto"/>
        <w:rPr>
          <w:sz w:val="20"/>
          <w:szCs w:val="20"/>
          <w:color w:val="auto"/>
        </w:rPr>
      </w:pPr>
      <w:r>
        <w:rPr>
          <w:rFonts w:ascii="Times New Roman" w:cs="Times New Roman" w:eastAsia="Times New Roman" w:hAnsi="Times New Roman"/>
          <w:sz w:val="15"/>
          <w:szCs w:val="15"/>
          <w:color w:val="auto"/>
        </w:rPr>
        <w:t>Executive</w:t>
      </w:r>
    </w:p>
    <w:p>
      <w:pPr>
        <w:ind w:left="3520"/>
        <w:spacing w:after="0"/>
        <w:rPr>
          <w:sz w:val="20"/>
          <w:szCs w:val="20"/>
          <w:color w:val="auto"/>
        </w:rPr>
      </w:pPr>
      <w:r>
        <w:rPr>
          <w:rFonts w:ascii="Times New Roman" w:cs="Times New Roman" w:eastAsia="Times New Roman" w:hAnsi="Times New Roman"/>
          <w:sz w:val="15"/>
          <w:szCs w:val="15"/>
          <w:color w:val="auto"/>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assumptions used to calculate fair values did not materially differ from those disclosed at the time of grant.</w:t>
      </w:r>
    </w:p>
    <w:p>
      <w:pPr>
        <w:spacing w:after="0" w:line="27" w:lineRule="exact"/>
        <w:rPr>
          <w:sz w:val="20"/>
          <w:szCs w:val="20"/>
          <w:color w:val="auto"/>
        </w:rPr>
      </w:pPr>
    </w:p>
    <w:p>
      <w:pPr>
        <w:ind w:left="540" w:right="50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relevant fiscal year, represents the cumulative Total Shareholder Return (“TSR”) of our common stock at the end of each fiscal year, assuming an initial investment of $100 on December 31, 2022.</w:t>
      </w: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loss reflected in the Company’s audited financial statements for the applicable year.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Required Disclosure of the Relationship Between CAP and Financial Performance Measures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reflect the amount of compensation earned by or actually paid to our Named Executive Officers during the applicable years.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 and Net Loss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our PEOs and the average compensation actually paid to our non-PEO Named Executive Officers, on the one hand, to the Company’s Net Loss over the three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131445</wp:posOffset>
            </wp:positionV>
            <wp:extent cx="4766310" cy="2357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631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CAP and Cumulative TSR</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CAP to our PEOs and the average CAP to our non-PEO Named Executive Officers, on the one hand, to the Company’s cumulative TSR over the three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131445</wp:posOffset>
            </wp:positionV>
            <wp:extent cx="4869180" cy="2297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6918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82"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the Company grants stock options to its employees, including the Named Executive Officers. Beginning in fiscal year 2025, the Company grants annual refresh employee option grants in February and September of each year. Also,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“Non-Employee Director Compensation—Non-Employee Director Compensation Policy” below. The Company does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the Company’s public disclosure of MNPI. The Company has not timed the release of MNPI for the purpose of affecting the value of executive compensation.</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with respect to the compensation of our non-employee directors and director nominee:</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200"/>
        </w:trPr>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2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8"/>
                <w:szCs w:val="8"/>
                <w:b w:val="1"/>
                <w:bCs w:val="1"/>
                <w:color w:val="auto"/>
              </w:rPr>
              <w:t>(1)</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1"/>
        </w:trPr>
        <w:tc>
          <w:tcPr>
            <w:tcW w:w="4340" w:type="dxa"/>
            <w:vAlign w:val="bottom"/>
            <w:gridSpan w:val="3"/>
            <w:vMerge w:val="restart"/>
          </w:tcPr>
          <w:p>
            <w:pPr>
              <w:ind w:left="2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60" w:type="dxa"/>
            <w:vAlign w:val="bottom"/>
            <w:gridSpan w:val="3"/>
          </w:tcPr>
          <w:p>
            <w:pPr>
              <w:jc w:val="center"/>
              <w:ind w:left="779"/>
              <w:spacing w:after="0" w:line="102" w:lineRule="exact"/>
              <w:rPr>
                <w:sz w:val="20"/>
                <w:szCs w:val="20"/>
                <w:color w:val="auto"/>
              </w:rPr>
            </w:pPr>
            <w:r>
              <w:rPr>
                <w:rFonts w:ascii="Times New Roman" w:cs="Times New Roman" w:eastAsia="Times New Roman" w:hAnsi="Times New Roman"/>
                <w:sz w:val="11"/>
                <w:szCs w:val="11"/>
                <w:b w:val="1"/>
                <w:bCs w:val="1"/>
                <w:color w:val="auto"/>
              </w:rPr>
              <w:t>Paid in Cash</w:t>
            </w:r>
          </w:p>
        </w:tc>
        <w:tc>
          <w:tcPr>
            <w:tcW w:w="640" w:type="dxa"/>
            <w:vAlign w:val="bottom"/>
          </w:tcPr>
          <w:p>
            <w:pPr>
              <w:jc w:val="right"/>
              <w:ind w:right="199"/>
              <w:spacing w:after="0" w:line="101" w:lineRule="exact"/>
              <w:rPr>
                <w:sz w:val="20"/>
                <w:szCs w:val="20"/>
                <w:color w:val="auto"/>
              </w:rPr>
            </w:pPr>
            <w:r>
              <w:rPr>
                <w:rFonts w:ascii="Times New Roman" w:cs="Times New Roman" w:eastAsia="Times New Roman" w:hAnsi="Times New Roman"/>
                <w:sz w:val="9"/>
                <w:szCs w:val="9"/>
                <w:b w:val="1"/>
                <w:bCs w:val="1"/>
                <w:color w:val="auto"/>
              </w:rPr>
              <w:t>(2)</w:t>
            </w:r>
          </w:p>
        </w:tc>
        <w:tc>
          <w:tcPr>
            <w:tcW w:w="6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340" w:type="dxa"/>
            <w:vAlign w:val="bottom"/>
            <w:gridSpan w:val="3"/>
            <w:vMerge w:val="continue"/>
          </w:tcPr>
          <w:p>
            <w:pPr>
              <w:spacing w:after="0"/>
              <w:rPr>
                <w:sz w:val="15"/>
                <w:szCs w:val="15"/>
                <w:color w:val="auto"/>
              </w:rPr>
            </w:pPr>
          </w:p>
        </w:tc>
        <w:tc>
          <w:tcPr>
            <w:tcW w:w="2300" w:type="dxa"/>
            <w:vAlign w:val="bottom"/>
            <w:gridSpan w:val="2"/>
          </w:tcPr>
          <w:p>
            <w:pPr>
              <w:ind w:left="18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640" w:type="dxa"/>
            <w:vAlign w:val="bottom"/>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640" w:type="dxa"/>
            <w:vAlign w:val="bottom"/>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Phillip B. Donenberg</w:t>
            </w:r>
          </w:p>
        </w:tc>
        <w:tc>
          <w:tcPr>
            <w:tcW w:w="3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6"/>
              </w:rPr>
              <w:t>55,000</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198,764</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253,764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Terrance McGuire, M.S., M.B.A.</w:t>
            </w:r>
            <w:r>
              <w:rPr>
                <w:rFonts w:ascii="Times New Roman" w:cs="Times New Roman" w:eastAsia="Times New Roman" w:hAnsi="Times New Roman"/>
                <w:sz w:val="22"/>
                <w:szCs w:val="22"/>
                <w:color w:val="auto"/>
                <w:vertAlign w:val="superscript"/>
              </w:rPr>
              <w:t>(3)</w:t>
            </w:r>
          </w:p>
        </w:tc>
        <w:tc>
          <w:tcPr>
            <w:tcW w:w="2960" w:type="dxa"/>
            <w:vAlign w:val="bottom"/>
            <w:gridSpan w:val="3"/>
          </w:tcPr>
          <w:p>
            <w:pPr>
              <w:ind w:left="1820"/>
              <w:spacing w:after="0" w:line="216" w:lineRule="exact"/>
              <w:rPr>
                <w:sz w:val="20"/>
                <w:szCs w:val="20"/>
                <w:color w:val="auto"/>
              </w:rPr>
            </w:pPr>
            <w:r>
              <w:rPr>
                <w:rFonts w:ascii="Times New Roman" w:cs="Times New Roman" w:eastAsia="Times New Roman" w:hAnsi="Times New Roman"/>
                <w:sz w:val="18"/>
                <w:szCs w:val="18"/>
                <w:color w:val="auto"/>
              </w:rPr>
              <w:t>82,118</w:t>
            </w:r>
            <w:r>
              <w:rPr>
                <w:rFonts w:ascii="Times New Roman" w:cs="Times New Roman" w:eastAsia="Times New Roman" w:hAnsi="Times New Roman"/>
                <w:sz w:val="22"/>
                <w:szCs w:val="22"/>
                <w:color w:val="auto"/>
                <w:vertAlign w:val="superscript"/>
              </w:rPr>
              <w:t>(4)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198,764</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230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w w:val="96"/>
              </w:rPr>
              <w:t>49,237</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198,764</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Praveen Tipirneni, M.D., M.B.A.</w:t>
            </w:r>
          </w:p>
        </w:tc>
        <w:tc>
          <w:tcPr>
            <w:tcW w:w="230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96"/>
              </w:rPr>
              <w:t>51,237</w:t>
            </w: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198,764</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230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w w:val="92"/>
              </w:rPr>
              <w:t>53,118</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198,764</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3"/>
          </w:tcPr>
          <w:p>
            <w:pPr>
              <w:spacing w:after="0" w:line="216" w:lineRule="exact"/>
              <w:rPr>
                <w:sz w:val="20"/>
                <w:szCs w:val="20"/>
                <w:color w:val="auto"/>
              </w:rPr>
            </w:pPr>
            <w:r>
              <w:rPr>
                <w:rFonts w:ascii="Times New Roman" w:cs="Times New Roman" w:eastAsia="Times New Roman" w:hAnsi="Times New Roman"/>
                <w:sz w:val="18"/>
                <w:szCs w:val="18"/>
                <w:color w:val="auto"/>
              </w:rPr>
              <w:t>François Nader, M.D.</w:t>
            </w:r>
            <w:r>
              <w:rPr>
                <w:rFonts w:ascii="Times New Roman" w:cs="Times New Roman" w:eastAsia="Times New Roman" w:hAnsi="Times New Roman"/>
                <w:sz w:val="22"/>
                <w:szCs w:val="22"/>
                <w:color w:val="auto"/>
                <w:vertAlign w:val="superscript"/>
              </w:rPr>
              <w:t>(5)</w:t>
            </w:r>
          </w:p>
        </w:tc>
        <w:tc>
          <w:tcPr>
            <w:tcW w:w="1520" w:type="dxa"/>
            <w:vAlign w:val="bottom"/>
          </w:tcPr>
          <w:p>
            <w:pPr>
              <w:spacing w:after="0"/>
              <w:rPr>
                <w:sz w:val="18"/>
                <w:szCs w:val="18"/>
                <w:color w:val="auto"/>
              </w:rPr>
            </w:pPr>
          </w:p>
        </w:tc>
        <w:tc>
          <w:tcPr>
            <w:tcW w:w="14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Jessica Chutter</w:t>
            </w:r>
            <w:r>
              <w:rPr>
                <w:rFonts w:ascii="Times New Roman" w:cs="Times New Roman" w:eastAsia="Times New Roman" w:hAnsi="Times New Roman"/>
                <w:sz w:val="22"/>
                <w:szCs w:val="22"/>
                <w:color w:val="auto"/>
                <w:vertAlign w:val="superscript"/>
              </w:rPr>
              <w:t>(6)</w:t>
            </w:r>
          </w:p>
        </w:tc>
        <w:tc>
          <w:tcPr>
            <w:tcW w:w="1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5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 do not reflect the actual economic value realized by our non-employee directors. In accordance with SEC rules, this column represents the grant date fair value of shares underlying stock options, calculated in accordance with ASC 718. Assumptions used in the calculation of the grant date fair value of the stock options are set forth in “Note 2. Summary of Significant Accounting Policies and Basis of Presentation—Stock-Based Compensation” and “Note 8. Equity Incentive Plans” to our audited consolidated financial statements included in our Annual Report on Form 10-K for the fiscal year ended December 31, 2025. These amounts do not correspond to the actual economic value that may be received by our non-employee directors upon the exercise of the stock options or any sale of the underlying shares of common stock.</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number of shares of common stock underlying options held by our non-employee directors and director nominee that were outstanding as of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148"/>
        </w:trPr>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r>
      <w:tr>
        <w:trPr>
          <w:trHeight w:val="148"/>
        </w:trPr>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r>
      <w:tr>
        <w:trPr>
          <w:trHeight w:val="173"/>
        </w:trPr>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Year-End</w:t>
            </w:r>
          </w:p>
        </w:tc>
      </w:tr>
      <w:tr>
        <w:trPr>
          <w:trHeight w:val="210"/>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9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21,960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Terrance McGuire, M.S., M.B.A.</w:t>
            </w:r>
            <w:r>
              <w:rPr>
                <w:rFonts w:ascii="Times New Roman" w:cs="Times New Roman" w:eastAsia="Times New Roman" w:hAnsi="Times New Roman"/>
                <w:sz w:val="22"/>
                <w:szCs w:val="22"/>
                <w:color w:val="auto"/>
                <w:vertAlign w:val="superscript"/>
              </w:rPr>
              <w:t>(3)</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21,960</w:t>
            </w: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21,960</w:t>
            </w: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Praveen Tipirneni, M.D., M.B.A.</w:t>
            </w:r>
          </w:p>
        </w:tc>
        <w:tc>
          <w:tcPr>
            <w:tcW w:w="9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34,126</w:t>
            </w: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9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21,960</w:t>
            </w: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François Nader, M.D.</w:t>
            </w:r>
            <w:r>
              <w:rPr>
                <w:rFonts w:ascii="Times New Roman" w:cs="Times New Roman" w:eastAsia="Times New Roman" w:hAnsi="Times New Roman"/>
                <w:sz w:val="22"/>
                <w:szCs w:val="22"/>
                <w:color w:val="auto"/>
                <w:vertAlign w:val="superscript"/>
              </w:rPr>
              <w:t>(5)</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Jessica Chutter</w:t>
            </w:r>
            <w:r>
              <w:rPr>
                <w:rFonts w:ascii="Times New Roman" w:cs="Times New Roman" w:eastAsia="Times New Roman" w:hAnsi="Times New Roman"/>
                <w:sz w:val="22"/>
                <w:szCs w:val="22"/>
                <w:color w:val="auto"/>
                <w:vertAlign w:val="superscript"/>
              </w:rPr>
              <w:t>(6)</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r>
      <w:tr>
        <w:trPr>
          <w:trHeight w:val="441"/>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(3)</w:t>
            </w:r>
          </w:p>
        </w:tc>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McGuire will resign from the Board, effective as of immediately prior to the Annual Meeting.</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(4)</w:t>
            </w:r>
          </w:p>
        </w:tc>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 fees earned by Mr. McGuire were paid to Polaris Partners.</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(5)</w:t>
            </w:r>
          </w:p>
        </w:tc>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Mr. Nader joined our Board on April 1, 2026.</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5"/>
              </w:rPr>
              <w:t>(6)</w:t>
            </w:r>
          </w:p>
        </w:tc>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Ms. Chutter will join our Board on the date of the Annual Meeting.</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320" w:type="dxa"/>
            <w:vAlign w:val="bottom"/>
          </w:tcPr>
          <w:p>
            <w:pPr>
              <w:spacing w:after="0"/>
              <w:rPr>
                <w:sz w:val="24"/>
                <w:szCs w:val="24"/>
                <w:color w:val="auto"/>
              </w:rPr>
            </w:pPr>
          </w:p>
        </w:tc>
        <w:tc>
          <w:tcPr>
            <w:tcW w:w="7940" w:type="dxa"/>
            <w:vAlign w:val="bottom"/>
            <w:gridSpan w:val="2"/>
          </w:tcPr>
          <w:p>
            <w:pPr>
              <w:ind w:left="5100"/>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Alise Reicin, our CEO, does not receive any additional compensation for her service on the Board. Dr. Reicin’s compensation as a Named Executive Officer is set forth above under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our Non-Employee Director Compensation Policy, which was established in connection with the Merger and amended and restated on May 19, 2025 (the “Amended and Restated Policy”), each of our non-employee directors is eligible to receive compensation for service on our board of directors and committees of our board of directors. For the year ended December 31, 2025, each non-employee director’s cash compensation reflects amounts earned under the policy prior to the Amended and Restated Policy for the period from January 1 through May 18, 2025, and under the Amended and Restated Policy for the period from May 19, 2025 through December 31, 2025, in each case pro-rated accordingly. For the year ended December 31, 2025, each non-employee director received the compensation described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currently in effect provided our non-employee directors with the following cash compensation for their services: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each non-employee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per year for the non-executive chairperson (if applicable) in lieu of the annual amount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chair of the audit committee or $7,500 per year for each other member of the audit committee;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per year for chair of the compensation committee or $6,000 per year for each other member of the compensation committee</w:t>
      </w:r>
    </w:p>
    <w:p>
      <w:pPr>
        <w:spacing w:after="0" w:line="27" w:lineRule="exact"/>
        <w:rPr>
          <w:rFonts w:ascii="Times New Roman" w:cs="Times New Roman" w:eastAsia="Times New Roman" w:hAnsi="Times New Roman"/>
          <w:sz w:val="18"/>
          <w:szCs w:val="18"/>
          <w:color w:val="auto"/>
        </w:rPr>
      </w:pPr>
    </w:p>
    <w:p>
      <w:pPr>
        <w:ind w:left="108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the chair of the compensation committee or $5,000 per year for each other member of the compensation committee under the original policy through May 19, 2025); and</w:t>
      </w:r>
    </w:p>
    <w:p>
      <w:pPr>
        <w:spacing w:after="0" w:line="86"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chair of the nominating and corporate governance committee or $5,000 per year for each other member of the nominating and corporate governance committee ($8,000 per year for the chair of the nominating and corporate governance committee or $4,000 per year for each other member of the compensation committee under the original policy through May 19, 2025).</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cash compensation above is payable to our eligible non-employee directors in equal quarterly installments in arrears, prorated for any partial quarter of service.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cash compensation structure described above, the Non-Employee Director Compensation Policy currently in effect provided for the following equity incentive compensation program for non-employee directors for the year ended December 31, 2025. All such equity compensation will be granted under the 2024 Plan or any successor equity plan.</w:t>
      </w:r>
    </w:p>
    <w:p>
      <w:pPr>
        <w:spacing w:after="0" w:line="17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 Each non-employee director who joins our Board will automatically, upon the date of his or her initial election or appointment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non-employee director (or, if such date is not a business day, on the first business day thereafter), be granted a one-time, initial equity award of options (the “initial grant”) to purchase 20,400 shares of common stock with a cash value not to exceed $800,000. One-third of the initial grant will vest on the first anniversary of the date of grant, with the remainder vesting in equal monthly installments thereafter until the third anniversary of the date of grant, subject to continuous service through each applicable vesting date.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82"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 On the first business day following each annual meeting of our stockholders, each person who is then a non-employee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ours will automatically be granted an option to purchase 10,200 shares of common stock with a cash value not to exceed $400,000 (the “annual grant”). Each annual grant will vest on the earlier of the one-year anniversary of the annual award’s grant date or the date of our next annual stockholder meeting following the annual award’s grant date, subject to continuous service through the vesting date.</w:t>
      </w:r>
    </w:p>
    <w:p>
      <w:pPr>
        <w:spacing w:after="0" w:line="18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non-employee director’s then-outstanding equity awards granted under the policy (and any other then-outstanding equity awards held by the non-employee director that were outstanding and unvested immediately prior to the date of the execution of the underwriting agreement related to our initial public offering) will become fully vested upon a change in control (as defined in our 2024 Plan), subject to the non-employee director remaining in continuous service until immediately prior to the closing of the change in control.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Common Stock as of February 28, 2026, by:</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Company’s outstanding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February 28, 2026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lists applicable percentage ownership based on 18,776,626 shares of common stock outstanding as of February 28, 2026.</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760" w:type="dxa"/>
            <w:vAlign w:val="bottom"/>
            <w:vMerge w:val="restart"/>
          </w:tcPr>
          <w:p>
            <w:pPr>
              <w:spacing w:after="0"/>
              <w:rPr>
                <w:sz w:val="15"/>
                <w:szCs w:val="15"/>
                <w:color w:val="auto"/>
              </w:rPr>
            </w:pPr>
          </w:p>
        </w:tc>
        <w:tc>
          <w:tcPr>
            <w:tcW w:w="22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2340" w:type="dxa"/>
            <w:vAlign w:val="bottom"/>
            <w:tcBorders>
              <w:bottom w:val="single" w:sz="8" w:color="auto"/>
            </w:tcBorders>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1380" w:type="dxa"/>
            <w:vAlign w:val="bottom"/>
            <w:tcBorders>
              <w:top w:val="single" w:sz="8" w:color="auto"/>
            </w:tcBorders>
            <w:gridSpan w:val="2"/>
          </w:tcPr>
          <w:p>
            <w:pPr>
              <w:jc w:val="right"/>
              <w:ind w:right="74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1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7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Persons and entities affiliated with Timothy A. Springer, Ph.D.</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6,031,524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FMR LLC</w:t>
            </w:r>
            <w:r>
              <w:rPr>
                <w:rFonts w:ascii="Times New Roman" w:cs="Times New Roman" w:eastAsia="Times New Roman" w:hAnsi="Times New Roman"/>
                <w:sz w:val="25"/>
                <w:szCs w:val="25"/>
                <w:color w:val="auto"/>
                <w:vertAlign w:val="superscript"/>
              </w:rPr>
              <w:t>(2)</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2,798,011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Aberdeen Group plc</w:t>
            </w:r>
            <w:r>
              <w:rPr>
                <w:rFonts w:ascii="Times New Roman" w:cs="Times New Roman" w:eastAsia="Times New Roman" w:hAnsi="Times New Roman"/>
                <w:sz w:val="25"/>
                <w:szCs w:val="25"/>
                <w:color w:val="auto"/>
                <w:vertAlign w:val="superscript"/>
              </w:rPr>
              <w:t>(3)</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1,141,824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Persons and entities affiliated with TCG Crossover Fund</w:t>
            </w:r>
            <w:r>
              <w:rPr>
                <w:rFonts w:ascii="Times New Roman" w:cs="Times New Roman" w:eastAsia="Times New Roman" w:hAnsi="Times New Roman"/>
                <w:sz w:val="25"/>
                <w:szCs w:val="25"/>
                <w:color w:val="auto"/>
                <w:vertAlign w:val="superscript"/>
              </w:rPr>
              <w:t>(4)</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1,169,760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Timothy A. Springer, Ph.D.</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6,031,524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Terrance McGuire</w:t>
            </w:r>
            <w:r>
              <w:rPr>
                <w:rFonts w:ascii="Times New Roman" w:cs="Times New Roman" w:eastAsia="Times New Roman" w:hAnsi="Times New Roman"/>
                <w:sz w:val="25"/>
                <w:szCs w:val="25"/>
                <w:color w:val="auto"/>
                <w:vertAlign w:val="superscript"/>
              </w:rPr>
              <w:t>(5)</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665,162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Stefan Vitorovic</w:t>
            </w:r>
            <w:r>
              <w:rPr>
                <w:rFonts w:ascii="Times New Roman" w:cs="Times New Roman" w:eastAsia="Times New Roman" w:hAnsi="Times New Roman"/>
                <w:sz w:val="25"/>
                <w:szCs w:val="25"/>
                <w:color w:val="auto"/>
                <w:vertAlign w:val="superscript"/>
              </w:rPr>
              <w:t>(6)</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7,186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Alise Reicin, M.D.</w:t>
            </w:r>
            <w:r>
              <w:rPr>
                <w:rFonts w:ascii="Times New Roman" w:cs="Times New Roman" w:eastAsia="Times New Roman" w:hAnsi="Times New Roman"/>
                <w:sz w:val="25"/>
                <w:szCs w:val="25"/>
                <w:color w:val="auto"/>
                <w:vertAlign w:val="superscript"/>
              </w:rPr>
              <w:t>(7)</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518,876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Marcella K. Ruddy, M.D.</w:t>
            </w:r>
            <w:r>
              <w:rPr>
                <w:rFonts w:ascii="Times New Roman" w:cs="Times New Roman" w:eastAsia="Times New Roman" w:hAnsi="Times New Roman"/>
                <w:sz w:val="25"/>
                <w:szCs w:val="25"/>
                <w:color w:val="auto"/>
                <w:vertAlign w:val="superscript"/>
              </w:rPr>
              <w:t>(8)</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139,164</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Praveen Tipirneni, M.D.</w:t>
            </w:r>
            <w:r>
              <w:rPr>
                <w:rFonts w:ascii="Times New Roman" w:cs="Times New Roman" w:eastAsia="Times New Roman" w:hAnsi="Times New Roman"/>
                <w:sz w:val="25"/>
                <w:szCs w:val="25"/>
                <w:color w:val="auto"/>
                <w:vertAlign w:val="superscript"/>
              </w:rPr>
              <w:t>(9)</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22,389</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Daniel Lochner</w:t>
            </w:r>
            <w:r>
              <w:rPr>
                <w:rFonts w:ascii="Times New Roman" w:cs="Times New Roman" w:eastAsia="Times New Roman" w:hAnsi="Times New Roman"/>
                <w:sz w:val="25"/>
                <w:szCs w:val="25"/>
                <w:color w:val="auto"/>
                <w:vertAlign w:val="superscript"/>
              </w:rPr>
              <w:t>(10)</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79,670</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Phillip B. Donenberg</w:t>
            </w:r>
            <w:r>
              <w:rPr>
                <w:rFonts w:ascii="Times New Roman" w:cs="Times New Roman" w:eastAsia="Times New Roman" w:hAnsi="Times New Roman"/>
                <w:sz w:val="25"/>
                <w:szCs w:val="25"/>
                <w:color w:val="auto"/>
                <w:vertAlign w:val="superscript"/>
              </w:rPr>
              <w:t>(11)</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7,352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Francois Nader</w:t>
            </w:r>
            <w:r>
              <w:rPr>
                <w:rFonts w:ascii="Times New Roman" w:cs="Times New Roman" w:eastAsia="Times New Roman" w:hAnsi="Times New Roman"/>
                <w:sz w:val="25"/>
                <w:szCs w:val="25"/>
                <w:color w:val="auto"/>
                <w:vertAlign w:val="superscript"/>
              </w:rPr>
              <w:t>(12)</w:t>
            </w:r>
          </w:p>
        </w:tc>
        <w:tc>
          <w:tcPr>
            <w:tcW w:w="13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r>
              <w:rPr>
                <w:rFonts w:ascii="Times New Roman" w:cs="Times New Roman" w:eastAsia="Times New Roman" w:hAnsi="Times New Roman"/>
                <w:sz w:val="26"/>
                <w:szCs w:val="26"/>
                <w:b w:val="1"/>
                <w:bCs w:val="1"/>
                <w:color w:val="auto"/>
                <w:vertAlign w:val="superscript"/>
              </w:rPr>
              <w:t>(13)</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7,741,867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10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4,334,846 shares of common stock held by Dr. Springer, (ii) 186,134 shares held by Dr. Chafen Lu and (iii) 1,503,358 shares of common stock held by TAS Partners, LLC (“TAS”). (iv) 7,186 shares of common stock issuable upon exercise of options granted to Dr. Springer that are exercisable within 60 days of February 28, 2026. Dr. Lu is the spouse of Dr. Springer. Dr. Springer is the sole managing</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member of TAS. Dr. Springer exercises sole voting and dispositive power over the shares held by him directly and the shares held by TAS.</w:t>
      </w:r>
    </w:p>
    <w:p>
      <w:pPr>
        <w:spacing w:after="0" w:line="27" w:lineRule="exact"/>
        <w:rPr>
          <w:sz w:val="20"/>
          <w:szCs w:val="20"/>
          <w:color w:val="auto"/>
        </w:rPr>
      </w:pPr>
    </w:p>
    <w:p>
      <w:pPr>
        <w:ind w:left="540" w:right="40"/>
        <w:spacing w:after="0" w:line="250" w:lineRule="auto"/>
        <w:rPr>
          <w:sz w:val="20"/>
          <w:szCs w:val="20"/>
          <w:color w:val="auto"/>
        </w:rPr>
      </w:pPr>
      <w:r>
        <w:rPr>
          <w:rFonts w:ascii="Times New Roman" w:cs="Times New Roman" w:eastAsia="Times New Roman" w:hAnsi="Times New Roman"/>
          <w:sz w:val="18"/>
          <w:szCs w:val="18"/>
          <w:color w:val="auto"/>
        </w:rPr>
        <w:t>Dr. Springer disclaims beneficial ownership of the shares held by TAS. Dr. Lu exercises sole voting and dispositive power over the shares held by her directly. The principal business address of each of Dr. Springer, Dr. Lu and TAS is 36 Woodman Road, Newton, MA 02467.</w:t>
      </w:r>
    </w:p>
    <w:p>
      <w:pPr>
        <w:spacing w:after="0" w:line="1" w:lineRule="exact"/>
        <w:rPr>
          <w:sz w:val="20"/>
          <w:szCs w:val="20"/>
          <w:color w:val="auto"/>
        </w:rPr>
      </w:pPr>
    </w:p>
    <w:p>
      <w:pPr>
        <w:ind w:left="540" w:right="6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 stock are owned by funds and accounts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of these funds and accounts is 245 Summer Street, Boston, MA 02210.</w:t>
      </w:r>
    </w:p>
    <w:p>
      <w:pPr>
        <w:spacing w:after="0" w:line="3"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based on a Schedule 13G filed by Aberdeen Group plc (“Aberdeen”) and abrdn Inc. (“abrdn” and together with Aberdeen, the “Aberdeen Reporting Persons”) on January 12, 2026 with the SEC. The Aberdeen Reporting Persons have shared voting and dispositive power over the 1,141,824 shares of our common stock beneficially owned by abrdn. The principal business address for Aberdeen is 1 George Street, Edinburgh, United Kingdom, EH2 2LL and the principal business address for abrdn is 1900 Market Street Suite 200, Philadelphia, PA 19103.</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based on a Schedule 13G filed by TCG Crossover GP II, LLC (“TCG Crossover GP II”), TCG Crossover Fund II, L.P. (“TCG Crossover II”), TCG Crossover GP III, LLC (“TCG Crossover GP III”) and TCG Crossover Fund III, L.P. (“TCG Crossover III”) and Chen Yu (collectively, the “TCG Crossover Reporting Persons”) on February 27, 2026 with the SEC. TCG Crossover GP II is the general partner of TCG Crossover II and may be deemed to have voting, investment, and dispositive power with respect to the 584,882 shares of our common stock beneficially owned by TCG Crossover II. TCG Crossover GP III is the general partner of TCG Crossover III and may be deemed to have voting, investment, and dispositive power with respect to the 584,878 shares of our common stock beneficially owned by TCG Crossover III. Chen Yu is the sole managing member of each of TCG Crossover GP II and TCG Crossover GP III and may be deemed to share voting, investment and dispositive power with respect to the shares of our common stock beneficially owned by TCG Crossover II and TCG Crossover III. The principal business address for each of the TCG Crossover Reporting Persons is 245 Lytton Ave., Suite 350, Palo Alto, CA 94301.</w:t>
      </w:r>
    </w:p>
    <w:p>
      <w:pPr>
        <w:spacing w:after="0" w:line="3"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20,262 shares of common stock held by Polaris Founders Capital Fund I, L.P. (“PF I”), (ii) 64,652 shares of common stock held by Polaris Founders Capital Fund II, L.P. (“PF II”) and (iii) 573,062 shares of common stock held by Polaris Partners IX, L.P. (“PP IX”) and (iv) 7,186 shares of common stock issuable upon exercise of options granted to Mr. McGuire that are exercisable within 60 days of February 28, 2026.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of directors,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 II.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8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0"/>
        <w:spacing w:after="0" w:line="261" w:lineRule="auto"/>
        <w:rPr>
          <w:sz w:val="20"/>
          <w:szCs w:val="20"/>
          <w:color w:val="auto"/>
        </w:rPr>
      </w:pPr>
      <w:r>
        <w:rPr>
          <w:rFonts w:ascii="Times New Roman" w:cs="Times New Roman" w:eastAsia="Times New Roman" w:hAnsi="Times New Roman"/>
          <w:sz w:val="18"/>
          <w:szCs w:val="18"/>
          <w:color w:val="auto"/>
        </w:rPr>
        <w:t>The principal business address for all entities and individuals affiliated with Polaris Partners is c/o Polaris Partners, One Marina Park Drive, 8th Floor, Boston, MA 02210.</w:t>
      </w:r>
    </w:p>
    <w:p>
      <w:pPr>
        <w:ind w:left="540" w:right="3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7,186 shares of common stock issuable upon exercise of options granted to Mr. Vitorovic that are exercisable within 60 days of February 28, 2026.</w:t>
      </w:r>
    </w:p>
    <w:p>
      <w:pPr>
        <w:ind w:left="5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187,528 shares of common stock held by Dr. Reicin, (ii) 127,030 shares of common stock held by the 2020 Reicin-Boiarsky Family Trust (the “2020 Reicin Trust”) and (iii) 204,318 shares of common stock issuable upon exercise of options granted to Dr. Reicin that are exercisable within 60 days of February 28, 2026. Robert Boiarsky is a co-trustee of the 2020 Reicin Trust and the spouse of Dr. Reicin. Dr. Reicin may be deemed to have shared voting and dispositive power over the securities held by the 2020 Reicin Trust.</w:t>
      </w:r>
    </w:p>
    <w:p>
      <w:pPr>
        <w:spacing w:after="0" w:line="1" w:lineRule="exact"/>
        <w:rPr>
          <w:rFonts w:ascii="Times New Roman" w:cs="Times New Roman" w:eastAsia="Times New Roman" w:hAnsi="Times New Roman"/>
          <w:sz w:val="18"/>
          <w:szCs w:val="18"/>
          <w:color w:val="auto"/>
        </w:rPr>
      </w:pPr>
    </w:p>
    <w:p>
      <w:pPr>
        <w:ind w:left="540" w:right="40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35,959 shares of common stock held by Dr. Ruddy and (ii) 103,205 shares of common stock issuable upon exercise of options granted to Dr. Ruddy that are exercisable within 60 days of February 28, 2026.</w:t>
      </w:r>
    </w:p>
    <w:p>
      <w:pPr>
        <w:ind w:left="540" w:right="40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3,037 shares of common stock held by Dr. Tipirneni and (ii) 19,352 shares of common stock issuable upon exercise of options granted to Dr. Tipirneni that are exercisable within 60 days of February 28, 2026.</w:t>
      </w:r>
    </w:p>
    <w:p>
      <w:pPr>
        <w:ind w:left="540" w:right="34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14,564 shares of common stock held by Mr. Lochner and (ii) 65,106 shares of common stock issuable upon exercise of options granted to Mr. Lochner that are exercisable within 60 days of February 28, 2026.</w:t>
      </w:r>
    </w:p>
    <w:p>
      <w:pPr>
        <w:ind w:left="540" w:right="460" w:hanging="424"/>
        <w:spacing w:after="0" w:line="25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 shares of common stock held by Mr. Donenberg and (ii) 7,186 shares of common stock issuable upon exercise of options granted to Mr. Donenberg that are exercisable within 60 days of February 28, 2026.</w:t>
      </w: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Nader did not beneficially own any shares as of February 28, 2026.</w:t>
      </w:r>
    </w:p>
    <w:p>
      <w:pPr>
        <w:spacing w:after="0" w:line="9" w:lineRule="exact"/>
        <w:rPr>
          <w:rFonts w:ascii="Times New Roman" w:cs="Times New Roman" w:eastAsia="Times New Roman" w:hAnsi="Times New Roman"/>
          <w:sz w:val="18"/>
          <w:szCs w:val="18"/>
          <w:color w:val="auto"/>
        </w:rPr>
      </w:pPr>
    </w:p>
    <w:p>
      <w:pPr>
        <w:ind w:left="540" w:right="120" w:hanging="424"/>
        <w:spacing w:after="0" w:line="260"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7,084,041 shares of common stock and (ii) 657,826 shares of common stock issuable upon exercise of options that are exercisable within 60 days of February 28, 2026.</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agreements and other arrangements with the Company and the Company’s directors and Named Executive Officers in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elsewhere in this prospectus, the following is a description of each transaction involving the Company or Legacy Tectonic since January 1, 2024 in which:</w:t>
      </w:r>
    </w:p>
    <w:p>
      <w:pPr>
        <w:spacing w:after="0" w:line="81" w:lineRule="exact"/>
        <w:rPr>
          <w:sz w:val="20"/>
          <w:szCs w:val="20"/>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the average of Legacy Tectonic’s or the Company’s total assets at year-end for the last two completed fiscal years, as applicable;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37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Legacy Tectonic’s Transactions and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Tectonic Subscription Agreement and SAFEs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January 30, 2024, concurrently with the execution and delivery of the Merger Agreement, Legacy Tectonic entered into a subscription agreement with certain investors named therein, pursuant to which such investors agreed to purchase shares of Legacy Tectonic common stock, at a purchase price of $12.39908 per share (the “Subscription Agreement”), and certain investors consummated certain additional purchases of Legacy Tectonic common stock pursuant to the terms of the SAFEs entered into by such investors and Legacy Tectonic, for an aggregate purchase price among the private financings contemplated by the Subscription Agreement and such SAFEs of approximately $130.7 million.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purchase of Legacy Tectonic common stock pursuant to the Subscription Agreement and the entry into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SAFEs by Legacy Tectonic’s related persons: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8,999,989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7,499,987</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Founders Capital Fund II, L.P.</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1,499,991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Kruse, Ph.D.</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62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and purchase of Legacy Tectonic common stock pursuant to the Subscription Agreement. Dr. Timothy A. Springer served as a director on the Legacy Tectonic Board and serves as a director of the Board.</w:t>
      </w:r>
    </w:p>
    <w:p>
      <w:pPr>
        <w:jc w:val="both"/>
        <w:ind w:left="540" w:right="28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and purchase of Legacy Tectonic common stock pursuant to the Subscription Agreement. PP IX owned more than five percent of Legacy Tectonic’s outstanding capital stock.. Terrance McGuire served as a director of the Legacy Tectonic Board and as a director on the Board and holds an interest in Polaris Partners GP IX, L.L.C., the general partner of PP IX.</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and purchase of Legacy Tectonic common stock pursuant to the Subscription Agreement. Stefan Vitorovic served as a director on the Legacy Tectonic Board, serves as a director of the Board and was a member of the investment committee of VV Manager II, LLC, which is affiliated with Vida Ventures. Entities affiliated with Vida Ventures collectively owned more than five percent of Legacy Tectonic’s outstanding capital stock and own more than five percent of the Company’s outstanding capital stock.</w:t>
      </w:r>
    </w:p>
    <w:p>
      <w:pPr>
        <w:spacing w:after="0" w:line="1" w:lineRule="exact"/>
        <w:rPr>
          <w:rFonts w:ascii="Times New Roman" w:cs="Times New Roman" w:eastAsia="Times New Roman" w:hAnsi="Times New Roman"/>
          <w:sz w:val="18"/>
          <w:szCs w:val="18"/>
          <w:color w:val="auto"/>
        </w:rPr>
      </w:pPr>
    </w:p>
    <w:p>
      <w:pPr>
        <w:ind w:left="540" w:right="320" w:hanging="424"/>
        <w:spacing w:after="0" w:line="26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purchase of Legacy Tectonic common stock pursuant to the Subscription Agreement. Terrance McGuire served as a director on the Legacy Tectonic Board and as a director of the Board and is a</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managing member of Polaris Founders Capital Management Co. II, L.L.C., the general partner of Polaris Founders Capital Fund II, L.P.</w:t>
      </w:r>
    </w:p>
    <w:p>
      <w:pPr>
        <w:spacing w:after="0" w:line="27"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entry into the SAFEs. Dr. Andrew Kruse served as a director on the Legacy Tectonic Board.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 Under the Merger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Certain Legacy Tectonic stockholders entered into support agreements with Legacy Tectonic pursuant to which, among other things, each such stockholder, solely in his, her or its capacity as a Legacy Tectonic stockholder, agreed to vote all of such stockholder’s shares of Legacy Tectonic capital stock in favor of (i) the adoption of the Merger Agreement, (ii) the approval of the merger and related transactions contemplated by the Merger Agreement, (iii) the approval of an amendment to Legacy Tectonic’s certificate of incorporation to increase its authorized stock, (iv) to the extent such person was entitled to vote or exercise a right to consent with respect to such matter, effecting the preferred stock conversion immediately prior to conversion of the SAFEs, which SAFEs conversion occurred immediately prior to the consummation of the private placement financings, (v) waiving any preemptive right, right of participation, right of maintenance, anti-dilution right or any similar right as may otherwise have been provided to such stockholder under Legacy Tectonic’s certificate of incorporation or bylaws in connection with the Merger and related transactions contemplated by the Merger Agreement and (vi) against any Acquisition Proposal from a third party.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February 2025 Private Placement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Entities affiliated with Deep Track Capital, LP, entities affiliated with FMR LLC, TAS Partners, LLC, entities affiliated with EcoR1, Dr. Springer and Mr. Lochner purchased shares of our common stock in the Private Placement. The following table summarizes the purchase of shares of our common stock by such parties:</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Deep Track Capital, LP</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FMR LLC</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34,527,700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TAS Partners, LLC</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33,000,000</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EcoR1</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6,999,977</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Daniel Lochner</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249,964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Private Placement, we also entered into a registration rights agreement with investors thereto, including the purchasers listed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the Company’s behalf or that person’s status as a member of the Board to the maximum extent allowed under Delaware law.</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full text of the form of indemnification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that sets forth our policies and procedures regarding the identification, review, consideration and oversight of “related person transactions.” For purposes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The audit committee will approve only those transactions that it determines are fair to us and in our best interests.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60"/>
          </w:cols>
          <w:pgMar w:left="320" w:top="482"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Stockholders of the Company may submit proposals that they believe should be voted upon at the Company’s annual meeting of Stockholders or nominate persons for election to the Board.</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to the Secretary the Company no later than December 28, 2026, in addition to complying with certain rules and regulations promulgated by the SEC. The submission of a stockholder proposal does not guarantee that it will be included in the Company’s proxy statement.</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To be timely, a stockholder’s notice must be received by the Secretary at the principal executive offices of the Company not later than the close of business on the 90th day nor earlier than the close of business on the 120th day before the first anniversary of the 2026 Annual Meeting of Stockholders, unless the date of the 2027 Annual Meeting of Stockholders is advanced by more than 30 days or delayed by more than 30 days from the anniversary of the 2026 Annual Meeting of Stockholders. For the Company’s 2027 Annual Meeting of Stockholders, this means that any such proposal or nomination must be submitted no earlier than February 8, 2027 and no later than March 10, 2027. If the date of the 2027 Annual Meeting of Stockholders is advanced by more than 30 days or delayed by more than 30 days from the anniversary of the 2026 Annual Meeting of Stockholders, the stockholder must submit any such proposal or nomination not later than the close of business on the later of the 90th day prior to the 2027 Annual Meeting of Stockholders nor earlier than the close of business on the 120th day prior to the 2027 Annual Meeting of Stockholders, or the 10th day following the day on which public announcement of the date of the 2027 Annual Meeting of Stockholders is first made by the Company.</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Tectonic’s nominees must include in their notice the information required by Rule 14a-19 under the Exchange Act.</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Notices of any proposals or nominations for the Company’s 2027 Annual Meeting of Stockholders should be sent to the Secretary of the Company at 490 Arsenal Way, Suite 200, Watertown, Massachusetts 02472. A courtesy copy should also be submitted by email to info@tectonictx.com.</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https://tectonictx.com/ and click on “SEC Filings” under the “Investors” heading. Copies of our Annual Report on Form 10-K for the year ended December 31, 2025, including financial statements and schedules thereto, filed with the SEC, are also available without charge to stockholders by directing requests to the Company’s Corporate Secretary at 490 Arsenal Way, Suite 200, Watertown, Massachusetts 02472.</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Alise Reicin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Alise Reicin</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April 24, 2026</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224155</wp:posOffset>
            </wp:positionV>
            <wp:extent cx="6052185" cy="78524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52185" cy="785241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224155</wp:posOffset>
            </wp:positionV>
            <wp:extent cx="6052185" cy="78524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52185" cy="785241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Roman"/>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6"/>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lowerRoman"/>
      <w:start w:val="3"/>
    </w:lvl>
  </w:abstractNum>
  <w:abstractNum w:abstractNumId="19">
    <w:nsid w:val="2CA88611"/>
    <w:multiLevelType w:val="hybridMultilevel"/>
    <w:lvl w:ilvl="0">
      <w:lvlJc w:val="left"/>
      <w:lvlText w:val="(%1)"/>
      <w:numFmt w:val="lowerRoman"/>
      <w:start w:val="5"/>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4"/>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6"/>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2026-04-24T16:59:47Z</dcterms:created>
  <dcterms:modified xsi:type="dcterms:W3CDTF">2026-04-24T16:59:47Z</dcterms:modified>
</cp:coreProperties>
</file>