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4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001-38537</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81-0710585</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860" w:space="720"/>
            <w:col w:w="2720" w:space="720"/>
            <w:col w:w="322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Technology Square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Sixth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Cambridge, MA 02139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914-8420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jc w:val="center"/>
              <w:ind w:right="770"/>
              <w:spacing w:after="0"/>
              <w:rPr>
                <w:sz w:val="20"/>
                <w:szCs w:val="20"/>
                <w:color w:val="auto"/>
              </w:rPr>
            </w:pPr>
            <w:r>
              <w:rPr>
                <w:rFonts w:ascii="Arial" w:cs="Arial" w:eastAsia="Arial" w:hAnsi="Arial"/>
                <w:sz w:val="18"/>
                <w:szCs w:val="18"/>
                <w:b w:val="1"/>
                <w:bCs w:val="1"/>
                <w:color w:val="auto"/>
                <w:w w:val="93"/>
              </w:rPr>
              <w:t>Trading</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41"/>
        </w:trPr>
        <w:tc>
          <w:tcPr>
            <w:tcW w:w="470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87"/>
              </w:rPr>
              <w:t>Title of each class</w:t>
            </w:r>
          </w:p>
        </w:tc>
        <w:tc>
          <w:tcPr>
            <w:tcW w:w="2720" w:type="dxa"/>
            <w:vAlign w:val="bottom"/>
          </w:tcPr>
          <w:p>
            <w:pPr>
              <w:jc w:val="center"/>
              <w:ind w:right="770"/>
              <w:spacing w:after="0"/>
              <w:rPr>
                <w:sz w:val="20"/>
                <w:szCs w:val="20"/>
                <w:color w:val="auto"/>
              </w:rPr>
            </w:pPr>
            <w:r>
              <w:rPr>
                <w:rFonts w:ascii="Arial" w:cs="Arial" w:eastAsia="Arial" w:hAnsi="Arial"/>
                <w:sz w:val="18"/>
                <w:szCs w:val="18"/>
                <w:b w:val="1"/>
                <w:bCs w:val="1"/>
                <w:color w:val="auto"/>
                <w:w w:val="86"/>
              </w:rPr>
              <w:t>symbol(s)</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34"/>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$0.0001 par value per share</w:t>
            </w:r>
          </w:p>
        </w:tc>
        <w:tc>
          <w:tcPr>
            <w:tcW w:w="2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72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b w:val="1"/>
                <w:bCs w:val="1"/>
                <w:color w:val="auto"/>
                <w:w w:val="96"/>
              </w:rPr>
              <w:t>AVRO</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21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disclosed, on May 11, 2023, AVROBIO, Inc. (the “</w:t>
      </w:r>
      <w:r>
        <w:rPr>
          <w:rFonts w:ascii="Arial" w:cs="Arial" w:eastAsia="Arial" w:hAnsi="Arial"/>
          <w:sz w:val="18"/>
          <w:szCs w:val="18"/>
          <w:u w:val="single" w:color="auto"/>
          <w:color w:val="auto"/>
        </w:rPr>
        <w:t>Company</w:t>
      </w:r>
      <w:r>
        <w:rPr>
          <w:rFonts w:ascii="Arial" w:cs="Arial" w:eastAsia="Arial" w:hAnsi="Arial"/>
          <w:sz w:val="18"/>
          <w:szCs w:val="18"/>
          <w:color w:val="auto"/>
        </w:rPr>
        <w:t>”) received a written notice from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Listing Qualifications Department of The Nasdaq Stock Market (“</w:t>
      </w:r>
      <w:r>
        <w:rPr>
          <w:rFonts w:ascii="Arial" w:cs="Arial" w:eastAsia="Arial" w:hAnsi="Arial"/>
          <w:sz w:val="18"/>
          <w:szCs w:val="18"/>
          <w:u w:val="single" w:color="auto"/>
          <w:color w:val="auto"/>
        </w:rPr>
        <w:t>Nasdaq</w:t>
      </w:r>
      <w:r>
        <w:rPr>
          <w:rFonts w:ascii="Arial" w:cs="Arial" w:eastAsia="Arial" w:hAnsi="Arial"/>
          <w:sz w:val="18"/>
          <w:szCs w:val="18"/>
          <w:color w:val="auto"/>
        </w:rPr>
        <w:t>”), notifying the Company that, for the 30 consecutive business day period between March 29, 2023 through May 10, 2023, the Company’s common stock, $0.0001 par value per share (the “Common Stock”), had not maintained a minimum bid price of $1.00 per share, required for continued listing on The Nasdaq Global Select Market pursuant to Nasdaq Listing Rule 5450(a)(1) (the “Minimum Bid Price Requirement”).</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12, 2023, the Company received a written notice from the Staff notifying the Company that for 14 consecutive business days, from May 22, 2023 to June 9, 2023, the closing bid price for the Company’s Common Stock was at $1.00 per share or greater. Accordingly, the Staff has advised that the Company has regained compliance with the Minimum Bid Price Requirement and indicated that the matter is now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June 13, 2023</w:t>
      </w:r>
      <w:r>
        <w:rPr>
          <w:sz w:val="20"/>
          <w:szCs w:val="20"/>
          <w:color w:val="auto"/>
        </w:rPr>
        <w:tab/>
      </w:r>
      <w:r>
        <w:rPr>
          <w:rFonts w:ascii="Arial" w:cs="Arial" w:eastAsia="Arial" w:hAnsi="Arial"/>
          <w:sz w:val="17"/>
          <w:szCs w:val="17"/>
          <w:color w:val="auto"/>
        </w:rPr>
        <w:t>By: /s/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21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Erik Ostrowski</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President, Interim Chief Executive Officer, Chief Financial Officer and</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2023-06-13T15:48:27Z</dcterms:created>
  <dcterms:modified xsi:type="dcterms:W3CDTF">2023-06-13T15:48:27Z</dcterms:modified>
</cp:coreProperties>
</file>