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Filed pursuant to Rule 424(b)(5)</w:t>
      </w:r>
    </w:p>
    <w:p>
      <w:pPr>
        <w:spacing w:after="0" w:line="23"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Registration No. 333-232489</w:t>
      </w:r>
    </w:p>
    <w:p>
      <w:pPr>
        <w:spacing w:after="0" w:line="140" w:lineRule="exact"/>
        <w:rPr>
          <w:sz w:val="24"/>
          <w:szCs w:val="24"/>
          <w:color w:val="auto"/>
        </w:rPr>
      </w:pPr>
    </w:p>
    <w:p>
      <w:pPr>
        <w:jc w:val="both"/>
        <w:ind w:left="200" w:right="440"/>
        <w:spacing w:after="0" w:line="243" w:lineRule="auto"/>
        <w:rPr>
          <w:sz w:val="20"/>
          <w:szCs w:val="20"/>
          <w:color w:val="auto"/>
        </w:rPr>
      </w:pPr>
      <w:r>
        <w:rPr>
          <w:rFonts w:ascii="Arial" w:cs="Arial" w:eastAsia="Arial" w:hAnsi="Arial"/>
          <w:sz w:val="15"/>
          <w:szCs w:val="15"/>
          <w:b w:val="1"/>
          <w:bCs w:val="1"/>
          <w:color w:val="DE1A1E"/>
        </w:rPr>
        <w:t>The information in this preliminary prospectus supplement is not complete and may be changed. This preliminary prospectus supplement and the accompanying prospectus are not an offer to sell these securities and they are not soliciting an offer to buy these securities in any jurisdiction where the offer or sale thereof is not permitted.</w:t>
      </w:r>
    </w:p>
    <w:p>
      <w:pPr>
        <w:spacing w:after="0" w:line="107" w:lineRule="exact"/>
        <w:rPr>
          <w:sz w:val="24"/>
          <w:szCs w:val="24"/>
          <w:color w:val="auto"/>
        </w:rPr>
      </w:pPr>
    </w:p>
    <w:p>
      <w:pPr>
        <w:ind w:left="6300"/>
        <w:spacing w:after="0"/>
        <w:rPr>
          <w:sz w:val="20"/>
          <w:szCs w:val="20"/>
          <w:color w:val="auto"/>
        </w:rPr>
      </w:pPr>
      <w:r>
        <w:rPr>
          <w:rFonts w:ascii="Arial" w:cs="Arial" w:eastAsia="Arial" w:hAnsi="Arial"/>
          <w:sz w:val="19"/>
          <w:szCs w:val="19"/>
          <w:i w:val="1"/>
          <w:iCs w:val="1"/>
          <w:color w:val="DE1A1E"/>
        </w:rPr>
        <w:t>Preliminary Prospectus Supplement, dated July 16, 2019</w:t>
      </w:r>
    </w:p>
    <w:p>
      <w:pPr>
        <w:spacing w:after="0" w:line="268" w:lineRule="exact"/>
        <w:rPr>
          <w:sz w:val="24"/>
          <w:szCs w:val="24"/>
          <w:color w:val="auto"/>
        </w:rPr>
      </w:pPr>
    </w:p>
    <w:p>
      <w:pPr>
        <w:ind w:left="200"/>
        <w:spacing w:after="0"/>
        <w:tabs>
          <w:tab w:leader="none" w:pos="9280" w:val="left"/>
        </w:tabs>
        <w:rPr>
          <w:sz w:val="20"/>
          <w:szCs w:val="20"/>
          <w:color w:val="auto"/>
        </w:rPr>
      </w:pPr>
      <w:r>
        <w:rPr>
          <w:rFonts w:ascii="Arial" w:cs="Arial" w:eastAsia="Arial" w:hAnsi="Arial"/>
          <w:sz w:val="22"/>
          <w:szCs w:val="22"/>
          <w:i w:val="1"/>
          <w:iCs w:val="1"/>
          <w:color w:val="auto"/>
        </w:rPr>
        <w:t>PRELIMINARY PROSPECTUS SUPPLEMENT</w:t>
      </w:r>
      <w:r>
        <w:rPr>
          <w:sz w:val="20"/>
          <w:szCs w:val="20"/>
          <w:color w:val="auto"/>
        </w:rPr>
        <w:tab/>
      </w:r>
      <w:r>
        <w:rPr>
          <w:rFonts w:ascii="Arial" w:cs="Arial" w:eastAsia="Arial" w:hAnsi="Arial"/>
          <w:sz w:val="19"/>
          <w:szCs w:val="19"/>
          <w:i w:val="1"/>
          <w:iCs w:val="1"/>
          <w:color w:val="DE1A1E"/>
        </w:rPr>
        <w:t>Subject to Completion</w:t>
      </w:r>
    </w:p>
    <w:p>
      <w:pPr>
        <w:spacing w:after="0" w:line="8" w:lineRule="exact"/>
        <w:rPr>
          <w:sz w:val="24"/>
          <w:szCs w:val="24"/>
          <w:color w:val="auto"/>
        </w:rPr>
      </w:pPr>
    </w:p>
    <w:p>
      <w:pPr>
        <w:ind w:left="200"/>
        <w:spacing w:after="0"/>
        <w:rPr>
          <w:sz w:val="20"/>
          <w:szCs w:val="20"/>
          <w:color w:val="auto"/>
        </w:rPr>
      </w:pPr>
      <w:r>
        <w:rPr>
          <w:rFonts w:ascii="Arial" w:cs="Arial" w:eastAsia="Arial" w:hAnsi="Arial"/>
          <w:sz w:val="22"/>
          <w:szCs w:val="22"/>
          <w:i w:val="1"/>
          <w:iCs w:val="1"/>
          <w:color w:val="auto"/>
        </w:rPr>
        <w:t>(to Prospectus dated July 10, 2019)</w:t>
      </w:r>
    </w:p>
    <w:p>
      <w:pPr>
        <w:spacing w:after="0" w:line="190" w:lineRule="exact"/>
        <w:rPr>
          <w:sz w:val="24"/>
          <w:szCs w:val="24"/>
          <w:color w:val="auto"/>
        </w:rPr>
      </w:pPr>
    </w:p>
    <w:p>
      <w:pPr>
        <w:jc w:val="center"/>
        <w:ind w:right="-199"/>
        <w:spacing w:after="0"/>
        <w:rPr>
          <w:sz w:val="20"/>
          <w:szCs w:val="20"/>
          <w:color w:val="auto"/>
        </w:rPr>
      </w:pPr>
      <w:r>
        <w:rPr>
          <w:rFonts w:ascii="Arial" w:cs="Arial" w:eastAsia="Arial" w:hAnsi="Arial"/>
          <w:sz w:val="32"/>
          <w:szCs w:val="32"/>
          <w:i w:val="1"/>
          <w:iCs w:val="1"/>
          <w:color w:val="auto"/>
        </w:rPr>
        <w:t>$100,000,000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2517775</wp:posOffset>
            </wp:positionH>
            <wp:positionV relativeFrom="paragraph">
              <wp:posOffset>173355</wp:posOffset>
            </wp:positionV>
            <wp:extent cx="2229485"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9485"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199"/>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238760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ind w:left="200" w:right="360"/>
        <w:spacing w:after="0" w:line="308" w:lineRule="auto"/>
        <w:rPr>
          <w:sz w:val="20"/>
          <w:szCs w:val="20"/>
          <w:color w:val="auto"/>
        </w:rPr>
      </w:pPr>
      <w:r>
        <w:rPr>
          <w:rFonts w:ascii="Arial" w:cs="Arial" w:eastAsia="Arial" w:hAnsi="Arial"/>
          <w:sz w:val="17"/>
          <w:szCs w:val="17"/>
          <w:i w:val="1"/>
          <w:iCs w:val="1"/>
          <w:color w:val="auto"/>
        </w:rPr>
        <w:t>We are offering up to $100,000,000 of shares of our common stock, par value $0.0001 per share. Our common stock is listed on The Nasdaq Global Select Market under the symbol “AVRO.” On July 15, 2019, the last reported sale price of our common stock was $16.42 per share.</w:t>
      </w:r>
    </w:p>
    <w:p>
      <w:pPr>
        <w:spacing w:after="0" w:line="147" w:lineRule="exact"/>
        <w:rPr>
          <w:sz w:val="24"/>
          <w:szCs w:val="24"/>
          <w:color w:val="auto"/>
        </w:rPr>
      </w:pPr>
    </w:p>
    <w:p>
      <w:pPr>
        <w:ind w:left="200" w:right="320"/>
        <w:spacing w:after="0" w:line="277" w:lineRule="auto"/>
        <w:rPr>
          <w:sz w:val="20"/>
          <w:szCs w:val="20"/>
          <w:color w:val="auto"/>
        </w:rPr>
      </w:pPr>
      <w:r>
        <w:rPr>
          <w:rFonts w:ascii="Arial" w:cs="Arial" w:eastAsia="Arial" w:hAnsi="Arial"/>
          <w:sz w:val="18"/>
          <w:szCs w:val="18"/>
          <w:i w:val="1"/>
          <w:iCs w:val="1"/>
          <w:color w:val="auto"/>
        </w:rPr>
        <w:t>We are an “emerging growth company” under applicable Securities and Exchange Commission rules and will be subject to reduced public company reporting requirements for this prospectus supplement and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203200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200" w:right="80"/>
        <w:spacing w:after="0" w:line="251" w:lineRule="auto"/>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Our business and an investment in our common stock involve significant risks. These risks are described under the caption “</w:t>
      </w:r>
      <w:hyperlink w:anchor="page17">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S-15 of this prospectus supplement.</w:t>
      </w:r>
    </w:p>
    <w:p>
      <w:pPr>
        <w:spacing w:after="0" w:line="180" w:lineRule="exact"/>
        <w:rPr>
          <w:sz w:val="24"/>
          <w:szCs w:val="24"/>
          <w:color w:val="auto"/>
        </w:rPr>
      </w:pPr>
    </w:p>
    <w:p>
      <w:pPr>
        <w:jc w:val="both"/>
        <w:ind w:left="200" w:right="300"/>
        <w:spacing w:after="0" w:line="342" w:lineRule="auto"/>
        <w:rPr>
          <w:sz w:val="20"/>
          <w:szCs w:val="20"/>
          <w:color w:val="auto"/>
        </w:rPr>
      </w:pPr>
      <w:r>
        <w:rPr>
          <w:rFonts w:ascii="Arial" w:cs="Arial" w:eastAsia="Arial" w:hAnsi="Arial"/>
          <w:sz w:val="16"/>
          <w:szCs w:val="16"/>
          <w:i w:val="1"/>
          <w:iCs w:val="1"/>
          <w:color w:val="auto"/>
        </w:rPr>
        <w:t>Neither the Securities and Exchange Commission nor any state securities commission has approved or disapproved of these securities or determined whether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173355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200" w:type="dxa"/>
        <w:tblCellMar>
          <w:top w:w="0" w:type="dxa"/>
          <w:left w:w="0" w:type="dxa"/>
          <w:bottom w:w="0" w:type="dxa"/>
          <w:right w:w="0" w:type="dxa"/>
        </w:tblCellMar>
      </w:tblPr>
      <w:tr>
        <w:trPr>
          <w:trHeight w:val="167"/>
        </w:trPr>
        <w:tc>
          <w:tcPr>
            <w:tcW w:w="5560" w:type="dxa"/>
            <w:vAlign w:val="bottom"/>
            <w:vMerge w:val="restart"/>
          </w:tcPr>
          <w:p>
            <w:pPr>
              <w:spacing w:after="0"/>
              <w:rPr>
                <w:sz w:val="20"/>
                <w:szCs w:val="20"/>
                <w:color w:val="auto"/>
              </w:rPr>
            </w:pPr>
            <w:r>
              <w:rPr>
                <w:rFonts w:ascii="Arial" w:cs="Arial" w:eastAsia="Arial" w:hAnsi="Arial"/>
                <w:sz w:val="18"/>
                <w:szCs w:val="18"/>
                <w:i w:val="1"/>
                <w:iCs w:val="1"/>
                <w:color w:val="auto"/>
              </w:rPr>
              <w:t>Public offering price</w:t>
            </w:r>
          </w:p>
        </w:tc>
        <w:tc>
          <w:tcPr>
            <w:tcW w:w="248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85"/>
              </w:rPr>
              <w:t>Per Share</w:t>
            </w:r>
          </w:p>
        </w:tc>
        <w:tc>
          <w:tcPr>
            <w:tcW w:w="1520" w:type="dxa"/>
            <w:vAlign w:val="bottom"/>
            <w:vMerge w:val="restart"/>
          </w:tcPr>
          <w:p>
            <w:pPr>
              <w:jc w:val="right"/>
              <w:ind w:right="10"/>
              <w:spacing w:after="0"/>
              <w:rPr>
                <w:sz w:val="20"/>
                <w:szCs w:val="20"/>
                <w:color w:val="auto"/>
              </w:rPr>
            </w:pPr>
            <w:r>
              <w:rPr>
                <w:rFonts w:ascii="Arial" w:cs="Arial" w:eastAsia="Arial" w:hAnsi="Arial"/>
                <w:sz w:val="18"/>
                <w:szCs w:val="18"/>
                <w:i w:val="1"/>
                <w:iCs w:val="1"/>
                <w:color w:val="auto"/>
              </w:rPr>
              <w:t>$</w:t>
            </w: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3"/>
              </w:rPr>
              <w:t>Total</w:t>
            </w:r>
          </w:p>
        </w:tc>
        <w:tc>
          <w:tcPr>
            <w:tcW w:w="0" w:type="dxa"/>
            <w:vAlign w:val="bottom"/>
          </w:tcPr>
          <w:p>
            <w:pPr>
              <w:spacing w:after="0"/>
              <w:rPr>
                <w:sz w:val="1"/>
                <w:szCs w:val="1"/>
                <w:color w:val="auto"/>
              </w:rPr>
            </w:pPr>
          </w:p>
        </w:tc>
      </w:tr>
      <w:tr>
        <w:trPr>
          <w:trHeight w:val="195"/>
        </w:trPr>
        <w:tc>
          <w:tcPr>
            <w:tcW w:w="5560" w:type="dxa"/>
            <w:vAlign w:val="bottom"/>
            <w:vMerge w:val="continue"/>
          </w:tcPr>
          <w:p>
            <w:pPr>
              <w:spacing w:after="0"/>
              <w:rPr>
                <w:sz w:val="16"/>
                <w:szCs w:val="16"/>
                <w:color w:val="auto"/>
              </w:rPr>
            </w:pPr>
          </w:p>
        </w:tc>
        <w:tc>
          <w:tcPr>
            <w:tcW w:w="3080" w:type="dxa"/>
            <w:vAlign w:val="bottom"/>
            <w:gridSpan w:val="2"/>
          </w:tcPr>
          <w:p>
            <w:pPr>
              <w:jc w:val="right"/>
              <w:ind w:right="508"/>
              <w:spacing w:after="0" w:line="195" w:lineRule="exact"/>
              <w:rPr>
                <w:sz w:val="20"/>
                <w:szCs w:val="20"/>
                <w:color w:val="auto"/>
              </w:rPr>
            </w:pPr>
            <w:r>
              <w:rPr>
                <w:rFonts w:ascii="Arial" w:cs="Arial" w:eastAsia="Arial" w:hAnsi="Arial"/>
                <w:sz w:val="18"/>
                <w:szCs w:val="18"/>
                <w:i w:val="1"/>
                <w:iCs w:val="1"/>
                <w:color w:val="auto"/>
              </w:rPr>
              <w:t>$</w:t>
            </w:r>
          </w:p>
        </w:tc>
        <w:tc>
          <w:tcPr>
            <w:tcW w:w="15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i w:val="1"/>
                <w:iCs w:val="1"/>
                <w:color w:val="auto"/>
              </w:rPr>
              <w:t>Underwriting discounts and commissions</w:t>
            </w:r>
            <w:r>
              <w:rPr>
                <w:rFonts w:ascii="Arial" w:cs="Arial" w:eastAsia="Arial" w:hAnsi="Arial"/>
                <w:sz w:val="15"/>
                <w:szCs w:val="15"/>
                <w:i w:val="1"/>
                <w:iCs w:val="1"/>
                <w:color w:val="auto"/>
              </w:rPr>
              <w:t>(1)</w:t>
            </w:r>
          </w:p>
        </w:tc>
        <w:tc>
          <w:tcPr>
            <w:tcW w:w="3080" w:type="dxa"/>
            <w:vAlign w:val="bottom"/>
            <w:gridSpan w:val="2"/>
          </w:tcPr>
          <w:p>
            <w:pPr>
              <w:jc w:val="right"/>
              <w:ind w:right="508"/>
              <w:spacing w:after="0"/>
              <w:rPr>
                <w:sz w:val="20"/>
                <w:szCs w:val="20"/>
                <w:color w:val="auto"/>
              </w:rPr>
            </w:pPr>
            <w:r>
              <w:rPr>
                <w:rFonts w:ascii="Arial" w:cs="Arial" w:eastAsia="Arial" w:hAnsi="Arial"/>
                <w:sz w:val="18"/>
                <w:szCs w:val="18"/>
                <w:i w:val="1"/>
                <w:iCs w:val="1"/>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i w:val="1"/>
                <w:iCs w:val="1"/>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i w:val="1"/>
                <w:iCs w:val="1"/>
                <w:color w:val="auto"/>
              </w:rPr>
              <w:t>Proceeds to us before expenses</w:t>
            </w:r>
          </w:p>
        </w:tc>
        <w:tc>
          <w:tcPr>
            <w:tcW w:w="3080" w:type="dxa"/>
            <w:vAlign w:val="bottom"/>
            <w:gridSpan w:val="2"/>
          </w:tcPr>
          <w:p>
            <w:pPr>
              <w:jc w:val="right"/>
              <w:ind w:right="508"/>
              <w:spacing w:after="0"/>
              <w:rPr>
                <w:sz w:val="20"/>
                <w:szCs w:val="20"/>
                <w:color w:val="auto"/>
              </w:rPr>
            </w:pPr>
            <w:r>
              <w:rPr>
                <w:rFonts w:ascii="Arial" w:cs="Arial" w:eastAsia="Arial" w:hAnsi="Arial"/>
                <w:sz w:val="18"/>
                <w:szCs w:val="18"/>
                <w:i w:val="1"/>
                <w:iCs w:val="1"/>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i w:val="1"/>
                <w:iCs w:val="1"/>
                <w:color w:val="auto"/>
              </w:rPr>
              <w:t>$</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1" w:lineRule="exact"/>
        <w:rPr>
          <w:sz w:val="24"/>
          <w:szCs w:val="24"/>
          <w:color w:val="auto"/>
        </w:rPr>
      </w:pPr>
    </w:p>
    <w:p>
      <w:pPr>
        <w:ind w:left="640" w:hanging="436"/>
        <w:spacing w:after="0"/>
        <w:tabs>
          <w:tab w:leader="none" w:pos="64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have agreed to reimburse the underwriters for certain expenses. See “Underwriting.”</w:t>
      </w:r>
    </w:p>
    <w:p>
      <w:pPr>
        <w:spacing w:after="0" w:line="225" w:lineRule="exact"/>
        <w:rPr>
          <w:sz w:val="24"/>
          <w:szCs w:val="24"/>
          <w:color w:val="auto"/>
        </w:rPr>
      </w:pPr>
    </w:p>
    <w:p>
      <w:pPr>
        <w:ind w:left="200" w:right="280"/>
        <w:spacing w:after="0" w:line="291" w:lineRule="auto"/>
        <w:rPr>
          <w:sz w:val="20"/>
          <w:szCs w:val="20"/>
          <w:color w:val="auto"/>
        </w:rPr>
      </w:pPr>
      <w:r>
        <w:rPr>
          <w:rFonts w:ascii="Arial" w:cs="Arial" w:eastAsia="Arial" w:hAnsi="Arial"/>
          <w:sz w:val="16"/>
          <w:szCs w:val="16"/>
          <w:i w:val="1"/>
          <w:iCs w:val="1"/>
          <w:color w:val="auto"/>
        </w:rPr>
        <w:t>We have granted the underwriters an option for a period of 30 days from the date of this prospectus supplement to purchase up to $15,000,000 additional shares of our common stock (15% of the shares sold). If the underwriters exercise their option in full, the total underwriting discounts and</w:t>
      </w:r>
    </w:p>
    <w:p>
      <w:pPr>
        <w:ind w:left="200"/>
        <w:spacing w:after="0"/>
        <w:tabs>
          <w:tab w:leader="none" w:pos="3160" w:val="left"/>
          <w:tab w:leader="none" w:pos="7540" w:val="left"/>
        </w:tabs>
        <w:rPr>
          <w:sz w:val="20"/>
          <w:szCs w:val="20"/>
          <w:color w:val="auto"/>
        </w:rPr>
      </w:pPr>
      <w:r>
        <w:rPr>
          <w:rFonts w:ascii="Arial" w:cs="Arial" w:eastAsia="Arial" w:hAnsi="Arial"/>
          <w:sz w:val="18"/>
          <w:szCs w:val="18"/>
          <w:i w:val="1"/>
          <w:iCs w:val="1"/>
          <w:color w:val="auto"/>
        </w:rPr>
        <w:t>commissions payable by us will be $</w:t>
      </w:r>
      <w:r>
        <w:rPr>
          <w:sz w:val="20"/>
          <w:szCs w:val="20"/>
          <w:color w:val="auto"/>
        </w:rPr>
        <w:tab/>
      </w:r>
      <w:r>
        <w:rPr>
          <w:rFonts w:ascii="Arial" w:cs="Arial" w:eastAsia="Arial" w:hAnsi="Arial"/>
          <w:sz w:val="17"/>
          <w:szCs w:val="17"/>
          <w:i w:val="1"/>
          <w:iCs w:val="1"/>
          <w:color w:val="auto"/>
        </w:rPr>
        <w:t>, and the total proceeds to us, before expenses, will be $</w:t>
      </w:r>
      <w:r>
        <w:rPr>
          <w:sz w:val="20"/>
          <w:szCs w:val="20"/>
          <w:color w:val="auto"/>
        </w:rPr>
        <w:tab/>
      </w:r>
      <w:r>
        <w:rPr>
          <w:rFonts w:ascii="Arial" w:cs="Arial" w:eastAsia="Arial" w:hAnsi="Arial"/>
          <w:sz w:val="14"/>
          <w:szCs w:val="14"/>
          <w:i w:val="1"/>
          <w:iCs w:val="1"/>
          <w:color w:val="auto"/>
        </w:rPr>
        <w:t>.</w:t>
      </w:r>
    </w:p>
    <w:p>
      <w:pPr>
        <w:spacing w:after="0" w:line="211" w:lineRule="exact"/>
        <w:rPr>
          <w:sz w:val="24"/>
          <w:szCs w:val="24"/>
          <w:color w:val="auto"/>
        </w:rPr>
      </w:pPr>
    </w:p>
    <w:p>
      <w:pPr>
        <w:ind w:left="200" w:right="20"/>
        <w:spacing w:after="0" w:line="302" w:lineRule="auto"/>
        <w:rPr>
          <w:sz w:val="20"/>
          <w:szCs w:val="20"/>
          <w:color w:val="auto"/>
        </w:rPr>
      </w:pPr>
      <w:r>
        <w:rPr>
          <w:rFonts w:ascii="Arial" w:cs="Arial" w:eastAsia="Arial" w:hAnsi="Arial"/>
          <w:sz w:val="16"/>
          <w:szCs w:val="16"/>
          <w:i w:val="1"/>
          <w:iCs w:val="1"/>
          <w:color w:val="auto"/>
        </w:rPr>
        <w:t>Certain of our existing stockholders, including certain affiliates of our directors, have indicated an interest in purchasing an aggregate of approximately $20.0 million of shares of our common stock in this offering at the public offering price disclosed in this prospectus supplement. However, because indications of interest are not binding agreements or commitments to purchase, the underwriters may determine to sell more, less or no shares in this offering to any of these stockholders, or any of these stockholders may determine to purchase more, less or no shares in this offering.</w:t>
      </w:r>
    </w:p>
    <w:p>
      <w:pPr>
        <w:spacing w:after="0" w:line="154" w:lineRule="exact"/>
        <w:rPr>
          <w:sz w:val="24"/>
          <w:szCs w:val="24"/>
          <w:color w:val="auto"/>
        </w:rPr>
      </w:pPr>
    </w:p>
    <w:tbl>
      <w:tblPr>
        <w:tblLayout w:type="fixed"/>
        <w:tblInd w:w="20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r>
              <w:rPr>
                <w:rFonts w:ascii="Arial" w:cs="Arial" w:eastAsia="Arial" w:hAnsi="Arial"/>
                <w:sz w:val="18"/>
                <w:szCs w:val="18"/>
                <w:i w:val="1"/>
                <w:iCs w:val="1"/>
                <w:color w:val="auto"/>
                <w:w w:val="96"/>
              </w:rPr>
              <w:t>Delivery of the shares of common stock is expected to be made on or about</w:t>
            </w: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 2019.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231775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200"/>
        <w:spacing w:after="0"/>
        <w:tabs>
          <w:tab w:leader="none" w:pos="10060" w:val="left"/>
        </w:tabs>
        <w:rPr>
          <w:sz w:val="20"/>
          <w:szCs w:val="20"/>
          <w:color w:val="auto"/>
        </w:rPr>
      </w:pPr>
      <w:r>
        <w:rPr>
          <w:rFonts w:ascii="Arial" w:cs="Arial" w:eastAsia="Arial" w:hAnsi="Arial"/>
          <w:sz w:val="32"/>
          <w:szCs w:val="32"/>
          <w:i w:val="1"/>
          <w:iCs w:val="1"/>
          <w:color w:val="auto"/>
        </w:rPr>
        <w:t>MORGAN STANLEY</w:t>
      </w:r>
      <w:r>
        <w:rPr>
          <w:sz w:val="20"/>
          <w:szCs w:val="20"/>
          <w:color w:val="auto"/>
        </w:rPr>
        <w:tab/>
      </w:r>
      <w:r>
        <w:rPr>
          <w:rFonts w:ascii="Arial" w:cs="Arial" w:eastAsia="Arial" w:hAnsi="Arial"/>
          <w:sz w:val="29"/>
          <w:szCs w:val="29"/>
          <w:i w:val="1"/>
          <w:iCs w:val="1"/>
          <w:color w:val="auto"/>
        </w:rPr>
        <w:t>COWEN</w:t>
      </w:r>
    </w:p>
    <w:p>
      <w:pPr>
        <w:sectPr>
          <w:pgSz w:w="11900" w:h="16838" w:orient="portrait"/>
          <w:cols w:equalWidth="0" w:num="1">
            <w:col w:w="11220"/>
          </w:cols>
          <w:pgMar w:left="240" w:top="230" w:right="439" w:bottom="1440" w:gutter="0" w:footer="0" w:header="0"/>
        </w:sectPr>
      </w:pPr>
    </w:p>
    <w:p>
      <w:pPr>
        <w:spacing w:after="0" w:line="232" w:lineRule="exact"/>
        <w:rPr>
          <w:sz w:val="24"/>
          <w:szCs w:val="24"/>
          <w:color w:val="auto"/>
        </w:rPr>
      </w:pPr>
    </w:p>
    <w:p>
      <w:pPr>
        <w:ind w:left="200"/>
        <w:spacing w:after="0"/>
        <w:tabs>
          <w:tab w:leader="none" w:pos="4100" w:val="left"/>
        </w:tabs>
        <w:rPr>
          <w:sz w:val="20"/>
          <w:szCs w:val="20"/>
          <w:color w:val="auto"/>
        </w:rPr>
      </w:pPr>
      <w:r>
        <w:rPr>
          <w:rFonts w:ascii="Arial" w:cs="Arial" w:eastAsia="Arial" w:hAnsi="Arial"/>
          <w:sz w:val="18"/>
          <w:szCs w:val="18"/>
          <w:i w:val="1"/>
          <w:iCs w:val="1"/>
          <w:color w:val="auto"/>
        </w:rPr>
        <w:t>The date of this prospectus supplement is</w:t>
      </w:r>
      <w:r>
        <w:rPr>
          <w:sz w:val="20"/>
          <w:szCs w:val="20"/>
          <w:color w:val="auto"/>
        </w:rPr>
        <w:tab/>
      </w:r>
      <w:r>
        <w:rPr>
          <w:rFonts w:ascii="Arial" w:cs="Arial" w:eastAsia="Arial" w:hAnsi="Arial"/>
          <w:sz w:val="15"/>
          <w:szCs w:val="15"/>
          <w:i w:val="1"/>
          <w:iCs w:val="1"/>
          <w:color w:val="auto"/>
        </w:rPr>
        <w:t>, 2019</w:t>
      </w:r>
    </w:p>
    <w:p>
      <w:pPr>
        <w:sectPr>
          <w:pgSz w:w="11900" w:h="16838" w:orient="portrait"/>
          <w:cols w:equalWidth="0" w:num="1">
            <w:col w:w="11220"/>
          </w:cols>
          <w:pgMar w:left="240" w:top="230"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4740" w:type="dxa"/>
            <w:vAlign w:val="bottom"/>
            <w:gridSpan w:val="1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20" w:type="dxa"/>
            <w:vAlign w:val="bottom"/>
            <w:gridSpan w:val="18"/>
          </w:tcPr>
          <w:p>
            <w:pPr>
              <w:ind w:left="2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gridSpan w:val="7"/>
          </w:tcPr>
          <w:p>
            <w:pPr>
              <w:ind w:left="240"/>
              <w:spacing w:after="0"/>
              <w:rPr>
                <w:sz w:val="20"/>
                <w:szCs w:val="20"/>
                <w:color w:val="auto"/>
              </w:rPr>
            </w:pPr>
            <w:r>
              <w:rPr>
                <w:rFonts w:ascii="Arial" w:cs="Arial" w:eastAsia="Arial" w:hAnsi="Arial"/>
                <w:sz w:val="18"/>
                <w:szCs w:val="18"/>
                <w:b w:val="1"/>
                <w:bCs w:val="1"/>
                <w:color w:val="auto"/>
              </w:rPr>
              <w:t>PROSPECTUS SUPPLEMENT</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gridSpan w:val="4"/>
          </w:tcPr>
          <w:p>
            <w:pPr>
              <w:ind w:left="40"/>
              <w:spacing w:after="0"/>
              <w:rPr>
                <w:sz w:val="20"/>
                <w:szCs w:val="20"/>
                <w:color w:val="auto"/>
              </w:rPr>
            </w:pPr>
            <w:r>
              <w:rPr>
                <w:rFonts w:ascii="Arial" w:cs="Arial" w:eastAsia="Arial" w:hAnsi="Arial"/>
                <w:sz w:val="18"/>
                <w:szCs w:val="18"/>
                <w:b w:val="1"/>
                <w:bCs w:val="1"/>
                <w:color w:val="auto"/>
              </w:rPr>
              <w:t>PROSPECTUS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20" w:type="dxa"/>
            <w:vAlign w:val="bottom"/>
          </w:tcPr>
          <w:p>
            <w:pPr>
              <w:spacing w:after="0"/>
              <w:rPr>
                <w:sz w:val="24"/>
                <w:szCs w:val="24"/>
                <w:color w:val="auto"/>
              </w:rPr>
            </w:pPr>
          </w:p>
        </w:tc>
        <w:tc>
          <w:tcPr>
            <w:tcW w:w="2480" w:type="dxa"/>
            <w:vAlign w:val="bottom"/>
            <w:gridSpan w:val="11"/>
            <w:vMerge w:val="restart"/>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About this Prospectus Supplement</w:t>
              </w:r>
            </w:hyperlink>
          </w:p>
        </w:tc>
        <w:tc>
          <w:tcPr>
            <w:tcW w:w="2040" w:type="dxa"/>
            <w:vAlign w:val="bottom"/>
            <w:gridSpan w:val="4"/>
            <w:vMerge w:val="restart"/>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c>
          <w:tcPr>
            <w:tcW w:w="380" w:type="dxa"/>
            <w:vAlign w:val="bottom"/>
            <w:vMerge w:val="restart"/>
          </w:tcPr>
          <w:p>
            <w:pPr>
              <w:spacing w:after="0"/>
              <w:rPr>
                <w:sz w:val="24"/>
                <w:szCs w:val="24"/>
                <w:color w:val="auto"/>
              </w:rPr>
            </w:pPr>
          </w:p>
        </w:tc>
        <w:tc>
          <w:tcPr>
            <w:tcW w:w="5040" w:type="dxa"/>
            <w:vAlign w:val="bottom"/>
            <w:gridSpan w:val="15"/>
            <w:vMerge w:val="restart"/>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About this Prospectus</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2480" w:type="dxa"/>
            <w:vAlign w:val="bottom"/>
            <w:gridSpan w:val="11"/>
            <w:vMerge w:val="continue"/>
          </w:tcPr>
          <w:p>
            <w:pPr>
              <w:spacing w:after="0"/>
              <w:rPr>
                <w:sz w:val="13"/>
                <w:szCs w:val="13"/>
                <w:color w:val="auto"/>
              </w:rPr>
            </w:pPr>
          </w:p>
        </w:tc>
        <w:tc>
          <w:tcPr>
            <w:tcW w:w="2040" w:type="dxa"/>
            <w:vAlign w:val="bottom"/>
            <w:gridSpan w:val="4"/>
            <w:vMerge w:val="continue"/>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S-1</w:t>
            </w:r>
          </w:p>
        </w:tc>
        <w:tc>
          <w:tcPr>
            <w:tcW w:w="380" w:type="dxa"/>
            <w:vAlign w:val="bottom"/>
            <w:vMerge w:val="continue"/>
          </w:tcPr>
          <w:p>
            <w:pPr>
              <w:spacing w:after="0"/>
              <w:rPr>
                <w:sz w:val="13"/>
                <w:szCs w:val="13"/>
                <w:color w:val="auto"/>
              </w:rPr>
            </w:pPr>
          </w:p>
        </w:tc>
        <w:tc>
          <w:tcPr>
            <w:tcW w:w="5040" w:type="dxa"/>
            <w:vAlign w:val="bottom"/>
            <w:gridSpan w:val="15"/>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gridSpan w:val="2"/>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540" w:type="dxa"/>
            <w:vAlign w:val="bottom"/>
            <w:tcBorders>
              <w:left w:val="single" w:sz="8" w:color="0000EE"/>
              <w:right w:val="single" w:sz="8" w:color="0000EE"/>
            </w:tcBorders>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4520" w:type="dxa"/>
            <w:vAlign w:val="bottom"/>
            <w:gridSpan w:val="15"/>
          </w:tcPr>
          <w:p>
            <w:pPr>
              <w:spacing w:after="0" w:line="202"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Cautionary Statement Regarding Forward-Looking Statements</w:t>
              </w:r>
            </w:hyperlink>
          </w:p>
        </w:tc>
        <w:tc>
          <w:tcPr>
            <w:tcW w:w="3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S-2</w:t>
            </w:r>
          </w:p>
        </w:tc>
        <w:tc>
          <w:tcPr>
            <w:tcW w:w="5420" w:type="dxa"/>
            <w:vAlign w:val="bottom"/>
            <w:gridSpan w:val="16"/>
          </w:tcPr>
          <w:p>
            <w:pPr>
              <w:ind w:left="38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480" w:type="dxa"/>
            <w:vAlign w:val="bottom"/>
            <w:gridSpan w:val="11"/>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Prospectus Supplement Summary</w:t>
              </w:r>
            </w:hyperlink>
          </w:p>
        </w:tc>
        <w:tc>
          <w:tcPr>
            <w:tcW w:w="202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c>
          <w:tcPr>
            <w:tcW w:w="380" w:type="dxa"/>
            <w:vAlign w:val="bottom"/>
          </w:tcPr>
          <w:p>
            <w:pPr>
              <w:spacing w:after="0"/>
              <w:rPr>
                <w:sz w:val="17"/>
                <w:szCs w:val="17"/>
                <w:color w:val="auto"/>
              </w:rPr>
            </w:pPr>
          </w:p>
        </w:tc>
        <w:tc>
          <w:tcPr>
            <w:tcW w:w="5040" w:type="dxa"/>
            <w:vAlign w:val="bottom"/>
            <w:gridSpan w:val="15"/>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Cautionary Statement Regarding Forward-Looking Statements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Risk Factors</w:t>
              </w:r>
            </w:hyperlink>
          </w:p>
        </w:tc>
        <w:tc>
          <w:tcPr>
            <w:tcW w:w="1580" w:type="dxa"/>
            <w:vAlign w:val="bottom"/>
            <w:tcBorders>
              <w:top w:val="single" w:sz="8" w:color="0000EE"/>
            </w:tcBorders>
            <w:gridSpan w:val="8"/>
          </w:tcPr>
          <w:p>
            <w:pPr>
              <w:spacing w:after="0"/>
              <w:rPr>
                <w:sz w:val="17"/>
                <w:szCs w:val="17"/>
                <w:color w:val="auto"/>
              </w:rPr>
            </w:pPr>
          </w:p>
        </w:tc>
        <w:tc>
          <w:tcPr>
            <w:tcW w:w="2040" w:type="dxa"/>
            <w:vAlign w:val="bottom"/>
            <w:gridSpan w:val="4"/>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S-15</w:t>
            </w:r>
          </w:p>
        </w:tc>
        <w:tc>
          <w:tcPr>
            <w:tcW w:w="38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The Company</w:t>
              </w:r>
            </w:hyperlink>
          </w:p>
        </w:tc>
        <w:tc>
          <w:tcPr>
            <w:tcW w:w="3480" w:type="dxa"/>
            <w:vAlign w:val="bottom"/>
            <w:tcBorders>
              <w:top w:val="single" w:sz="8" w:color="0000EE"/>
            </w:tcBorders>
            <w:gridSpan w:val="10"/>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160" w:type="dxa"/>
            <w:vAlign w:val="bottom"/>
            <w:tcBorders>
              <w:bottom w:val="single" w:sz="8" w:color="0000EE"/>
            </w:tcBorders>
            <w:gridSpan w:val="8"/>
          </w:tcPr>
          <w:p>
            <w:pPr>
              <w:spacing w:after="0" w:line="196" w:lineRule="exact"/>
              <w:rPr>
                <w:rFonts w:ascii="Arial" w:cs="Arial" w:eastAsia="Arial" w:hAnsi="Arial"/>
                <w:sz w:val="18"/>
                <w:szCs w:val="18"/>
                <w:color w:val="0000EE"/>
                <w:w w:val="85"/>
              </w:rPr>
            </w:pPr>
            <w:hyperlink w:anchor="page22">
              <w:r>
                <w:rPr>
                  <w:rFonts w:ascii="Arial" w:cs="Arial" w:eastAsia="Arial" w:hAnsi="Arial"/>
                  <w:sz w:val="18"/>
                  <w:szCs w:val="18"/>
                  <w:color w:val="0000EE"/>
                  <w:w w:val="85"/>
                </w:rPr>
                <w:t>Use of Proceeds</w:t>
              </w:r>
            </w:hyperlink>
          </w:p>
        </w:tc>
        <w:tc>
          <w:tcPr>
            <w:tcW w:w="3360" w:type="dxa"/>
            <w:vAlign w:val="bottom"/>
            <w:gridSpan w:val="7"/>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S-20</w:t>
            </w:r>
          </w:p>
        </w:tc>
        <w:tc>
          <w:tcPr>
            <w:tcW w:w="380" w:type="dxa"/>
            <w:vAlign w:val="bottom"/>
          </w:tcPr>
          <w:p>
            <w:pPr>
              <w:spacing w:after="0"/>
              <w:rPr>
                <w:sz w:val="17"/>
                <w:szCs w:val="17"/>
                <w:color w:val="auto"/>
              </w:rPr>
            </w:pPr>
          </w:p>
        </w:tc>
        <w:tc>
          <w:tcPr>
            <w:tcW w:w="11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50">
              <w:r>
                <w:rPr>
                  <w:rFonts w:ascii="Arial" w:cs="Arial" w:eastAsia="Arial" w:hAnsi="Arial"/>
                  <w:sz w:val="18"/>
                  <w:szCs w:val="18"/>
                  <w:color w:val="0000EE"/>
                  <w:w w:val="87"/>
                </w:rPr>
                <w:t>Use of Proceeds</w:t>
              </w:r>
            </w:hyperlink>
          </w:p>
        </w:tc>
        <w:tc>
          <w:tcPr>
            <w:tcW w:w="386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940" w:type="dxa"/>
            <w:vAlign w:val="bottom"/>
            <w:gridSpan w:val="10"/>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Market for Common Stock</w:t>
              </w:r>
            </w:hyperlink>
          </w:p>
        </w:tc>
        <w:tc>
          <w:tcPr>
            <w:tcW w:w="2580" w:type="dxa"/>
            <w:vAlign w:val="bottom"/>
            <w:gridSpan w:val="5"/>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S-21</w:t>
            </w:r>
          </w:p>
        </w:tc>
        <w:tc>
          <w:tcPr>
            <w:tcW w:w="380" w:type="dxa"/>
            <w:vAlign w:val="bottom"/>
          </w:tcPr>
          <w:p>
            <w:pPr>
              <w:spacing w:after="0"/>
              <w:rPr>
                <w:sz w:val="17"/>
                <w:szCs w:val="17"/>
                <w:color w:val="auto"/>
              </w:rPr>
            </w:pPr>
          </w:p>
        </w:tc>
        <w:tc>
          <w:tcPr>
            <w:tcW w:w="5040" w:type="dxa"/>
            <w:vAlign w:val="bottom"/>
            <w:gridSpan w:val="15"/>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Securities We May Offer</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940" w:type="dxa"/>
            <w:vAlign w:val="bottom"/>
            <w:gridSpan w:val="1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Dividend Policy</w:t>
              </w:r>
            </w:hyperlink>
          </w:p>
        </w:tc>
        <w:tc>
          <w:tcPr>
            <w:tcW w:w="2580" w:type="dxa"/>
            <w:vAlign w:val="bottom"/>
            <w:gridSpan w:val="5"/>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S-22</w:t>
            </w:r>
          </w:p>
        </w:tc>
        <w:tc>
          <w:tcPr>
            <w:tcW w:w="380" w:type="dxa"/>
            <w:vAlign w:val="bottom"/>
          </w:tcPr>
          <w:p>
            <w:pPr>
              <w:spacing w:after="0"/>
              <w:rPr>
                <w:sz w:val="17"/>
                <w:szCs w:val="17"/>
                <w:color w:val="auto"/>
              </w:rPr>
            </w:pPr>
          </w:p>
        </w:tc>
        <w:tc>
          <w:tcPr>
            <w:tcW w:w="5040" w:type="dxa"/>
            <w:vAlign w:val="bottom"/>
            <w:gridSpan w:val="1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Description of Capital Stock</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Capitalization</w:t>
              </w:r>
            </w:hyperlink>
          </w:p>
        </w:tc>
        <w:tc>
          <w:tcPr>
            <w:tcW w:w="140" w:type="dxa"/>
            <w:vAlign w:val="bottom"/>
            <w:gridSpan w:val="2"/>
          </w:tcPr>
          <w:p>
            <w:pPr>
              <w:spacing w:after="0"/>
              <w:rPr>
                <w:sz w:val="17"/>
                <w:szCs w:val="17"/>
                <w:color w:val="auto"/>
              </w:rPr>
            </w:pPr>
          </w:p>
        </w:tc>
        <w:tc>
          <w:tcPr>
            <w:tcW w:w="3360" w:type="dxa"/>
            <w:vAlign w:val="bottom"/>
            <w:gridSpan w:val="7"/>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S-23</w:t>
            </w:r>
          </w:p>
        </w:tc>
        <w:tc>
          <w:tcPr>
            <w:tcW w:w="380" w:type="dxa"/>
            <w:vAlign w:val="bottom"/>
          </w:tcPr>
          <w:p>
            <w:pPr>
              <w:spacing w:after="0"/>
              <w:rPr>
                <w:sz w:val="17"/>
                <w:szCs w:val="17"/>
                <w:color w:val="auto"/>
              </w:rPr>
            </w:pPr>
          </w:p>
        </w:tc>
        <w:tc>
          <w:tcPr>
            <w:tcW w:w="22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Description of Debt Securities</w:t>
              </w:r>
            </w:hyperlink>
          </w:p>
        </w:tc>
        <w:tc>
          <w:tcPr>
            <w:tcW w:w="284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520" w:type="dxa"/>
            <w:vAlign w:val="bottom"/>
            <w:gridSpan w:val="1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Dilution</w:t>
              </w:r>
            </w:hyperlink>
          </w:p>
        </w:tc>
        <w:tc>
          <w:tcPr>
            <w:tcW w:w="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S-25</w:t>
            </w:r>
          </w:p>
        </w:tc>
        <w:tc>
          <w:tcPr>
            <w:tcW w:w="5420" w:type="dxa"/>
            <w:vAlign w:val="bottom"/>
            <w:gridSpan w:val="16"/>
          </w:tcPr>
          <w:p>
            <w:pPr>
              <w:ind w:left="380"/>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Description of Warrants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29">
              <w:r>
                <w:rPr>
                  <w:rFonts w:ascii="Arial" w:cs="Arial" w:eastAsia="Arial" w:hAnsi="Arial"/>
                  <w:sz w:val="18"/>
                  <w:szCs w:val="18"/>
                  <w:color w:val="0000EE"/>
                  <w:w w:val="93"/>
                </w:rPr>
                <w:t>Underwriting</w:t>
              </w:r>
            </w:hyperlink>
          </w:p>
        </w:tc>
        <w:tc>
          <w:tcPr>
            <w:tcW w:w="3560" w:type="dxa"/>
            <w:vAlign w:val="bottom"/>
            <w:gridSpan w:val="11"/>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S-27</w:t>
            </w:r>
          </w:p>
        </w:tc>
        <w:tc>
          <w:tcPr>
            <w:tcW w:w="380" w:type="dxa"/>
            <w:vAlign w:val="bottom"/>
          </w:tcPr>
          <w:p>
            <w:pPr>
              <w:spacing w:after="0"/>
              <w:rPr>
                <w:sz w:val="17"/>
                <w:szCs w:val="17"/>
                <w:color w:val="auto"/>
              </w:rPr>
            </w:pPr>
          </w:p>
        </w:tc>
        <w:tc>
          <w:tcPr>
            <w:tcW w:w="148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67">
              <w:r>
                <w:rPr>
                  <w:rFonts w:ascii="Arial" w:cs="Arial" w:eastAsia="Arial" w:hAnsi="Arial"/>
                  <w:sz w:val="18"/>
                  <w:szCs w:val="18"/>
                  <w:color w:val="0000EE"/>
                  <w:w w:val="93"/>
                </w:rPr>
                <w:t>Description of Units</w:t>
              </w:r>
            </w:hyperlink>
          </w:p>
        </w:tc>
        <w:tc>
          <w:tcPr>
            <w:tcW w:w="356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520" w:type="dxa"/>
            <w:vAlign w:val="bottom"/>
            <w:gridSpan w:val="15"/>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Material U.S. Federal Income Tax Considerations for</w:t>
              </w:r>
            </w:hyperlink>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20" w:type="dxa"/>
            <w:vAlign w:val="bottom"/>
            <w:gridSpan w:val="16"/>
          </w:tcPr>
          <w:p>
            <w:pPr>
              <w:ind w:left="380"/>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Plan of Distribution</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3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Non-U.S. Holders</w:t>
              </w:r>
            </w:hyperlink>
          </w:p>
        </w:tc>
        <w:tc>
          <w:tcPr>
            <w:tcW w:w="2340" w:type="dxa"/>
            <w:vAlign w:val="bottom"/>
            <w:tcBorders>
              <w:top w:val="single" w:sz="8" w:color="0000EE"/>
            </w:tcBorders>
            <w:gridSpan w:val="4"/>
          </w:tcPr>
          <w:p>
            <w:pPr>
              <w:spacing w:after="0"/>
              <w:rPr>
                <w:sz w:val="17"/>
                <w:szCs w:val="17"/>
                <w:color w:val="auto"/>
              </w:rPr>
            </w:pPr>
          </w:p>
        </w:tc>
        <w:tc>
          <w:tcPr>
            <w:tcW w:w="70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S-33</w:t>
            </w:r>
          </w:p>
        </w:tc>
        <w:tc>
          <w:tcPr>
            <w:tcW w:w="38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73">
              <w:r>
                <w:rPr>
                  <w:rFonts w:ascii="Arial" w:cs="Arial" w:eastAsia="Arial" w:hAnsi="Arial"/>
                  <w:sz w:val="18"/>
                  <w:szCs w:val="18"/>
                  <w:color w:val="0000EE"/>
                  <w:w w:val="91"/>
                </w:rPr>
                <w:t>Legal Matters</w:t>
              </w:r>
            </w:hyperlink>
          </w:p>
        </w:tc>
        <w:tc>
          <w:tcPr>
            <w:tcW w:w="420" w:type="dxa"/>
            <w:vAlign w:val="bottom"/>
            <w:tcBorders>
              <w:top w:val="single" w:sz="8" w:color="0000EE"/>
            </w:tcBorders>
            <w:gridSpan w:val="3"/>
          </w:tcPr>
          <w:p>
            <w:pPr>
              <w:spacing w:after="0"/>
              <w:rPr>
                <w:sz w:val="17"/>
                <w:szCs w:val="17"/>
                <w:color w:val="auto"/>
              </w:rPr>
            </w:pPr>
          </w:p>
        </w:tc>
        <w:tc>
          <w:tcPr>
            <w:tcW w:w="360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Legal Matters</w:t>
              </w:r>
            </w:hyperlink>
          </w:p>
        </w:tc>
        <w:tc>
          <w:tcPr>
            <w:tcW w:w="3520" w:type="dxa"/>
            <w:vAlign w:val="bottom"/>
            <w:gridSpan w:val="10"/>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S-37</w:t>
            </w:r>
          </w:p>
        </w:tc>
        <w:tc>
          <w:tcPr>
            <w:tcW w:w="38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73">
              <w:r>
                <w:rPr>
                  <w:rFonts w:ascii="Arial" w:cs="Arial" w:eastAsia="Arial" w:hAnsi="Arial"/>
                  <w:sz w:val="18"/>
                  <w:szCs w:val="18"/>
                  <w:color w:val="0000EE"/>
                  <w:w w:val="88"/>
                </w:rPr>
                <w:t>Experts</w:t>
              </w:r>
            </w:hyperlink>
          </w:p>
        </w:tc>
        <w:tc>
          <w:tcPr>
            <w:tcW w:w="448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Experts</w:t>
              </w:r>
            </w:hyperlink>
          </w:p>
        </w:tc>
        <w:tc>
          <w:tcPr>
            <w:tcW w:w="3940" w:type="dxa"/>
            <w:vAlign w:val="bottom"/>
            <w:gridSpan w:val="13"/>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S-37</w:t>
            </w:r>
          </w:p>
        </w:tc>
        <w:tc>
          <w:tcPr>
            <w:tcW w:w="380" w:type="dxa"/>
            <w:vAlign w:val="bottom"/>
          </w:tcPr>
          <w:p>
            <w:pPr>
              <w:spacing w:after="0"/>
              <w:rPr>
                <w:sz w:val="17"/>
                <w:szCs w:val="17"/>
                <w:color w:val="auto"/>
              </w:rPr>
            </w:pPr>
          </w:p>
        </w:tc>
        <w:tc>
          <w:tcPr>
            <w:tcW w:w="28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73">
              <w:r>
                <w:rPr>
                  <w:rFonts w:ascii="Arial" w:cs="Arial" w:eastAsia="Arial" w:hAnsi="Arial"/>
                  <w:sz w:val="18"/>
                  <w:szCs w:val="18"/>
                  <w:color w:val="0000EE"/>
                  <w:w w:val="92"/>
                </w:rPr>
                <w:t>Where You Can Find More Information</w:t>
              </w:r>
            </w:hyperlink>
          </w:p>
        </w:tc>
        <w:tc>
          <w:tcPr>
            <w:tcW w:w="216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860" w:type="dxa"/>
            <w:vAlign w:val="bottom"/>
            <w:gridSpan w:val="12"/>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Where You Can Find More Information</w:t>
              </w:r>
            </w:hyperlink>
          </w:p>
        </w:tc>
        <w:tc>
          <w:tcPr>
            <w:tcW w:w="166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S-37</w:t>
            </w:r>
          </w:p>
        </w:tc>
        <w:tc>
          <w:tcPr>
            <w:tcW w:w="380" w:type="dxa"/>
            <w:vAlign w:val="bottom"/>
          </w:tcPr>
          <w:p>
            <w:pPr>
              <w:spacing w:after="0"/>
              <w:rPr>
                <w:sz w:val="17"/>
                <w:szCs w:val="17"/>
                <w:color w:val="auto"/>
              </w:rPr>
            </w:pPr>
          </w:p>
        </w:tc>
        <w:tc>
          <w:tcPr>
            <w:tcW w:w="5040" w:type="dxa"/>
            <w:vAlign w:val="bottom"/>
            <w:gridSpan w:val="15"/>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Incorporation by Reference</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8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Incorporation by Reference</w:t>
              </w:r>
            </w:hyperlink>
          </w:p>
        </w:tc>
        <w:tc>
          <w:tcPr>
            <w:tcW w:w="166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S-37</w:t>
            </w:r>
          </w:p>
        </w:tc>
        <w:tc>
          <w:tcPr>
            <w:tcW w:w="380" w:type="dxa"/>
            <w:vAlign w:val="bottom"/>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334645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AVROBIO, Inc. and other trademarks or service marks of AVROBIO, Inc. appearing in this prospectus supplement and the accompanying prospectus are the property of AVROBIO, Inc. This prospectus supplement and the accompanying prospectus may refer to brand names, trademarks, service marks or trade names of other companies and organizations, and those brand names, trademarks, service marks and trade names are the property of their respective holders.</w:t>
      </w:r>
    </w:p>
    <w:p>
      <w:pPr>
        <w:sectPr>
          <w:pgSz w:w="11900" w:h="16838" w:orient="portrait"/>
          <w:cols w:equalWidth="0" w:num="1">
            <w:col w:w="11160"/>
          </w:cols>
          <w:pgMar w:left="240" w:top="44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This document is in two parts. The first part is this prospectus supplement, which describes the specific terms of this offering of common stock.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w:t>
      </w:r>
    </w:p>
    <w:p>
      <w:pPr>
        <w:spacing w:after="0" w:line="189"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This prospectus supplement is part of a registration statement that we filed with the Securities and Exchange Commission, or SEC, using a “shelf” registration process. Under the shelf registration process, we may from time to time offer and sell any combination of the securities described in the accompanying prospectus up to a total dollar amount of $200.0 million, of which this offering is a part.</w:t>
      </w:r>
    </w:p>
    <w:p>
      <w:pPr>
        <w:spacing w:after="0" w:line="17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b w:val="1"/>
          <w:bCs w:val="1"/>
          <w:color w:val="auto"/>
        </w:rPr>
        <w:t>You should rely only on the information contained or incorporated by reference in this prospectus supplement, the accompanying prospectus and any free writing prospectus prepared by us or on our behalf. We have not, and the underwriters have not, authorized any other person to provide you with information different from that contained in this prospectus supplement and the accompanying prospectus or incorporated by reference in this prospectus supplement and the accompanying prospectus. If anyone provides you with different or inconsistent information, you should not rely on it. We are not, and the underwriters are not, making an offer to sell or soliciting an offer to buy these securities under any circumstance in any jurisdiction where the offer or solicitation is not permitted. You should assume that the information contained in this prospectus supplement, the accompanying prospectus and any free writing prospectus prepared by us or on our behalf is accurate only as of the date of the respective document in which the information appears, and that any information in documents that we have incorporated by reference is accurate only as of the date of the document incorporated by reference, regardless of the time of delivery of this prospectus supplement or any sale of a security. Our business, financial condition, results of operations and prospects may have changed since those dates.</w:t>
      </w:r>
    </w:p>
    <w:p>
      <w:pPr>
        <w:spacing w:after="0" w:line="178" w:lineRule="exact"/>
        <w:rPr>
          <w:sz w:val="20"/>
          <w:szCs w:val="20"/>
          <w:color w:val="auto"/>
        </w:rPr>
      </w:pPr>
    </w:p>
    <w:p>
      <w:pPr>
        <w:ind w:left="200" w:right="300" w:firstLine="441"/>
        <w:spacing w:after="0" w:line="255" w:lineRule="auto"/>
        <w:rPr>
          <w:sz w:val="20"/>
          <w:szCs w:val="20"/>
          <w:color w:val="auto"/>
        </w:rPr>
      </w:pPr>
      <w:r>
        <w:rPr>
          <w:rFonts w:ascii="Arial" w:cs="Arial" w:eastAsia="Arial" w:hAnsi="Arial"/>
          <w:sz w:val="18"/>
          <w:szCs w:val="18"/>
          <w:color w:val="auto"/>
        </w:rPr>
        <w:t>It is important for you to read and consider all of the information contained in this prospectus supplement and the accompanying prospectus in making your investment decision. We include cross-references in this prospectus supplement and the accompanying prospectus to captions in these materials where you can find additional related discussions. The table of contents in this prospectus supplement provides the pages on which these captions are located. You should read both this prospectus supplement and the accompanying prospectus, together with the additional information described in the sections entitled “Where You Can Find More Information” and “Incorporation by Reference” of this prospectus supplement, before investing in our common stock.</w:t>
      </w:r>
    </w:p>
    <w:p>
      <w:pPr>
        <w:spacing w:after="0" w:line="193" w:lineRule="exact"/>
        <w:rPr>
          <w:sz w:val="20"/>
          <w:szCs w:val="20"/>
          <w:color w:val="auto"/>
        </w:rPr>
      </w:pPr>
    </w:p>
    <w:p>
      <w:pPr>
        <w:ind w:left="200" w:right="200" w:firstLine="441"/>
        <w:spacing w:after="0" w:line="291" w:lineRule="auto"/>
        <w:rPr>
          <w:sz w:val="20"/>
          <w:szCs w:val="20"/>
          <w:color w:val="auto"/>
        </w:rPr>
      </w:pPr>
      <w:r>
        <w:rPr>
          <w:rFonts w:ascii="Arial" w:cs="Arial" w:eastAsia="Arial" w:hAnsi="Arial"/>
          <w:sz w:val="16"/>
          <w:szCs w:val="16"/>
          <w:color w:val="auto"/>
        </w:rPr>
        <w:t>We are offering to sell, and seeking offers to buy, shares of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This prospectus supplement and the accompanying prospectus, including the documents that we incorporate by reference, contain forward-looking statements within the meaning of Section 27A of the Securities Act of 1933, as amended, or the Securities Act, and Section 21E of the Securities Exchange Act of 1934, as amended, or the Exchange Act. Any statements about our expectations, beliefs, plans, objectives, assumptions or future events or performance are not historical facts and may be forward-looking. These statements are often, but are not always, made through the use of words or phrases such as “may,” “will,” “could,” “should,” “expects,” “intends,” “target,” “contemplates,” “plans,” “anticipates,” “believes,” “estimates,” “predicts,” “projects,” “potential,” or “continue,” and similar expressions, or the negative of these terms, or similar expressions. Accordingly, these statements involve estimates, assumptions and uncertainties which could cause actual results to differ materially from those expressed in them. Any forward-looking statements are qualified in their entirety by reference to the factors discussed throughout this report, and in particular those factors referenced in the section “Risk Factors.”</w:t>
      </w:r>
    </w:p>
    <w:p>
      <w:pPr>
        <w:spacing w:after="0" w:line="19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This prospectus supplement and the accompanying prospectus contain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78" w:lineRule="exact"/>
        <w:rPr>
          <w:sz w:val="20"/>
          <w:szCs w:val="20"/>
          <w:color w:val="auto"/>
        </w:rPr>
      </w:pPr>
    </w:p>
    <w:p>
      <w:pPr>
        <w:ind w:left="1060" w:right="100" w:hanging="424"/>
        <w:spacing w:after="0" w:line="264"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86" w:lineRule="exact"/>
        <w:rPr>
          <w:rFonts w:ascii="Arial" w:cs="Arial" w:eastAsia="Arial" w:hAnsi="Arial"/>
          <w:sz w:val="18"/>
          <w:szCs w:val="18"/>
          <w:color w:val="auto"/>
        </w:rPr>
      </w:pPr>
    </w:p>
    <w:p>
      <w:pPr>
        <w:ind w:left="1060" w:right="220" w:hanging="424"/>
        <w:spacing w:after="0" w:line="34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30" w:lineRule="exact"/>
        <w:rPr>
          <w:rFonts w:ascii="Arial" w:cs="Arial" w:eastAsia="Arial" w:hAnsi="Arial"/>
          <w:sz w:val="18"/>
          <w:szCs w:val="18"/>
          <w:color w:val="auto"/>
        </w:rPr>
      </w:pPr>
    </w:p>
    <w:p>
      <w:pPr>
        <w:ind w:left="1060" w:right="140" w:hanging="424"/>
        <w:spacing w:after="0" w:line="264"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implementation of our business model and our strategic plans for our business, product candidates, technology and plato platform, including our transition to a proprietary four-plasmid-produced lentiviral vector, or LV2, and our use of busulfan as a conditioning regimen administered through therapeutic drug monitoring, or TDM;</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30" w:lineRule="exact"/>
        <w:rPr>
          <w:rFonts w:ascii="Arial" w:cs="Arial" w:eastAsia="Arial" w:hAnsi="Arial"/>
          <w:sz w:val="18"/>
          <w:szCs w:val="18"/>
          <w:color w:val="auto"/>
        </w:rPr>
      </w:pPr>
    </w:p>
    <w:p>
      <w:pPr>
        <w:ind w:left="1060" w:right="940" w:hanging="424"/>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scalability and commercial viability of our manufacturing methods and processes, including our use of cryopreservation and implementation of a closed, automated manufacturing system;</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our product candidates, in particular, and gene therapy, in general;</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30" w:lineRule="exact"/>
        <w:rPr>
          <w:rFonts w:ascii="Arial" w:cs="Arial" w:eastAsia="Arial" w:hAnsi="Arial"/>
          <w:sz w:val="18"/>
          <w:szCs w:val="18"/>
          <w:color w:val="auto"/>
        </w:rPr>
      </w:pPr>
    </w:p>
    <w:p>
      <w:pPr>
        <w:ind w:left="1060" w:right="560" w:hanging="424"/>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scope of protection we and/or our licensors are able to establish and maintain for intellectual property rights covering our product candidates;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professionals and to identify, hire and retain additional qualified professionals;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60" w:right="380" w:hanging="424"/>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remediate the material weaknesses that we and our independent registered public accounting firm identified and avoid any findings of material weaknesses or significant deficiencies in the future;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laws and regulations, including without limitation recently enacted tax reform legislation;</w:t>
      </w:r>
    </w:p>
    <w:p>
      <w:pPr>
        <w:spacing w:after="0" w:line="130"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are an emerging growth company under the Jumpstart Our Business Startups Act of 2012, as amended, or the JOBS Act;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5"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herein and therein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8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You should read this prospectus supplement, the accompanying prospectus and the documents that we incorporate by reference herein or therein completely and with the understanding that our actual future results may be materially different from what we expect. The forward-looking statements in this prospectus supplement, the accompanying prospectus and the documents we incorporate by reference herein represent our views as of their respective dates.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 supplement.</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44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2145" cy="58445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80" w:firstLine="426"/>
        <w:spacing w:after="0" w:line="289" w:lineRule="auto"/>
        <w:rPr>
          <w:sz w:val="20"/>
          <w:szCs w:val="20"/>
          <w:color w:val="auto"/>
        </w:rPr>
      </w:pPr>
      <w:r>
        <w:rPr>
          <w:rFonts w:ascii="Arial" w:cs="Arial" w:eastAsia="Arial" w:hAnsi="Arial"/>
          <w:sz w:val="16"/>
          <w:szCs w:val="16"/>
          <w:i w:val="1"/>
          <w:iCs w:val="1"/>
          <w:color w:val="auto"/>
        </w:rPr>
        <w:t>This summary provides an overview of selected information contained elsewhere in this prospectus supplement and the accompanying prospectus and does not contain all of the information you should consider before making your investment decision. Before investing in our common stock, you should carefully read this entire prospectus supplement and the accompanying prospectus and the information incorporated herein and therein by reference, including our financial statements and the related notes included or incorporated by reference into this prospectus supplement and the accompanying prospectus. You should also consider, among other things, the matters described under “Risk Factors” beginning on page S-15 and “Management’s Discussion and Analysis of Financial Condition and Results of Operations” in each case included or incorporated by reference in this prospectus supplement and the accompanying prospectus and the information incorporated herein and therein by reference. As used in this prospectus supplement and the accompanying prospectus, the terms “AVROBIO,” “we,” “our,” “us,” or “the Company” refer to AVROBIO, Inc. and its subsidiaries on a consolidated basis, unless the context otherwise indicates.</w:t>
      </w:r>
    </w:p>
    <w:p>
      <w:pPr>
        <w:spacing w:after="0" w:line="16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left="380" w:firstLine="426"/>
        <w:spacing w:after="0" w:line="254" w:lineRule="auto"/>
        <w:rPr>
          <w:sz w:val="20"/>
          <w:szCs w:val="20"/>
          <w:color w:val="auto"/>
        </w:rPr>
      </w:pPr>
      <w:r>
        <w:rPr>
          <w:rFonts w:ascii="Arial" w:cs="Arial" w:eastAsia="Arial" w:hAnsi="Arial"/>
          <w:sz w:val="18"/>
          <w:szCs w:val="18"/>
          <w:color w:val="auto"/>
        </w:rPr>
        <w:t xml:space="preserve">We are a Phase 2 clinical 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lentiviral-based gene therapies to treat patients with rare diseases following a single dose treatment regimen. Our gene therapies employ hematopoietic stem cells that are harvested from the patient and then modified with lentiviral vectors to insert a functional copy of the gene that is defective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storage diseases, some of which today are primarily managed with enzyme replacement therapies, or ERTs. These lysosomal storage diseases have well-understood biologies, identified patient populations, established standards of care yet with significant unmet needs, and represent large market opportunities with approximately $4.0 billion in worldwide net sales in 2018.</w:t>
      </w:r>
    </w:p>
    <w:p>
      <w:pPr>
        <w:spacing w:after="0" w:line="18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AVR-RD-01 for Fabry disease</w:t>
      </w:r>
    </w:p>
    <w:p>
      <w:pPr>
        <w:spacing w:after="0" w:line="121" w:lineRule="exact"/>
        <w:rPr>
          <w:sz w:val="20"/>
          <w:szCs w:val="20"/>
          <w:color w:val="auto"/>
        </w:rPr>
      </w:pPr>
    </w:p>
    <w:p>
      <w:pPr>
        <w:ind w:left="380" w:firstLine="426"/>
        <w:spacing w:after="0" w:line="290" w:lineRule="auto"/>
        <w:rPr>
          <w:sz w:val="20"/>
          <w:szCs w:val="20"/>
          <w:color w:val="auto"/>
        </w:rPr>
      </w:pPr>
      <w:r>
        <w:rPr>
          <w:rFonts w:ascii="Arial" w:cs="Arial" w:eastAsia="Arial" w:hAnsi="Arial"/>
          <w:sz w:val="16"/>
          <w:szCs w:val="16"/>
          <w:color w:val="auto"/>
        </w:rPr>
        <w:t>In July 2019, we announced clinical data from clinical trials of our investigational gene therapy AVR-RD-01 in Fabry disease. AVR-RD-01 is currently being studied in two ongoing clinical trials. A Phase 1 investigator-sponsored clinical trial of AVR-RD-01 is being conducted by the University Health Network, or UHN, and sponsored by Fabry Disease Clinical Research and Therapeutics, or FACTs, at three centers in Canada. A total of five patients with Fabry disease who have been previously treated with enzyme replacement therapy, or ERT, for at least six months have been enrolled and enrollment is complete. In addition, we are sponsoring a Phase 2 open-label, multinational clinical trial of AVR-RD-01, with expected enrollment of eight to 12 treatment-naïve males, 16 years and older, with classic Fabry disease, who have not been treated with ERT within 10 years prior to enrollment or chaperone therapy at any time. As of July 15, 2019, three patients in Australia have enrolled in this Phase 2 clinical trial, and we currently have the necessary regulatory clearances to expand enrollment to sites in Canada and the United States.</w:t>
      </w:r>
    </w:p>
    <w:p>
      <w:pPr>
        <w:spacing w:after="0" w:line="166" w:lineRule="exact"/>
        <w:rPr>
          <w:sz w:val="20"/>
          <w:szCs w:val="20"/>
          <w:color w:val="auto"/>
        </w:rPr>
      </w:pPr>
    </w:p>
    <w:p>
      <w:pPr>
        <w:ind w:left="380" w:right="80" w:firstLine="426"/>
        <w:spacing w:after="0" w:line="276" w:lineRule="auto"/>
        <w:rPr>
          <w:sz w:val="20"/>
          <w:szCs w:val="20"/>
          <w:color w:val="auto"/>
        </w:rPr>
      </w:pPr>
      <w:r>
        <w:rPr>
          <w:rFonts w:ascii="Arial" w:cs="Arial" w:eastAsia="Arial" w:hAnsi="Arial"/>
          <w:sz w:val="17"/>
          <w:szCs w:val="17"/>
          <w:color w:val="auto"/>
        </w:rPr>
        <w:t>The primary efficacy endpoint of our Phase 2 clinical trial is the change from baseline in the average number of globotriaosylceramide, or Gb3, inclusions per peritubular capillary, or PTC, as measured in a patient kidney biopsy one year (48 weeks) after treatment with AVR-RD-01. In addition to safety, the Phase 2 and Phase 1 clinical trials are also examining additional secondary efficacy endpoints including biomarkers such as plasma lyso-globotriaosylsphingosine, or lyso-Gb3, alpha-galactosidase A, or AGA, enzyme levels measured in plasma and leukocytes, as well as certain parameters of organ function. In addition, vector copy number, 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020"/>
          </w:cols>
          <w:pgMar w:left="24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903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2145" cy="6290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480"/>
        <w:spacing w:after="0" w:line="277" w:lineRule="auto"/>
        <w:rPr>
          <w:sz w:val="20"/>
          <w:szCs w:val="20"/>
          <w:color w:val="auto"/>
        </w:rPr>
      </w:pPr>
      <w:r>
        <w:rPr>
          <w:rFonts w:ascii="Arial" w:cs="Arial" w:eastAsia="Arial" w:hAnsi="Arial"/>
          <w:sz w:val="18"/>
          <w:szCs w:val="18"/>
          <w:color w:val="auto"/>
        </w:rPr>
        <w:t>VCN, is being measured in these trials to assess the potential durability of the gene therapy. Safety and tolerability parameters also are being assessed in these trials.</w:t>
      </w:r>
    </w:p>
    <w:p>
      <w:pPr>
        <w:spacing w:after="0" w:line="76" w:lineRule="exact"/>
        <w:rPr>
          <w:sz w:val="20"/>
          <w:szCs w:val="20"/>
          <w:color w:val="auto"/>
        </w:rPr>
      </w:pPr>
    </w:p>
    <w:p>
      <w:pPr>
        <w:ind w:left="1220" w:right="80" w:hanging="415"/>
        <w:spacing w:after="0" w:line="276"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Kidney biopsy / Gb3 PTC reductions. </w:t>
      </w:r>
      <w:r>
        <w:rPr>
          <w:rFonts w:ascii="Arial" w:cs="Arial" w:eastAsia="Arial" w:hAnsi="Arial"/>
          <w:sz w:val="17"/>
          <w:szCs w:val="17"/>
          <w:color w:val="auto"/>
        </w:rPr>
        <w:t>The primary efficacy endpoint of our Phase 2 clinical trial is the change, from baseline to one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 post-treatment with AVR-RD-01, in the average number of Gb3 inclusions per PTC, as measured in a patient kidney biopsy. Gb3, also referred to as GL-3, is a type of fatty substrate that builds in the cells of Fabry patients, resulting in damage to organs such as kidneys and heart. PTCs, also referred to as kidney interstitial capillaries, or KICs, in Fabry clinical trials, convey blood after filtration in the glomeruli, enabling the blood to eventually exit the kidney and return to the circulatory system.</w:t>
      </w:r>
    </w:p>
    <w:p>
      <w:pPr>
        <w:spacing w:after="0" w:line="64" w:lineRule="exact"/>
        <w:rPr>
          <w:sz w:val="20"/>
          <w:szCs w:val="20"/>
          <w:color w:val="auto"/>
        </w:rPr>
      </w:pPr>
    </w:p>
    <w:p>
      <w:pPr>
        <w:jc w:val="both"/>
        <w:ind w:left="1240" w:right="80"/>
        <w:spacing w:after="0" w:line="259" w:lineRule="auto"/>
        <w:rPr>
          <w:sz w:val="20"/>
          <w:szCs w:val="20"/>
          <w:color w:val="auto"/>
        </w:rPr>
      </w:pPr>
      <w:r>
        <w:rPr>
          <w:rFonts w:ascii="Arial" w:cs="Arial" w:eastAsia="Arial" w:hAnsi="Arial"/>
          <w:sz w:val="18"/>
          <w:szCs w:val="18"/>
          <w:color w:val="auto"/>
        </w:rPr>
        <w:t>The first patient in our Phase 2 clinical trial, who had not previously received ERT, exhibited a reduction from an average of 3.55 Gb3 inclusions per PTC at baseline to an average of 0.47 inclusions per PTC one year after administration of AVR-RD-01, representing an 87% reduction and a numerical decrease of 3.08. The following figure illustrates this decrease in average Gb3 inclusions per PTC for this patient.</w:t>
      </w:r>
    </w:p>
    <w:p>
      <w:pPr>
        <w:spacing w:after="0" w:line="29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Phase 2 Patient 1: 87% substrate reduction in kidney biopsy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 xml:space="preserve">Baseline: </w:t>
      </w:r>
      <w:r>
        <w:rPr>
          <w:rFonts w:ascii="Arial" w:cs="Arial" w:eastAsia="Arial" w:hAnsi="Arial"/>
          <w:sz w:val="14"/>
          <w:szCs w:val="14"/>
          <w:i w:val="1"/>
          <w:iCs w:val="1"/>
          <w:color w:val="auto"/>
        </w:rPr>
        <w:t>The last available, non-missing observation prior to AVR-RD-01 infusion</w:t>
      </w:r>
    </w:p>
    <w:p>
      <w:pPr>
        <w:ind w:left="520"/>
        <w:spacing w:after="0"/>
        <w:rPr>
          <w:sz w:val="20"/>
          <w:szCs w:val="20"/>
          <w:color w:val="auto"/>
        </w:rPr>
      </w:pPr>
      <w:r>
        <w:rPr>
          <w:rFonts w:ascii="Arial" w:cs="Arial" w:eastAsia="Arial" w:hAnsi="Arial"/>
          <w:sz w:val="14"/>
          <w:szCs w:val="14"/>
          <w:b w:val="1"/>
          <w:bCs w:val="1"/>
          <w:i w:val="1"/>
          <w:iCs w:val="1"/>
          <w:color w:val="auto"/>
        </w:rPr>
        <w:t xml:space="preserve">Note: </w:t>
      </w:r>
      <w:r>
        <w:rPr>
          <w:rFonts w:ascii="Arial" w:cs="Arial" w:eastAsia="Arial" w:hAnsi="Arial"/>
          <w:sz w:val="14"/>
          <w:szCs w:val="14"/>
          <w:i w:val="1"/>
          <w:iCs w:val="1"/>
          <w:color w:val="auto"/>
        </w:rPr>
        <w:t>With respect to Fabry disease clinical trials, Gb3 inclusions per PTC is interchangeable with GL-3 inclusions per KIC</w:t>
      </w:r>
    </w:p>
    <w:p>
      <w:pPr>
        <w:spacing w:after="0" w:line="291" w:lineRule="exact"/>
        <w:rPr>
          <w:sz w:val="20"/>
          <w:szCs w:val="20"/>
          <w:color w:val="auto"/>
        </w:rPr>
      </w:pPr>
    </w:p>
    <w:p>
      <w:pPr>
        <w:ind w:left="1220" w:hanging="415"/>
        <w:spacing w:after="0" w:line="254"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Plasma lyso-Gb3 reductions. </w:t>
      </w:r>
      <w:r>
        <w:rPr>
          <w:rFonts w:ascii="Arial" w:cs="Arial" w:eastAsia="Arial" w:hAnsi="Arial"/>
          <w:sz w:val="18"/>
          <w:szCs w:val="18"/>
          <w:color w:val="auto"/>
        </w:rPr>
        <w:t>The first patient in our Phase 2 trial (who was treatment-naïve) had an 87% reduction in plasma lyso-Gb3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one year after treatment with AVR-RD-01. In addition, in the first four patients in the Phase 1 clinical trial of AVR-RD-01 for whom efficacy data is available at six months or more post-treatment with AVR-RD-01, we observed consistent reductions in plasma lyso-Gb3 levels. In these first four Phase 1 patients, we have observed plasma lyso-Gb3 at levels post-treatment that are lower than the levels observed when the patient received only ERT prior to administration of AVR-RD-01, which we refer to as baseline ERT levels. We define baseline ERT for these Phase 1 patients as the mean of the plasma lyso-Gb3 values reported prior to initiating mobilization. These first four Phase 1 patients exhibited reductions in plasma lyso-Gb3 levels between 33% and 41% compared to their baseline ERT levels.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80"/>
          </w:cols>
          <w:pgMar w:left="240" w:top="459" w:right="6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7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2145" cy="64700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The following figures summarize the plasma lyso-Gb3 data observed in the first four patients from the ongoing Phase 1 clinical trial of</w:t>
      </w:r>
    </w:p>
    <w:p>
      <w:pPr>
        <w:spacing w:after="0" w:line="4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AVR-RD-01:</w:t>
      </w:r>
    </w:p>
    <w:p>
      <w:pPr>
        <w:spacing w:after="0" w:line="20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Phase 1: Plasma lyso-Gb3 consistently reduced by 33-41% vs. baseline* ERT at 6+ months post-AVR-RD-01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*Baseline</w:t>
      </w:r>
      <w:r>
        <w:rPr>
          <w:rFonts w:ascii="Arial" w:cs="Arial" w:eastAsia="Arial" w:hAnsi="Arial"/>
          <w:sz w:val="14"/>
          <w:szCs w:val="14"/>
          <w:i w:val="1"/>
          <w:iCs w:val="1"/>
          <w:color w:val="auto"/>
        </w:rPr>
        <w:t>: The mean of the values reported prior to initiating mobilization</w:t>
      </w:r>
    </w:p>
    <w:p>
      <w:pPr>
        <w:ind w:left="520"/>
        <w:spacing w:after="0"/>
        <w:rPr>
          <w:sz w:val="20"/>
          <w:szCs w:val="20"/>
          <w:color w:val="auto"/>
        </w:rPr>
      </w:pPr>
      <w:r>
        <w:rPr>
          <w:rFonts w:ascii="Arial" w:cs="Arial" w:eastAsia="Arial" w:hAnsi="Arial"/>
          <w:sz w:val="14"/>
          <w:szCs w:val="14"/>
          <w:b w:val="1"/>
          <w:bCs w:val="1"/>
          <w:i w:val="1"/>
          <w:iCs w:val="1"/>
          <w:color w:val="auto"/>
        </w:rPr>
        <w:t>Percent reduction</w:t>
      </w:r>
      <w:r>
        <w:rPr>
          <w:rFonts w:ascii="Arial" w:cs="Arial" w:eastAsia="Arial" w:hAnsi="Arial"/>
          <w:sz w:val="14"/>
          <w:szCs w:val="14"/>
          <w:i w:val="1"/>
          <w:iCs w:val="1"/>
          <w:color w:val="auto"/>
        </w:rPr>
        <w:t>: As measured from baseline to last assessment</w:t>
      </w:r>
    </w:p>
    <w:p>
      <w:pPr>
        <w:spacing w:after="0" w:line="372" w:lineRule="exact"/>
        <w:rPr>
          <w:sz w:val="20"/>
          <w:szCs w:val="20"/>
          <w:color w:val="auto"/>
        </w:rPr>
      </w:pPr>
    </w:p>
    <w:p>
      <w:pPr>
        <w:ind w:left="1240" w:right="140"/>
        <w:spacing w:after="0" w:line="291" w:lineRule="auto"/>
        <w:rPr>
          <w:sz w:val="20"/>
          <w:szCs w:val="20"/>
          <w:color w:val="auto"/>
        </w:rPr>
      </w:pPr>
      <w:r>
        <w:rPr>
          <w:rFonts w:ascii="Arial" w:cs="Arial" w:eastAsia="Arial" w:hAnsi="Arial"/>
          <w:sz w:val="16"/>
          <w:szCs w:val="16"/>
          <w:color w:val="auto"/>
        </w:rPr>
        <w:t>Plasma lyso-Gb3 data are also available for Patient 5 in the Phase 1 trial, up to three months post-treatment with AVR-RD-01. This patient’s baseline ERT (as defined above) was 15.84 nM, and his plasma lyso-Gb3 levels were 17.8 nM and 14.56 nM at 1 month and</w:t>
      </w:r>
    </w:p>
    <w:p>
      <w:pPr>
        <w:ind w:left="1240"/>
        <w:spacing w:after="0" w:line="252" w:lineRule="auto"/>
        <w:rPr>
          <w:sz w:val="20"/>
          <w:szCs w:val="20"/>
          <w:color w:val="auto"/>
        </w:rPr>
      </w:pPr>
      <w:r>
        <w:rPr>
          <w:rFonts w:ascii="Arial" w:cs="Arial" w:eastAsia="Arial" w:hAnsi="Arial"/>
          <w:sz w:val="18"/>
          <w:szCs w:val="18"/>
          <w:color w:val="auto"/>
        </w:rPr>
        <w:t>3 months post-treatment with AVR-RD-01, respectively. Plasma lyso-Gb3 data are also available for Patient 2 in the Phase 2 trial, up to six months post-treatment with AVR-RD-01. This patient has an N215S genotype, which is associated with a late-onset cardiac variant phenotype and lower plasma lyso-Gb3 levels. His plasma lyso-Gb3 levels were 7.59 nM, 5.9 nM, 5.8 nM, 5.9 nM, and 6.71 nM at baseline, one month, two months, three months, and six months post-treatment with AVR-RD-01, respectively. This patient’s cardiac variant phenotype does not typically result in Gb3 accumulation in the kidney and skin, and accordingly we do not expect that data obtained from this patient will have a meaningful impact on certain efficacy endpoints in our Phase 2 clinical trial, including kidney and skin biopsies. Nonetheless, there may be other important insights derived from data collected from this patient in the Phase 2 clinical trial.</w:t>
      </w:r>
    </w:p>
    <w:p>
      <w:pPr>
        <w:spacing w:after="0" w:line="97" w:lineRule="exact"/>
        <w:rPr>
          <w:sz w:val="20"/>
          <w:szCs w:val="20"/>
          <w:color w:val="auto"/>
        </w:rPr>
      </w:pPr>
    </w:p>
    <w:p>
      <w:pPr>
        <w:ind w:left="1220" w:right="100" w:hanging="415"/>
        <w:spacing w:after="0" w:line="271" w:lineRule="auto"/>
        <w:tabs>
          <w:tab w:leader="none" w:pos="12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AGA enzyme activity as measured in plasma and leukocytes. </w:t>
      </w:r>
      <w:r>
        <w:rPr>
          <w:rFonts w:ascii="Arial" w:cs="Arial" w:eastAsia="Arial" w:hAnsi="Arial"/>
          <w:sz w:val="17"/>
          <w:szCs w:val="17"/>
          <w:color w:val="auto"/>
        </w:rPr>
        <w:t>We believe, based on years of observations of Fabry patients prescribed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ERT, that even partial plasma AGA activity is associated with improved outcomes in Fabry patients. AGA enzyme activity is able to reduce Gb3 levels in multiple cells and tissues. For our gene therapy, functional AGA is in part produced by the pool of circulating leukocytes derived from genetically-modified CD34+ hematopoietic stem cells, which may directly contribute to clearance of accumulated Gb3 in cells. Functional plasma AGA enters cells and travels to the lysosomes, where it can degrade Gb3. This process is referred to as cross-correction. Genetically-modified leukocytes are the progeny of transduced cells from the gene therapy. As a result, we believe that assessing leukocyte AGA activity provides a potentially improved measure to assess the durability of the gene therapy than plasma AGA enzyme activity alone.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000"/>
          </w:cols>
          <w:pgMar w:left="24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7559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2145" cy="75596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spacing w:after="0" w:line="259" w:lineRule="auto"/>
        <w:rPr>
          <w:sz w:val="20"/>
          <w:szCs w:val="20"/>
          <w:color w:val="auto"/>
        </w:rPr>
      </w:pPr>
      <w:r>
        <w:rPr>
          <w:rFonts w:ascii="Arial" w:cs="Arial" w:eastAsia="Arial" w:hAnsi="Arial"/>
          <w:sz w:val="18"/>
          <w:szCs w:val="18"/>
          <w:color w:val="auto"/>
        </w:rPr>
        <w:t>All six patients in our Phase 2 and Phase 1 clinical trials for whom data are reported at six months or longer post-treatment with AVR-RD-01 (out of a total of eight patients enrolled to date) have exhibited sustained AGA enzyme activity in both the plasma and leukocytes. The following figures summarize the plasma and leukocyte AGA enzyme activity reported from the ongoing clinical trials of AVR-RD-01 as of July 15, 2019.</w:t>
      </w:r>
    </w:p>
    <w:p>
      <w:pPr>
        <w:spacing w:after="0" w:line="29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Phase 2 Patient 1: Sustained leukocyte and plasma enzyme activity at 1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 xml:space="preserve">Baseline: </w:t>
      </w:r>
      <w:r>
        <w:rPr>
          <w:rFonts w:ascii="Arial" w:cs="Arial" w:eastAsia="Arial" w:hAnsi="Arial"/>
          <w:sz w:val="14"/>
          <w:szCs w:val="14"/>
          <w:i w:val="1"/>
          <w:iCs w:val="1"/>
          <w:color w:val="auto"/>
        </w:rPr>
        <w:t>The last available, non-missing observation prior to AVR-RD-01 infusion</w:t>
      </w:r>
    </w:p>
    <w:p>
      <w:pPr>
        <w:spacing w:after="0" w:line="380"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Phase 2 Patient 2: Sustained leukocyte and plasma enzyme activity at 6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 xml:space="preserve">Note: </w:t>
      </w:r>
      <w:r>
        <w:rPr>
          <w:rFonts w:ascii="Arial" w:cs="Arial" w:eastAsia="Arial" w:hAnsi="Arial"/>
          <w:sz w:val="14"/>
          <w:szCs w:val="14"/>
          <w:i w:val="1"/>
          <w:iCs w:val="1"/>
          <w:color w:val="auto"/>
        </w:rPr>
        <w:t>Patient 3 had plasma AGA activity of 0.740, leukocyte AGA activity of 9.94 as of 1 month</w:t>
      </w:r>
    </w:p>
    <w:p>
      <w:pPr>
        <w:ind w:left="520"/>
        <w:spacing w:after="0"/>
        <w:rPr>
          <w:sz w:val="20"/>
          <w:szCs w:val="20"/>
          <w:color w:val="auto"/>
        </w:rPr>
      </w:pPr>
      <w:r>
        <w:rPr>
          <w:rFonts w:ascii="Arial" w:cs="Arial" w:eastAsia="Arial" w:hAnsi="Arial"/>
          <w:sz w:val="14"/>
          <w:szCs w:val="14"/>
          <w:b w:val="1"/>
          <w:bCs w:val="1"/>
          <w:i w:val="1"/>
          <w:iCs w:val="1"/>
          <w:color w:val="auto"/>
        </w:rPr>
        <w:t>Baseline</w:t>
      </w:r>
      <w:r>
        <w:rPr>
          <w:rFonts w:ascii="Arial" w:cs="Arial" w:eastAsia="Arial" w:hAnsi="Arial"/>
          <w:sz w:val="14"/>
          <w:szCs w:val="14"/>
          <w:i w:val="1"/>
          <w:iCs w:val="1"/>
          <w:color w:val="auto"/>
        </w:rPr>
        <w:t>: The last available, non-missing observation prior to AVR-RD-01 infusion</w:t>
      </w:r>
    </w:p>
    <w:p>
      <w:pPr>
        <w:spacing w:after="0" w:line="368"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Phase 1: Leukocyte and plasma enzyme activity levels trend consistently across all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Note</w:t>
      </w:r>
      <w:r>
        <w:rPr>
          <w:rFonts w:ascii="Arial" w:cs="Arial" w:eastAsia="Arial" w:hAnsi="Arial"/>
          <w:sz w:val="14"/>
          <w:szCs w:val="14"/>
          <w:i w:val="1"/>
          <w:iCs w:val="1"/>
          <w:color w:val="auto"/>
        </w:rPr>
        <w:t>: Enzyme measurements are taken at ERT troughs; Note: Dotted line illustrative only</w:t>
      </w:r>
    </w:p>
    <w:p>
      <w:pPr>
        <w:ind w:left="880"/>
        <w:spacing w:after="0"/>
        <w:rPr>
          <w:sz w:val="20"/>
          <w:szCs w:val="20"/>
          <w:color w:val="auto"/>
        </w:rPr>
      </w:pPr>
      <w:r>
        <w:rPr>
          <w:rFonts w:ascii="Arial" w:cs="Arial" w:eastAsia="Arial" w:hAnsi="Arial"/>
          <w:sz w:val="14"/>
          <w:szCs w:val="14"/>
          <w:i w:val="1"/>
          <w:iCs w:val="1"/>
          <w:color w:val="auto"/>
        </w:rPr>
        <w:t>Patient #5’s Day 12 data point was utilized since the one month data was not obtained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20"/>
          </w:cols>
          <w:pgMar w:left="240" w:top="459" w:right="7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352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2145" cy="55352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60" w:hanging="415"/>
        <w:spacing w:after="0" w:line="272" w:lineRule="auto"/>
        <w:tabs>
          <w:tab w:leader="none" w:pos="12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Vector Copy Number. </w:t>
      </w:r>
      <w:r>
        <w:rPr>
          <w:rFonts w:ascii="Arial" w:cs="Arial" w:eastAsia="Arial" w:hAnsi="Arial"/>
          <w:sz w:val="17"/>
          <w:szCs w:val="17"/>
          <w:color w:val="auto"/>
        </w:rPr>
        <w:t>Vector Copy Number, or VCN, refers to the average number of copies of the lentiviral-vector inserted gene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integrated into the genome of a cell, and is another measure that can be used to help assess the durability of a gene therapy. We believe that different diseases may require varying levels of VCN based on the underlying condition, and therefore VCN measurements across different diseases should be assessed separately. For example, a VCN of 0.1 represents 5% to 10% of all nucleated circulating blood cells carrying one to two copies of the inserted gene, which we believe may be sufficient to result in clinically meaningful AGA enzyme activity in the case of Fabry disease, as suggested by our preliminary interim data from our ongoing clinical trials of our investigational gene therapy, AVR-RD-01, in Fabry disease.</w:t>
      </w:r>
    </w:p>
    <w:p>
      <w:pPr>
        <w:spacing w:after="0" w:line="70" w:lineRule="exact"/>
        <w:rPr>
          <w:sz w:val="20"/>
          <w:szCs w:val="20"/>
          <w:color w:val="auto"/>
        </w:rPr>
      </w:pPr>
    </w:p>
    <w:p>
      <w:pPr>
        <w:ind w:left="1240"/>
        <w:spacing w:after="0" w:line="286" w:lineRule="auto"/>
        <w:rPr>
          <w:sz w:val="20"/>
          <w:szCs w:val="20"/>
          <w:color w:val="auto"/>
        </w:rPr>
      </w:pPr>
      <w:r>
        <w:rPr>
          <w:rFonts w:ascii="Arial" w:cs="Arial" w:eastAsia="Arial" w:hAnsi="Arial"/>
          <w:sz w:val="17"/>
          <w:szCs w:val="17"/>
          <w:color w:val="auto"/>
        </w:rPr>
        <w:t>All six patients in our Phase 2 and Phase 1 clinical trials for whom data are reported at six months or longer following administration of AVR-RD-01 have exhibited consistent VCN trends, with VCN levels for the first Phase 1 patient stable at over two years post-treatment. The following figures summarize the VCN observations from the ongoing clinical trials of AVR-RD-01.</w:t>
      </w:r>
    </w:p>
    <w:p>
      <w:pPr>
        <w:spacing w:after="0" w:line="27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Patient 1 in Phase 2 Trial: VCN stable at 1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Note</w:t>
      </w:r>
      <w:r>
        <w:rPr>
          <w:rFonts w:ascii="Arial" w:cs="Arial" w:eastAsia="Arial" w:hAnsi="Arial"/>
          <w:sz w:val="14"/>
          <w:szCs w:val="14"/>
          <w:i w:val="1"/>
          <w:iCs w:val="1"/>
          <w:color w:val="auto"/>
        </w:rPr>
        <w:t>: 0.1 VCN is indicative of approx. 5-10% of all nucleated circulating blood cells having an average of 1-2 copies of the transgene</w:t>
      </w:r>
    </w:p>
    <w:p>
      <w:pPr>
        <w:spacing w:after="0" w:line="38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Patient 2 in Phase 2 Trial: VCN at 6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Note</w:t>
      </w:r>
      <w:r>
        <w:rPr>
          <w:rFonts w:ascii="Arial" w:cs="Arial" w:eastAsia="Arial" w:hAnsi="Arial"/>
          <w:sz w:val="14"/>
          <w:szCs w:val="14"/>
          <w:i w:val="1"/>
          <w:iCs w:val="1"/>
          <w:color w:val="auto"/>
        </w:rPr>
        <w:t>: Patient 3 had VCN of 0.12 as of 1 month</w:t>
      </w:r>
    </w:p>
    <w:p>
      <w:pPr>
        <w:ind w:left="520"/>
        <w:spacing w:after="0"/>
        <w:rPr>
          <w:sz w:val="20"/>
          <w:szCs w:val="20"/>
          <w:color w:val="auto"/>
        </w:rPr>
      </w:pPr>
      <w:r>
        <w:rPr>
          <w:rFonts w:ascii="Arial" w:cs="Arial" w:eastAsia="Arial" w:hAnsi="Arial"/>
          <w:sz w:val="14"/>
          <w:szCs w:val="14"/>
          <w:b w:val="1"/>
          <w:bCs w:val="1"/>
          <w:i w:val="1"/>
          <w:iCs w:val="1"/>
          <w:color w:val="auto"/>
        </w:rPr>
        <w:t>Note</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0.1 </w:t>
      </w:r>
      <w:r>
        <w:rPr>
          <w:rFonts w:ascii="Arial" w:cs="Arial" w:eastAsia="Arial" w:hAnsi="Arial"/>
          <w:sz w:val="14"/>
          <w:szCs w:val="14"/>
          <w:i w:val="1"/>
          <w:iCs w:val="1"/>
          <w:color w:val="auto"/>
        </w:rPr>
        <w:t>VCN is indicative of approx. 5-10% of all nucleated circulating blood cells having an average of 1-2 copies of the transgene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020"/>
          </w:cols>
          <w:pgMar w:left="24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986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2145" cy="49866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Phase 1 Trial: Consistent VCN trend across all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Note</w:t>
      </w:r>
      <w:r>
        <w:rPr>
          <w:rFonts w:ascii="Arial" w:cs="Arial" w:eastAsia="Arial" w:hAnsi="Arial"/>
          <w:sz w:val="14"/>
          <w:szCs w:val="14"/>
          <w:i w:val="1"/>
          <w:iCs w:val="1"/>
          <w:color w:val="auto"/>
        </w:rPr>
        <w:t>: 0.1 VCN is indicative of approx. 5-10% of all nucleated circulating blood cells having an average of 1-2 copies of the transgene</w:t>
      </w:r>
    </w:p>
    <w:p>
      <w:pPr>
        <w:spacing w:after="0" w:line="200" w:lineRule="exact"/>
        <w:rPr>
          <w:sz w:val="20"/>
          <w:szCs w:val="20"/>
          <w:color w:val="auto"/>
        </w:rPr>
      </w:pPr>
    </w:p>
    <w:p>
      <w:pPr>
        <w:spacing w:after="0" w:line="211" w:lineRule="exact"/>
        <w:rPr>
          <w:sz w:val="20"/>
          <w:szCs w:val="20"/>
          <w:color w:val="auto"/>
        </w:rPr>
      </w:pPr>
    </w:p>
    <w:p>
      <w:pPr>
        <w:ind w:left="1220" w:hanging="415"/>
        <w:spacing w:after="0" w:line="271" w:lineRule="auto"/>
        <w:tabs>
          <w:tab w:leader="none" w:pos="12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Kidney and cardiac function stability. </w:t>
      </w:r>
      <w:r>
        <w:rPr>
          <w:rFonts w:ascii="Arial" w:cs="Arial" w:eastAsia="Arial" w:hAnsi="Arial"/>
          <w:sz w:val="17"/>
          <w:szCs w:val="17"/>
          <w:color w:val="auto"/>
        </w:rPr>
        <w:t>Secondary endpoints of our Phase 2 trial include measurements of kidney function, as measured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estimated glomerular filtration rate, or eGFR, and measured glomerular filtration rate, or mGFR, as well as measures of cardiac function, as assessed by Left Ventricular Mass Index, or LVMI. eGFR is determined using the Chronic Kidney Disease Epidemiology Collaboration (CKD-EPI) formula and mGFR is determined using plasma clearance of iohexol. The left ventricular mass (LVM) is assessed by cardiac magnetic resonance imaging, or cardiac MRI, which is an imaging technology that enables non-invasive assessment of the function and structure of the heart. In general, for a patient with Fabry disease, an increase over time in LVM could potentially be expected. In the case of the first patient in our Phase 2 clinical trial, a 9% reduction in LVM was observed from baseline to one year post-treatment with AVR-RD-01.</w:t>
      </w:r>
    </w:p>
    <w:p>
      <w:pPr>
        <w:spacing w:after="0" w:line="84" w:lineRule="exact"/>
        <w:rPr>
          <w:rFonts w:ascii="Arial" w:cs="Arial" w:eastAsia="Arial" w:hAnsi="Arial"/>
          <w:sz w:val="17"/>
          <w:szCs w:val="17"/>
          <w:color w:val="auto"/>
        </w:rPr>
      </w:pPr>
    </w:p>
    <w:p>
      <w:pPr>
        <w:ind w:left="1220" w:right="120" w:hanging="415"/>
        <w:spacing w:after="0" w:line="259"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Halting the progression of organ damage and improving outcomes of patients is a key mission of our Company and our investigational gene therapy programs. Assessment of kidney and cardiac function versus baseline is a secondary efficacy measure in our Phase 2 protocol. Such assessment is not, however, included in the Phase 1 protocol, and therefore such parameters are not discussed for Phase 1.</w:t>
      </w:r>
    </w:p>
    <w:p>
      <w:pPr>
        <w:spacing w:after="0" w:line="92" w:lineRule="exact"/>
        <w:rPr>
          <w:rFonts w:ascii="Arial" w:cs="Arial" w:eastAsia="Arial" w:hAnsi="Arial"/>
          <w:sz w:val="18"/>
          <w:szCs w:val="18"/>
          <w:color w:val="auto"/>
        </w:rPr>
      </w:pPr>
    </w:p>
    <w:p>
      <w:pPr>
        <w:ind w:left="1220" w:right="40" w:hanging="415"/>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shown below, interim data-to-date in the first patient in our Phase 2 trial indicates kidney and cardiac functions have been stable and in the normal range at one year following administration of AVR-RD-01 investigational gene therapy.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020"/>
          </w:cols>
          <w:pgMar w:left="24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7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2145" cy="64700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right"/>
        <w:ind w:right="2780"/>
        <w:spacing w:after="0"/>
        <w:rPr>
          <w:sz w:val="20"/>
          <w:szCs w:val="20"/>
          <w:color w:val="auto"/>
        </w:rPr>
      </w:pPr>
      <w:r>
        <w:rPr>
          <w:rFonts w:ascii="Arial" w:cs="Arial" w:eastAsia="Arial" w:hAnsi="Arial"/>
          <w:sz w:val="18"/>
          <w:szCs w:val="18"/>
          <w:b w:val="1"/>
          <w:bCs w:val="1"/>
          <w:color w:val="auto"/>
        </w:rPr>
        <w:t>Phase 2 Patient 1: Kidney and cardiac function stable at one year</w:t>
      </w:r>
    </w:p>
    <w:p>
      <w:pPr>
        <w:sectPr>
          <w:pgSz w:w="11900" w:h="16838" w:orient="portrait"/>
          <w:cols w:equalWidth="0" w:num="1">
            <w:col w:w="11000"/>
          </w:cols>
          <w:pgMar w:left="240" w:top="45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40"/>
        <w:spacing w:after="0"/>
        <w:rPr>
          <w:sz w:val="20"/>
          <w:szCs w:val="20"/>
          <w:color w:val="auto"/>
        </w:rPr>
      </w:pPr>
      <w:r>
        <w:rPr>
          <w:rFonts w:ascii="Arial" w:cs="Arial" w:eastAsia="Arial" w:hAnsi="Arial"/>
          <w:sz w:val="14"/>
          <w:szCs w:val="14"/>
          <w:b w:val="1"/>
          <w:bCs w:val="1"/>
          <w:i w:val="1"/>
          <w:iCs w:val="1"/>
          <w:color w:val="auto"/>
        </w:rPr>
        <w:t>Source</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u w:val="single" w:color="auto"/>
          <w:color w:val="auto"/>
        </w:rPr>
        <w:t>https://www.kidney.org/atoz/content/gfr</w:t>
      </w:r>
    </w:p>
    <w:p>
      <w:pPr>
        <w:ind w:left="940" w:right="480" w:hanging="377"/>
        <w:spacing w:after="0" w:line="237" w:lineRule="auto"/>
        <w:rPr>
          <w:sz w:val="20"/>
          <w:szCs w:val="20"/>
          <w:color w:val="auto"/>
        </w:rPr>
      </w:pPr>
      <w:r>
        <w:rPr>
          <w:rFonts w:ascii="Arial" w:cs="Arial" w:eastAsia="Arial" w:hAnsi="Arial"/>
          <w:sz w:val="14"/>
          <w:szCs w:val="14"/>
          <w:b w:val="1"/>
          <w:bCs w:val="1"/>
          <w:i w:val="1"/>
          <w:iCs w:val="1"/>
          <w:color w:val="auto"/>
        </w:rPr>
        <w:t>Note</w:t>
      </w:r>
      <w:r>
        <w:rPr>
          <w:rFonts w:ascii="Arial" w:cs="Arial" w:eastAsia="Arial" w:hAnsi="Arial"/>
          <w:sz w:val="14"/>
          <w:szCs w:val="14"/>
          <w:i w:val="1"/>
          <w:iCs w:val="1"/>
          <w:color w:val="auto"/>
        </w:rPr>
        <w:t>: mGFR is measured Glomerular Filtration Rate, eGFR is estimated</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Glomerular Filtration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Source</w:t>
      </w:r>
      <w:r>
        <w:rPr>
          <w:rFonts w:ascii="Arial" w:cs="Arial" w:eastAsia="Arial" w:hAnsi="Arial"/>
          <w:sz w:val="14"/>
          <w:szCs w:val="14"/>
          <w:i w:val="1"/>
          <w:iCs w:val="1"/>
          <w:color w:val="auto"/>
        </w:rPr>
        <w:t>: Alfakih K et al, J Magn Reson Imaging, 2003</w:t>
      </w:r>
    </w:p>
    <w:p>
      <w:pPr>
        <w:spacing w:after="0"/>
        <w:rPr>
          <w:sz w:val="20"/>
          <w:szCs w:val="20"/>
          <w:color w:val="auto"/>
        </w:rPr>
      </w:pPr>
      <w:r>
        <w:rPr>
          <w:rFonts w:ascii="Arial" w:cs="Arial" w:eastAsia="Arial" w:hAnsi="Arial"/>
          <w:sz w:val="13"/>
          <w:szCs w:val="13"/>
          <w:b w:val="1"/>
          <w:bCs w:val="1"/>
          <w:i w:val="1"/>
          <w:iCs w:val="1"/>
          <w:color w:val="auto"/>
        </w:rPr>
        <w:t>Note</w:t>
      </w:r>
      <w:r>
        <w:rPr>
          <w:rFonts w:ascii="Arial" w:cs="Arial" w:eastAsia="Arial" w:hAnsi="Arial"/>
          <w:sz w:val="13"/>
          <w:szCs w:val="13"/>
          <w:i w:val="1"/>
          <w:iCs w:val="1"/>
          <w:color w:val="auto"/>
        </w:rPr>
        <w:t>: EF is Ejection Fraction, LVMI is Left Ventricular Mass Index</w:t>
      </w:r>
    </w:p>
    <w:p>
      <w:pPr>
        <w:spacing w:after="0" w:line="368" w:lineRule="exact"/>
        <w:rPr>
          <w:sz w:val="20"/>
          <w:szCs w:val="20"/>
          <w:color w:val="auto"/>
        </w:rPr>
      </w:pPr>
    </w:p>
    <w:p>
      <w:pPr>
        <w:sectPr>
          <w:pgSz w:w="11900" w:h="16838" w:orient="portrait"/>
          <w:cols w:equalWidth="0" w:num="2">
            <w:col w:w="5260" w:space="720"/>
            <w:col w:w="5020"/>
          </w:cols>
          <w:pgMar w:left="240" w:top="459" w:right="659" w:bottom="1440" w:gutter="0" w:footer="0" w:header="0"/>
          <w:type w:val="continuous"/>
        </w:sectPr>
      </w:pPr>
    </w:p>
    <w:p>
      <w:pPr>
        <w:spacing w:after="0" w:line="231" w:lineRule="exact"/>
        <w:rPr>
          <w:sz w:val="20"/>
          <w:szCs w:val="20"/>
          <w:color w:val="auto"/>
        </w:rPr>
      </w:pPr>
    </w:p>
    <w:p>
      <w:pPr>
        <w:ind w:left="1220" w:right="20" w:hanging="415"/>
        <w:spacing w:after="0" w:line="312" w:lineRule="auto"/>
        <w:tabs>
          <w:tab w:leader="none" w:pos="122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ERT Discontinuation by Phase 1 Patients. </w:t>
      </w:r>
      <w:r>
        <w:rPr>
          <w:rFonts w:ascii="Arial" w:cs="Arial" w:eastAsia="Arial" w:hAnsi="Arial"/>
          <w:sz w:val="16"/>
          <w:szCs w:val="16"/>
          <w:color w:val="auto"/>
        </w:rPr>
        <w:t>Three patients in the Phase 1 clinical trial who have been treated with AVR-RD-01,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investigational gene therapy, have discontinued ERT and have remained off ERT since such discontinuations. Patient 1 received his last ERT dose in July 2018, Patient 3 received his last ERT dose in May 2018, and Patient 4 received his last ERT dose in June 2019.</w:t>
      </w:r>
    </w:p>
    <w:p>
      <w:pPr>
        <w:spacing w:after="0" w:line="52" w:lineRule="exact"/>
        <w:rPr>
          <w:rFonts w:ascii="Arial" w:cs="Arial" w:eastAsia="Arial" w:hAnsi="Arial"/>
          <w:sz w:val="16"/>
          <w:szCs w:val="16"/>
          <w:color w:val="auto"/>
        </w:rPr>
      </w:pPr>
    </w:p>
    <w:p>
      <w:pPr>
        <w:ind w:left="1220" w:hanging="415"/>
        <w:spacing w:after="0" w:line="273" w:lineRule="auto"/>
        <w:tabs>
          <w:tab w:leader="none" w:pos="12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Safety Update. </w:t>
      </w:r>
      <w:r>
        <w:rPr>
          <w:rFonts w:ascii="Arial" w:cs="Arial" w:eastAsia="Arial" w:hAnsi="Arial"/>
          <w:sz w:val="17"/>
          <w:szCs w:val="17"/>
          <w:color w:val="auto"/>
        </w:rPr>
        <w:t>Interim clinical data for all eight patients dosed to date in the Phase 2 and Phase 1 clinical trials appear to indicate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AVR-RD-01 investigational gene therapy has been generally well tolerated with no unexpected trends or safety events identified. No serious adverse events, or SAEs, related to the AVR-RD-01 drug product were reported as of the safety data cut-off dates of July 10, 2019 for the Phase 2 trial and May 24, 2019 for the Phase 1 trial. As of the respective safety data cut-off dates, four SAEs were reported in the Phase 2 trial and two SAEs were reported in the Phase 1 trial and were consistent with expectations for the myeloablative conditioning regimen, underlying Fabry disease, or pre-existing conditions.</w:t>
      </w:r>
    </w:p>
    <w:p>
      <w:pPr>
        <w:spacing w:after="0" w:line="70" w:lineRule="exact"/>
        <w:rPr>
          <w:sz w:val="20"/>
          <w:szCs w:val="20"/>
          <w:color w:val="auto"/>
        </w:rPr>
      </w:pPr>
    </w:p>
    <w:p>
      <w:pPr>
        <w:ind w:left="1240" w:right="140"/>
        <w:spacing w:after="0" w:line="276" w:lineRule="auto"/>
        <w:rPr>
          <w:sz w:val="20"/>
          <w:szCs w:val="20"/>
          <w:color w:val="auto"/>
        </w:rPr>
      </w:pPr>
      <w:r>
        <w:rPr>
          <w:rFonts w:ascii="Arial" w:cs="Arial" w:eastAsia="Arial" w:hAnsi="Arial"/>
          <w:sz w:val="17"/>
          <w:szCs w:val="17"/>
          <w:color w:val="auto"/>
        </w:rPr>
        <w:t>In the Phase 2 trial, the four SAEs that were reported through the safety data cut-off date of July 10, 2019 included one report of a Grade 2 pre-treatment seizure experienced after commencing stem cell mobilization but prior to undergoing the conditioning regimen and treatment with AVR-RD-01; one report of Grade 3 dehydration, nausea and vomiting following the conditioning regimen and treatment with AVR-RD-01; and two reports of febrile neutropenia (Grades 3 and 4, respectively) in separate patients following the conditioning regimen and treatment with AVR-RD-01 All four SAEs have subsequently resolved.</w:t>
      </w:r>
    </w:p>
    <w:p>
      <w:pPr>
        <w:spacing w:after="0" w:line="64" w:lineRule="exact"/>
        <w:rPr>
          <w:sz w:val="20"/>
          <w:szCs w:val="20"/>
          <w:color w:val="auto"/>
        </w:rPr>
      </w:pPr>
    </w:p>
    <w:p>
      <w:pPr>
        <w:ind w:left="1240" w:right="40"/>
        <w:spacing w:after="0" w:line="259" w:lineRule="auto"/>
        <w:rPr>
          <w:sz w:val="20"/>
          <w:szCs w:val="20"/>
          <w:color w:val="auto"/>
        </w:rPr>
      </w:pPr>
      <w:r>
        <w:rPr>
          <w:rFonts w:ascii="Arial" w:cs="Arial" w:eastAsia="Arial" w:hAnsi="Arial"/>
          <w:sz w:val="18"/>
          <w:szCs w:val="18"/>
          <w:color w:val="auto"/>
        </w:rPr>
        <w:t>In the Phase 1 trial, the two SAEs that were reported through the safety data cut-off date of May 24, 2019 included one report of Grade 3 febrile neutropenia and one report of Grade 2 thrombophlebitis, each occurring following the conditioning regimen and treatment with AVR-RD-01. Both SAEs have subsequently resolved, with the thrombophlebitis SAE verbally reported to the Company as resolved following the safety data cut-off date.</w:t>
      </w:r>
    </w:p>
    <w:p>
      <w:pPr>
        <w:spacing w:after="0" w:line="79" w:lineRule="exact"/>
        <w:rPr>
          <w:sz w:val="20"/>
          <w:szCs w:val="20"/>
          <w:color w:val="auto"/>
        </w:rPr>
      </w:pPr>
    </w:p>
    <w:p>
      <w:pPr>
        <w:ind w:left="1240" w:right="580"/>
        <w:spacing w:after="0" w:line="277" w:lineRule="auto"/>
        <w:rPr>
          <w:sz w:val="20"/>
          <w:szCs w:val="20"/>
          <w:color w:val="auto"/>
        </w:rPr>
      </w:pPr>
      <w:r>
        <w:rPr>
          <w:rFonts w:ascii="Arial" w:cs="Arial" w:eastAsia="Arial" w:hAnsi="Arial"/>
          <w:sz w:val="18"/>
          <w:szCs w:val="18"/>
          <w:color w:val="auto"/>
        </w:rPr>
        <w:t>Low anti-AGA antibody titers have been detected in two patients, one in each of the trials, and the Company believes neither is considered to be of clinical relevance.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000"/>
          </w:cols>
          <w:pgMar w:left="240" w:top="459" w:right="6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24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2145" cy="63246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firstLine="426"/>
        <w:spacing w:after="0" w:line="269" w:lineRule="auto"/>
        <w:rPr>
          <w:sz w:val="20"/>
          <w:szCs w:val="20"/>
          <w:color w:val="auto"/>
        </w:rPr>
      </w:pPr>
      <w:r>
        <w:rPr>
          <w:rFonts w:ascii="Arial" w:cs="Arial" w:eastAsia="Arial" w:hAnsi="Arial"/>
          <w:sz w:val="17"/>
          <w:szCs w:val="17"/>
          <w:color w:val="auto"/>
        </w:rPr>
        <w:t xml:space="preserve">Clinical measurements of data, such as AGA enzyme activity and VCN, can provide valuable insight into the potential effectiveness of </w:t>
      </w:r>
      <w:r>
        <w:rPr>
          <w:rFonts w:ascii="Arial" w:cs="Arial" w:eastAsia="Arial" w:hAnsi="Arial"/>
          <w:sz w:val="17"/>
          <w:szCs w:val="17"/>
          <w:i w:val="1"/>
          <w:iCs w:val="1"/>
          <w:color w:val="auto"/>
        </w:rPr>
        <w:t>ex</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vivo </w:t>
      </w:r>
      <w:r>
        <w:rPr>
          <w:rFonts w:ascii="Arial" w:cs="Arial" w:eastAsia="Arial" w:hAnsi="Arial"/>
          <w:sz w:val="17"/>
          <w:szCs w:val="17"/>
          <w:color w:val="auto"/>
        </w:rPr>
        <w:t>CD34+ hematopoietic stem cell gene therapy following administration in a patient. However, such measurements can vary greatly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initial weeks following administration of the therapy. We believe that the first meaningful measurements of AGA enzyme activity and VCN only start to emerge after 30 to 60 days have passed following administration of the gene-modified CD34+ hematopoietic stem cells. For example, data collected during the early weeks following administration of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CD34+ hematopoietic stem cell gene therapy may be uninterpretable for reasons such as the manufactured drug product containing a random and indeterminable mixture of cells that may be dominated by late/mature progenitor cells, compared to early progenitor cells and long-term engrafting cells. In such circumstances, the large number of late/mature progenitor cells are over-represented in the collected data in the first few weeks following administration, but are subsequently permanently lost. For these reasons, we have presented in the figures above, and in the future intend to present, AGA enzyme activity data and VCN for patients only after which sufficient time has passed following administration of AVR-RD-01 to allow what we believe to be a meaningful interpretation of results.</w:t>
      </w:r>
    </w:p>
    <w:p>
      <w:pPr>
        <w:spacing w:after="0" w:line="28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Pipeline Programs</w:t>
      </w:r>
    </w:p>
    <w:p>
      <w:pPr>
        <w:spacing w:after="0" w:line="121" w:lineRule="exact"/>
        <w:rPr>
          <w:sz w:val="20"/>
          <w:szCs w:val="20"/>
          <w:color w:val="auto"/>
        </w:rPr>
      </w:pPr>
    </w:p>
    <w:p>
      <w:pPr>
        <w:ind w:left="380" w:right="200" w:firstLine="426"/>
        <w:spacing w:after="0" w:line="286" w:lineRule="auto"/>
        <w:rPr>
          <w:sz w:val="20"/>
          <w:szCs w:val="20"/>
          <w:color w:val="auto"/>
        </w:rPr>
      </w:pPr>
      <w:r>
        <w:rPr>
          <w:rFonts w:ascii="Arial" w:cs="Arial" w:eastAsia="Arial" w:hAnsi="Arial"/>
          <w:sz w:val="17"/>
          <w:szCs w:val="17"/>
          <w:color w:val="auto"/>
        </w:rPr>
        <w:t>Our Company-sponsored Phase 1/2 clinical trial evaluating AVR-RD-02 in Gaucher disease, or GAU-201, has commenced active recruitment. The initial clinical site is in Canada and we intend to open additional clinical sites in Australia, the United States and other countries pending regulatory clearances. The first patient in this clinical trial is expected to be dosed in the second half of 2019.</w:t>
      </w:r>
    </w:p>
    <w:p>
      <w:pPr>
        <w:spacing w:after="0" w:line="166"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The investigator-sponsored Phase 1/2 clinical trial evaluating AVR-RD-04 in cystinosis has commenced active recruitment. This is a single site investigator-sponsored trial being conducted by our collaborators at the University of California, San Diego, or UCSD. The first patient in this clinical trial is expected to be dosed in the second half of 2019. In June 2019, the UCSD cystinosis study group announced that it had been awarded a grant from the California Institute of Regenerative Medicine, or CIRM, of approximately $12 million to directly fund this phase of the cystinosis clinical trial.</w:t>
      </w:r>
    </w:p>
    <w:p>
      <w:pPr>
        <w:spacing w:after="0" w:line="188" w:lineRule="exact"/>
        <w:rPr>
          <w:sz w:val="20"/>
          <w:szCs w:val="20"/>
          <w:color w:val="auto"/>
        </w:rPr>
      </w:pPr>
    </w:p>
    <w:p>
      <w:pPr>
        <w:ind w:left="380" w:right="460" w:firstLine="426"/>
        <w:spacing w:after="0" w:line="277" w:lineRule="auto"/>
        <w:rPr>
          <w:sz w:val="20"/>
          <w:szCs w:val="20"/>
          <w:color w:val="auto"/>
        </w:rPr>
      </w:pPr>
      <w:r>
        <w:rPr>
          <w:rFonts w:ascii="Arial" w:cs="Arial" w:eastAsia="Arial" w:hAnsi="Arial"/>
          <w:sz w:val="18"/>
          <w:szCs w:val="18"/>
          <w:color w:val="auto"/>
        </w:rPr>
        <w:t>The Pompe disease program is advancing in early pre-clinical development. The IND-enabling pre-clinical program is anticipated to be initiated in 2019.</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Plato Platform</w:t>
      </w:r>
    </w:p>
    <w:p>
      <w:pPr>
        <w:spacing w:after="0" w:line="121" w:lineRule="exact"/>
        <w:rPr>
          <w:sz w:val="20"/>
          <w:szCs w:val="20"/>
          <w:color w:val="auto"/>
        </w:rPr>
      </w:pPr>
    </w:p>
    <w:p>
      <w:pPr>
        <w:ind w:left="380" w:right="60" w:firstLine="426"/>
        <w:spacing w:after="0" w:line="273" w:lineRule="auto"/>
        <w:rPr>
          <w:sz w:val="20"/>
          <w:szCs w:val="20"/>
          <w:color w:val="auto"/>
        </w:rPr>
      </w:pPr>
      <w:r>
        <w:rPr>
          <w:rFonts w:ascii="Arial" w:cs="Arial" w:eastAsia="Arial" w:hAnsi="Arial"/>
          <w:sz w:val="17"/>
          <w:szCs w:val="17"/>
          <w:color w:val="auto"/>
        </w:rPr>
        <w:t>Plato is our commercial-stage platform. It is an ex vivo gene therapy platform incorporating multiple recent upgrades including an optimized lentiviral vector, which we refer to as LV2, a closed, automated manufacturing system, and a refined approach to conditioning using busulfan with therapeutic drug monitoring. These three process changes, or upgrades, were recently cleared by applicable regulatory bodies in the United States, Canada and Australia for use in the Phase 2 clinical trial of AVR-RD-01 for Fabry disease and in Canada for the GAU-201 clinical trial of AVR-RD-02 for Gaucher disease. We intend to utilize the plato platform with these process changes for all future patients enrolling in our Phase 2 clinical trial of AVR-RD-01 for Fabry disease and our GAU-201 clinical trial for Gaucher disease.</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Financial Update</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Our cash, cash equivalents and available-for-sale investments was approximately $90.3 million at June 30, 2019, as compared to</w:t>
      </w:r>
    </w:p>
    <w:p>
      <w:pPr>
        <w:spacing w:after="0" w:line="35" w:lineRule="exact"/>
        <w:rPr>
          <w:sz w:val="20"/>
          <w:szCs w:val="20"/>
          <w:color w:val="auto"/>
        </w:rPr>
      </w:pPr>
    </w:p>
    <w:p>
      <w:pPr>
        <w:ind w:left="380" w:right="100"/>
        <w:spacing w:after="0" w:line="253" w:lineRule="auto"/>
        <w:rPr>
          <w:sz w:val="20"/>
          <w:szCs w:val="20"/>
          <w:color w:val="auto"/>
        </w:rPr>
      </w:pPr>
      <w:r>
        <w:rPr>
          <w:rFonts w:ascii="Arial" w:cs="Arial" w:eastAsia="Arial" w:hAnsi="Arial"/>
          <w:sz w:val="18"/>
          <w:szCs w:val="18"/>
          <w:color w:val="auto"/>
        </w:rPr>
        <w:t>$108.5 million at March 31, 2019. This financial data as of June 30, 2019 is preliminary and may change, and is based on information available to management as of the date of this prospectus supplement and is subject to completion by management of our financial statements as of and for the quarter ended June 30, 2019. There can be no assurance that our final results of operations for this period or cash position as of June 30, 2019 will not differ from these estimates, including as a result of review adjustments and any such changes could be material. Our independent registered public accountants have not audited, reviewed or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020"/>
          </w:cols>
          <w:pgMar w:left="24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870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2145" cy="58870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right="20"/>
        <w:spacing w:after="0" w:line="264" w:lineRule="auto"/>
        <w:rPr>
          <w:sz w:val="20"/>
          <w:szCs w:val="20"/>
          <w:color w:val="auto"/>
        </w:rPr>
      </w:pPr>
      <w:r>
        <w:rPr>
          <w:rFonts w:ascii="Arial" w:cs="Arial" w:eastAsia="Arial" w:hAnsi="Arial"/>
          <w:sz w:val="18"/>
          <w:szCs w:val="18"/>
          <w:color w:val="auto"/>
        </w:rPr>
        <w:t>performed any procedures with respect to such preliminary financial data and accordingly do not express an opinion or any other form of assurance with respect thereto. These results could change as a result of further review. Complete quarterly results will be included in our Quarterly Report on Form 10-Q for the quarter ended June 30, 2019.</w:t>
      </w:r>
    </w:p>
    <w:p>
      <w:pPr>
        <w:spacing w:after="0" w:line="17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We were formed as a corporation under the laws of the State of Delaware in November 2015 under the name AvroBio, Inc. Our corporate name was changed to AVROBIO, Inc. in June 2017. We completed our initial public offering in June 2018. Our executive offices are located at One Kendall Square, Building 300, Suite 201, Cambridge, Massachusetts 02139 and our telephone number is (617) 914-8420. Our website address is www.avrobio.com. We do not incorporate the information on or accessible through our website into this this prospectus supplement or the accompanying prospectus, and you should not consider any information on, or that can be accessed through, our website as part of this prospectus. Our common stock trades on The Nasdaq Global Select Market under the symbol “AVRO”.</w:t>
      </w:r>
    </w:p>
    <w:p>
      <w:pPr>
        <w:spacing w:after="0" w:line="17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380" w:right="440" w:firstLine="426"/>
        <w:spacing w:after="0" w:line="342" w:lineRule="auto"/>
        <w:rPr>
          <w:sz w:val="20"/>
          <w:szCs w:val="20"/>
          <w:color w:val="auto"/>
        </w:rPr>
      </w:pPr>
      <w:r>
        <w:rPr>
          <w:rFonts w:ascii="Arial" w:cs="Arial" w:eastAsia="Arial" w:hAnsi="Arial"/>
          <w:sz w:val="16"/>
          <w:szCs w:val="16"/>
          <w:color w:val="auto"/>
        </w:rPr>
        <w:t>We qualify as an “emerging growth company” as defined in the JOBS Act. As an emerging growth company, we may take advantage of specified reduced disclosure and other requirements that are otherwise applicable generally to public companies. These provisions include:</w:t>
      </w:r>
    </w:p>
    <w:p>
      <w:pPr>
        <w:spacing w:after="0" w:line="29" w:lineRule="exact"/>
        <w:rPr>
          <w:sz w:val="20"/>
          <w:szCs w:val="20"/>
          <w:color w:val="auto"/>
        </w:rPr>
      </w:pPr>
    </w:p>
    <w:p>
      <w:pPr>
        <w:ind w:left="1220" w:right="140" w:hanging="415"/>
        <w:spacing w:after="0" w:line="308" w:lineRule="auto"/>
        <w:tabs>
          <w:tab w:leader="none" w:pos="12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51" w:lineRule="exact"/>
        <w:rPr>
          <w:rFonts w:ascii="Arial" w:cs="Arial" w:eastAsia="Arial" w:hAnsi="Arial"/>
          <w:sz w:val="17"/>
          <w:szCs w:val="17"/>
          <w:color w:val="auto"/>
        </w:rPr>
      </w:pPr>
    </w:p>
    <w:p>
      <w:pPr>
        <w:ind w:left="1220" w:hanging="415"/>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advisory votes on executive compensation or golden parachute arrangements;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 and</w:t>
      </w:r>
    </w:p>
    <w:p>
      <w:pPr>
        <w:spacing w:after="0" w:line="130" w:lineRule="exact"/>
        <w:rPr>
          <w:rFonts w:ascii="Arial" w:cs="Arial" w:eastAsia="Arial" w:hAnsi="Arial"/>
          <w:sz w:val="18"/>
          <w:szCs w:val="18"/>
          <w:color w:val="auto"/>
        </w:rPr>
      </w:pPr>
    </w:p>
    <w:p>
      <w:pPr>
        <w:ind w:left="1220" w:right="280" w:hanging="415"/>
        <w:spacing w:after="0" w:line="342" w:lineRule="auto"/>
        <w:tabs>
          <w:tab w:leader="none" w:pos="1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24" w:lineRule="exact"/>
        <w:rPr>
          <w:sz w:val="20"/>
          <w:szCs w:val="20"/>
          <w:color w:val="auto"/>
        </w:rPr>
      </w:pPr>
    </w:p>
    <w:p>
      <w:pPr>
        <w:ind w:left="380" w:right="40" w:firstLine="426"/>
        <w:spacing w:after="0" w:line="288" w:lineRule="auto"/>
        <w:rPr>
          <w:sz w:val="20"/>
          <w:szCs w:val="20"/>
          <w:color w:val="auto"/>
        </w:rPr>
      </w:pPr>
      <w:r>
        <w:rPr>
          <w:rFonts w:ascii="Arial" w:cs="Arial" w:eastAsia="Arial" w:hAnsi="Arial"/>
          <w:sz w:val="16"/>
          <w:szCs w:val="16"/>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$1.07 billion or more; (ii) the last day of our fiscal year following the fifth anniversary of our initial public offering in June 2018;</w:t>
      </w:r>
    </w:p>
    <w:p>
      <w:pPr>
        <w:ind w:left="380" w:right="20" w:firstLine="6"/>
        <w:spacing w:after="0" w:line="252"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prospectus supplement. Accordingly, the information contained herein may be different from the information you receive from other public companies in which you hold stock. We have elected to avail ourselves of the exemption for the delayed adoption of certain accounting standards and, therefore, are not subject to the same new or revised accounting standards as other public companies that are not emerging growth companies.</w:t>
      </w:r>
    </w:p>
    <w:p>
      <w:pPr>
        <w:spacing w:after="0" w:line="194" w:lineRule="exact"/>
        <w:rPr>
          <w:sz w:val="20"/>
          <w:szCs w:val="20"/>
          <w:color w:val="auto"/>
        </w:rPr>
      </w:pPr>
    </w:p>
    <w:p>
      <w:pPr>
        <w:ind w:left="380" w:right="80" w:firstLine="426"/>
        <w:spacing w:after="0" w:line="286" w:lineRule="auto"/>
        <w:rPr>
          <w:sz w:val="20"/>
          <w:szCs w:val="20"/>
          <w:color w:val="auto"/>
        </w:rPr>
      </w:pPr>
      <w:r>
        <w:rPr>
          <w:rFonts w:ascii="Arial" w:cs="Arial" w:eastAsia="Arial" w:hAnsi="Arial"/>
          <w:sz w:val="17"/>
          <w:szCs w:val="17"/>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200" w:lineRule="exact"/>
        <w:rPr>
          <w:sz w:val="20"/>
          <w:szCs w:val="20"/>
          <w:color w:val="auto"/>
        </w:rPr>
      </w:pPr>
    </w:p>
    <w:p>
      <w:pPr>
        <w:spacing w:after="0" w:line="39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040"/>
          </w:cols>
          <w:pgMar w:left="240" w:top="459" w:right="61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218440</wp:posOffset>
            </wp:positionV>
            <wp:extent cx="7002145" cy="59213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2145" cy="5921375"/>
                    </a:xfrm>
                    <a:prstGeom prst="rect">
                      <a:avLst/>
                    </a:prstGeom>
                    <a:noFill/>
                  </pic:spPr>
                </pic:pic>
              </a:graphicData>
            </a:graphic>
          </wp:anchor>
        </w:drawing>
      </w:r>
    </w:p>
    <w:p>
      <w:pPr>
        <w:sectPr>
          <w:pgSz w:w="11900" w:h="16838" w:orient="portrait"/>
          <w:cols w:equalWidth="0" w:num="1">
            <w:col w:w="11040"/>
          </w:cols>
          <w:pgMar w:left="240" w:top="459"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Common stock offered by us</w:t>
      </w:r>
    </w:p>
    <w:p>
      <w:pPr>
        <w:spacing w:after="0" w:line="77" w:lineRule="exact"/>
        <w:rPr>
          <w:sz w:val="20"/>
          <w:szCs w:val="20"/>
          <w:color w:val="auto"/>
        </w:rPr>
      </w:pPr>
    </w:p>
    <w:p>
      <w:pPr>
        <w:ind w:left="580" w:hanging="179"/>
        <w:spacing w:after="0" w:line="277" w:lineRule="auto"/>
        <w:rPr>
          <w:sz w:val="20"/>
          <w:szCs w:val="20"/>
          <w:color w:val="auto"/>
        </w:rPr>
      </w:pPr>
      <w:r>
        <w:rPr>
          <w:rFonts w:ascii="Arial" w:cs="Arial" w:eastAsia="Arial" w:hAnsi="Arial"/>
          <w:sz w:val="18"/>
          <w:szCs w:val="18"/>
          <w:color w:val="auto"/>
        </w:rPr>
        <w:t>Common stock to be outstanding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Underwriters’ option to purchase additional shares</w:t>
      </w:r>
    </w:p>
    <w:p>
      <w:pPr>
        <w:spacing w:after="0" w:line="200" w:lineRule="exact"/>
        <w:rPr>
          <w:sz w:val="20"/>
          <w:szCs w:val="20"/>
          <w:color w:val="auto"/>
        </w:rPr>
      </w:pPr>
    </w:p>
    <w:p>
      <w:pPr>
        <w:spacing w:after="0" w:line="3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Nasdaq Global Select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32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$100,000,000 of shares of common stock</w:t>
      </w:r>
    </w:p>
    <w:p>
      <w:pPr>
        <w:spacing w:after="0" w:line="293" w:lineRule="exact"/>
        <w:rPr>
          <w:sz w:val="20"/>
          <w:szCs w:val="20"/>
          <w:color w:val="auto"/>
        </w:rPr>
      </w:pPr>
    </w:p>
    <w:p>
      <w:pPr>
        <w:ind w:left="1200" w:right="20" w:hanging="179"/>
        <w:spacing w:after="0" w:line="273" w:lineRule="auto"/>
        <w:rPr>
          <w:sz w:val="20"/>
          <w:szCs w:val="20"/>
          <w:color w:val="auto"/>
        </w:rPr>
      </w:pPr>
      <w:r>
        <w:rPr>
          <w:rFonts w:ascii="Arial" w:cs="Arial" w:eastAsia="Arial" w:hAnsi="Arial"/>
          <w:sz w:val="17"/>
          <w:szCs w:val="17"/>
          <w:color w:val="auto"/>
        </w:rPr>
        <w:t>30,166,895 shares (or 31,080,415 shares if the underwriters exercises its option to purchase additional shares in full) assuming the sale of 6,090,133 shares of our common stock in this offering at an assumed offering price of $16.42 per share, which was the last reported sale price of our common stock on The Nasdaq Global Select Market on July 15, 2019.</w:t>
      </w:r>
    </w:p>
    <w:p>
      <w:pPr>
        <w:spacing w:after="0" w:line="43" w:lineRule="exact"/>
        <w:rPr>
          <w:sz w:val="20"/>
          <w:szCs w:val="20"/>
          <w:color w:val="auto"/>
        </w:rPr>
      </w:pPr>
    </w:p>
    <w:p>
      <w:pPr>
        <w:ind w:left="1200" w:right="180" w:hanging="179"/>
        <w:spacing w:after="0" w:line="264" w:lineRule="auto"/>
        <w:rPr>
          <w:sz w:val="20"/>
          <w:szCs w:val="20"/>
          <w:color w:val="auto"/>
        </w:rPr>
      </w:pPr>
      <w:r>
        <w:rPr>
          <w:rFonts w:ascii="Arial" w:cs="Arial" w:eastAsia="Arial" w:hAnsi="Arial"/>
          <w:sz w:val="18"/>
          <w:szCs w:val="18"/>
          <w:color w:val="auto"/>
        </w:rPr>
        <w:t>We have granted the underwriters an option for a period of 30 days to purchase up to $15,000,000 of additional shares of common stock.</w:t>
      </w:r>
    </w:p>
    <w:p>
      <w:pPr>
        <w:spacing w:after="0" w:line="33" w:lineRule="exact"/>
        <w:rPr>
          <w:sz w:val="20"/>
          <w:szCs w:val="20"/>
          <w:color w:val="auto"/>
        </w:rPr>
      </w:pPr>
    </w:p>
    <w:p>
      <w:pPr>
        <w:ind w:left="1200" w:hanging="179"/>
        <w:spacing w:after="0" w:line="268" w:lineRule="auto"/>
        <w:rPr>
          <w:sz w:val="20"/>
          <w:szCs w:val="20"/>
          <w:color w:val="auto"/>
        </w:rPr>
      </w:pPr>
      <w:r>
        <w:rPr>
          <w:rFonts w:ascii="Arial" w:cs="Arial" w:eastAsia="Arial" w:hAnsi="Arial"/>
          <w:sz w:val="17"/>
          <w:szCs w:val="17"/>
          <w:color w:val="auto"/>
        </w:rPr>
        <w:t>We intend to use the proceeds from this offering, after deducting underwriting discounts and commissions and estimated offering expenses payable by us, to fund the support of our current programs in Fabry disease, Gaucher disease, Pompe disease and cystinosis, fund external and internal manufacturing and process development activities related to our programs and to fund research and development activities that relate to all of our clinical and preclinical activities, including the cost of research and development personnel, and the remainder for planned general and administrative expenses, working capital and other general corporate purposes. For a more complete description of our intended use of the proceeds from this offering, see “Use of Proceeds” on page S-20.</w:t>
      </w:r>
    </w:p>
    <w:p>
      <w:pPr>
        <w:spacing w:after="0" w:line="39" w:lineRule="exact"/>
        <w:rPr>
          <w:sz w:val="20"/>
          <w:szCs w:val="20"/>
          <w:color w:val="auto"/>
        </w:rPr>
      </w:pPr>
    </w:p>
    <w:p>
      <w:pPr>
        <w:ind w:left="1200" w:right="20" w:hanging="179"/>
        <w:spacing w:after="0" w:line="273" w:lineRule="auto"/>
        <w:rPr>
          <w:sz w:val="20"/>
          <w:szCs w:val="20"/>
          <w:color w:val="auto"/>
        </w:rPr>
      </w:pPr>
      <w:r>
        <w:rPr>
          <w:rFonts w:ascii="Arial" w:cs="Arial" w:eastAsia="Arial" w:hAnsi="Arial"/>
          <w:sz w:val="17"/>
          <w:szCs w:val="17"/>
          <w:color w:val="auto"/>
        </w:rPr>
        <w:t>This investment involves a high degree of risk. You should carefully read “Risk Factors” on page S-15 of this prospectus supplement or otherwise incorporated by reference in this prospectus supplement and the accompanying prospectus for a discussion of factors that you should consider before deciding to invest in our common stock.</w:t>
      </w:r>
    </w:p>
    <w:p>
      <w:pPr>
        <w:spacing w:after="0" w:line="3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“AVRO”</w:t>
      </w:r>
    </w:p>
    <w:p>
      <w:pPr>
        <w:spacing w:after="0" w:line="200" w:lineRule="exact"/>
        <w:rPr>
          <w:sz w:val="20"/>
          <w:szCs w:val="20"/>
          <w:color w:val="auto"/>
        </w:rPr>
      </w:pPr>
    </w:p>
    <w:p>
      <w:pPr>
        <w:sectPr>
          <w:pgSz w:w="11900" w:h="16838" w:orient="portrait"/>
          <w:cols w:equalWidth="0" w:num="2">
            <w:col w:w="4400" w:space="620"/>
            <w:col w:w="6020"/>
          </w:cols>
          <w:pgMar w:left="240" w:top="459" w:right="619" w:bottom="1440" w:gutter="0" w:footer="0" w:header="0"/>
          <w:type w:val="continuous"/>
        </w:sectPr>
      </w:pPr>
    </w:p>
    <w:p>
      <w:pPr>
        <w:spacing w:after="0" w:line="25"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Certain of our existing stockholders, including certain affiliates of our directors, have indicated an interest in purchasing an aggregate of approximately $20.0 million of shares of our common stock in this offering at the public offering price disclosed in this prospectus supplement. However, because indications of interest are not binding agreements or commitments to purchase, the underwriters may determine to sell more, less or no shares in this offering to any of these stockholders, or any of these stockholders may determine to purchase more, less or no shares in this offering.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040"/>
          </w:cols>
          <w:pgMar w:left="240" w:top="459" w:right="61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3793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2145" cy="23793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60" w:firstLine="426"/>
        <w:spacing w:after="0" w:line="259" w:lineRule="auto"/>
        <w:rPr>
          <w:sz w:val="20"/>
          <w:szCs w:val="20"/>
          <w:color w:val="auto"/>
        </w:rPr>
      </w:pPr>
      <w:r>
        <w:rPr>
          <w:rFonts w:ascii="Arial" w:cs="Arial" w:eastAsia="Arial" w:hAnsi="Arial"/>
          <w:sz w:val="18"/>
          <w:szCs w:val="18"/>
          <w:color w:val="auto"/>
        </w:rPr>
        <w:t>All information in this prospectus supplement related to the number of shares of our common stock to be outstanding immediately after this offering is based on 24,076,762 shares of our common stock outstanding as of March 31, 2019 and gives effect to the sale of 6,090,133 shares of common stock at an assumed public offering price of $16.42 per share, the last reported sale price of our common stock on The Nasdaq Global Select Market on July 15, 2019, and does not include:</w:t>
      </w:r>
    </w:p>
    <w:p>
      <w:pPr>
        <w:spacing w:after="0" w:line="92" w:lineRule="exact"/>
        <w:rPr>
          <w:sz w:val="20"/>
          <w:szCs w:val="20"/>
          <w:color w:val="auto"/>
        </w:rPr>
      </w:pPr>
    </w:p>
    <w:p>
      <w:pPr>
        <w:ind w:left="1220" w:hanging="415"/>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2,986,048 shares of common stock issuable upon the exercise of stock options outstanding as of March 31, 2019 at a weighted-average exercise price of $10.94 per share;</w:t>
      </w:r>
    </w:p>
    <w:p>
      <w:pPr>
        <w:spacing w:after="0" w:line="75" w:lineRule="exact"/>
        <w:rPr>
          <w:rFonts w:ascii="Arial" w:cs="Arial" w:eastAsia="Arial" w:hAnsi="Arial"/>
          <w:sz w:val="18"/>
          <w:szCs w:val="18"/>
          <w:color w:val="auto"/>
        </w:rPr>
      </w:pPr>
    </w:p>
    <w:p>
      <w:pPr>
        <w:ind w:left="1220" w:hanging="415"/>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2,300 shares of common stock issuable upon the vesting of restricted stock units outstanding as of March 31, 2019;</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528,134 shares of common stock reserved for future issuance under our 2018 Stock Option and Incentive Plan; and</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461,266 shares of common stock reserved for the future issuance under our 2018 Employee Stock Purchase Plan.</w:t>
      </w:r>
    </w:p>
    <w:p>
      <w:pPr>
        <w:spacing w:after="0" w:line="225" w:lineRule="exact"/>
        <w:rPr>
          <w:sz w:val="20"/>
          <w:szCs w:val="20"/>
          <w:color w:val="auto"/>
        </w:rPr>
      </w:pPr>
    </w:p>
    <w:p>
      <w:pPr>
        <w:ind w:left="380" w:right="20" w:firstLine="426"/>
        <w:spacing w:after="0" w:line="264" w:lineRule="auto"/>
        <w:rPr>
          <w:sz w:val="20"/>
          <w:szCs w:val="20"/>
          <w:color w:val="auto"/>
        </w:rPr>
      </w:pPr>
      <w:r>
        <w:rPr>
          <w:rFonts w:ascii="Arial" w:cs="Arial" w:eastAsia="Arial" w:hAnsi="Arial"/>
          <w:sz w:val="18"/>
          <w:szCs w:val="18"/>
          <w:color w:val="auto"/>
        </w:rPr>
        <w:t>Except as otherwise indicated, we have presented the information in this prospectus supplement assuming no exercise by the underwriters in this offering of their option to purchase additional shares of common stock and no exercise of outstanding options or settlement of the restricted stock units described above.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0940"/>
          </w:cols>
          <w:pgMar w:left="240" w:top="459" w:right="7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i w:val="1"/>
          <w:iCs w:val="1"/>
          <w:color w:val="auto"/>
        </w:rPr>
        <w:t>Investing in our common stock involves a high degree of risk. Before deciding whether to invest in our common stock, you should consider carefully the risks and uncertainties described below. You should also consider the risks, uncertainties and assumptions discussed under the heading “Risk Factors” included in our most recent annual report on Form 10-K and our subsequent quarterly report on Form 10-Q, each of which is on file with the SEC and are incorporated herein by reference, and which may be amended, supplemented or superseded from time to time by other reports we file with the SEC in the future. There may be other unknown or unpredictable economic, business, competitive, regulatory or other factors that could have material adverse effects on our future results. If any of these risks actually occurs, our business, business prospects, financial condition or results of operations could be seriously harmed. This could cause the trading price of our common stock to decline, resulting in a loss of all or part of your investment. Please also read carefully the section above entitled “Cautionary Statement Regarding Forward-Looking Statements.”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you may not be able to resell your shares at or above the offering price.</w:t>
      </w:r>
    </w:p>
    <w:p>
      <w:pPr>
        <w:spacing w:after="0" w:line="14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stock price is likely to be volatile. Since our initial public offering in June 2018, or our IPO, the trading price of our common stock has ranged from $11.85 to $53.70.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 shares. The market price for our common stock may be influenced by many factors, including:</w:t>
      </w:r>
    </w:p>
    <w:p>
      <w:pPr>
        <w:spacing w:after="0" w:line="94" w:lineRule="exact"/>
        <w:rPr>
          <w:sz w:val="20"/>
          <w:szCs w:val="20"/>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by us to successfully develop and commercialize our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by us to maintain our existing strategic collaborations or enter into new collaborations;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by us or our licensors and strategic partners to prosecute, maintain or enforce our intellectual property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laws or regulations applicable to future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inability to obtain adequate product supply for our product candidates or the inability to do so at acceptable prices;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introduction of new products, services or technologies by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by us to meet or exceed financial projections we may provide to the public;</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by us to meet or exceed the financial projections of the investment community;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30"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partner or our competitors;</w:t>
      </w:r>
    </w:p>
    <w:p>
      <w:pPr>
        <w:spacing w:after="0" w:line="75"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jc w:val="both"/>
        <w:ind w:left="200" w:right="60" w:firstLine="441"/>
        <w:spacing w:after="0" w:line="286" w:lineRule="auto"/>
        <w:rPr>
          <w:sz w:val="20"/>
          <w:szCs w:val="20"/>
          <w:color w:val="auto"/>
        </w:rPr>
      </w:pPr>
      <w:r>
        <w:rPr>
          <w:rFonts w:ascii="Arial" w:cs="Arial" w:eastAsia="Arial" w:hAnsi="Arial"/>
          <w:sz w:val="17"/>
          <w:szCs w:val="17"/>
          <w:color w:val="auto"/>
        </w:rPr>
        <w:t>In addition, companies trading in the stock market in general, and The Nasdaq Global Select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Although our common stock is listed on The Nasdaq Global Select Market, an active trading market for our shares may never be sustained. If an active market for our common stock is not sustained, it may be difficult for you to sell shares you purchase in this offering without depressing the market price for the shares, or at all.</w:t>
      </w:r>
    </w:p>
    <w:p>
      <w:pPr>
        <w:spacing w:after="0" w:line="18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279"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trading market for our common stock will likely depend in part on the research and reports that securities or industry analysts publish about us or our business. We do not have any control over these analysts. Although we have obtained research coverage from certain analysts, there can be no assurance that analysts will continue to cover us or provide favorable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281"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Based on shares outstanding as of May 31, 2019, our executive officers, directors, five percent stockholders and their affiliates beneficially owned approximately 49% of our outstanding voting stock, not accounting for any shares purchased in this offering by certain of our existing stockholders, including certain affiliates of our directors, who have indicated an interest in purchasing an aggregate of approximately $20.0 million of our common stock in this offering. As a result, if these stockholders were to act together, they would be able to control all matters submitted to our stockholders for approval, as well as our management and affairs.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Some of these persons or entities may have interests different</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spacing w:after="0" w:line="264" w:lineRule="auto"/>
        <w:rPr>
          <w:sz w:val="20"/>
          <w:szCs w:val="20"/>
          <w:color w:val="auto"/>
        </w:rPr>
      </w:pPr>
      <w:r>
        <w:rPr>
          <w:rFonts w:ascii="Arial" w:cs="Arial" w:eastAsia="Arial" w:hAnsi="Arial"/>
          <w:sz w:val="18"/>
          <w:szCs w:val="18"/>
          <w:color w:val="auto"/>
        </w:rPr>
        <w:t>than yours. For example, because many of these stockholders purchased their shares at prices substantially below the price at which you may purchase our shares and have held their shares for a longer period, they may be more interested in selling our company to an acquirer than other investors or they may want us to pursue strategies that deviate from the interests of other stockholders.</w:t>
      </w:r>
    </w:p>
    <w:p>
      <w:pPr>
        <w:spacing w:after="0" w:line="289"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as of June 30. For so long as we remain an EGC, we are permitted and intend to rely on exemptions from certain disclosure requirements that are applicable to other public companies that are not emerging growth companies. These exemptions include:</w:t>
      </w:r>
    </w:p>
    <w:p>
      <w:pPr>
        <w:spacing w:after="0" w:line="83" w:lineRule="exact"/>
        <w:rPr>
          <w:sz w:val="20"/>
          <w:szCs w:val="20"/>
          <w:color w:val="auto"/>
        </w:rPr>
      </w:pPr>
    </w:p>
    <w:p>
      <w:pPr>
        <w:ind w:left="1060" w:hanging="424"/>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or Section 404;</w:t>
      </w:r>
    </w:p>
    <w:p>
      <w:pPr>
        <w:spacing w:after="0" w:line="142" w:lineRule="exact"/>
        <w:rPr>
          <w:rFonts w:ascii="Arial" w:cs="Arial" w:eastAsia="Arial" w:hAnsi="Arial"/>
          <w:sz w:val="17"/>
          <w:szCs w:val="17"/>
          <w:color w:val="auto"/>
        </w:rPr>
      </w:pPr>
    </w:p>
    <w:p>
      <w:pPr>
        <w:ind w:left="1060" w:right="340" w:hanging="424"/>
        <w:spacing w:after="0" w:line="264"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6" w:lineRule="exact"/>
        <w:rPr>
          <w:rFonts w:ascii="Arial" w:cs="Arial" w:eastAsia="Arial" w:hAnsi="Arial"/>
          <w:sz w:val="18"/>
          <w:szCs w:val="18"/>
          <w:color w:val="auto"/>
        </w:rPr>
      </w:pPr>
    </w:p>
    <w:p>
      <w:pPr>
        <w:ind w:left="1060" w:hanging="424"/>
        <w:spacing w:after="0" w:line="342" w:lineRule="auto"/>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or golden parachute arrangements.</w:t>
      </w:r>
    </w:p>
    <w:p>
      <w:pPr>
        <w:spacing w:after="0" w:line="23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We may choose to take advantage of some, but not all, of the available exemptions. We have taken advantage of reduced reporting burdens. In particular, we have not included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reduced or more volatile.</w:t>
      </w:r>
    </w:p>
    <w:p>
      <w:pPr>
        <w:spacing w:after="0" w:line="154"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17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80"/>
          </w:cols>
          <w:pgMar w:left="24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If you purchase our common stock in this offering, you will incur immediate and substantial dilution in the book value of your shares.</w:t>
      </w:r>
    </w:p>
    <w:p>
      <w:pPr>
        <w:spacing w:after="0" w:line="140"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Investors purchasing shares of common stock in this offering will pay a price per share that substantially exceeds the as adjusted book value per share of our tangible assets after subtracting our liabilities. As a result, investors purchasing shares of common stock in this offering will incur immediate dilution of $9.78 per share, based on the assumed offering price of $16.42 per share, which is the closing price of our common stock on July 15, 2019, and our as adjusted net tangible book value as of March 31, 2019. Further, based on these assumptions, investors purchasing shares of common stock in this offering will contribute approximately 33.0% of the total amount invested by stockholders since our inception, but will own only approximately 20.2% of the shares of common stock outstanding. For information on how the foregoing amounts were calculated, see “Dilution.”</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those of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 In addition, the sale of substantial amounts of our common stock could adversely impact its price. As of March 31, 2019, we had outstanding 24,076,762 shares of our common stock, options to purchase 2,986,048 shares of our common stock (of which 673,946 were exercisable as of that date) and 2,300 shares of common stock issuable upon the vesting of restricted stock units (none of which were vested as of that date). The sale or the availability for sale of a large number of shares of our common stock in the public market could cause the price of our common stock to decline.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17"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by our management to apply these funds effectively could harm our business. Pending their use, we may invest the net proceeds from this offering in short-term, investment-grade, interest-bearing securities. These investments may not yield a favorable return to our stockholders.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declaring or paying any cash dividends for the foreseeable future. Any return to stockholders will therefore be limited to the appreciation of their stock. For example, our prior loan facility with Silicon Valley Bank restricted our ability to pay any dividends or making any distributions on account of our capital stock, and we may enter into agreements in the future with similar restrictions. As a result, capital appreciation, if any, of our common stock will be your sole source of gain for the foreseeable future.</w:t>
      </w:r>
    </w:p>
    <w:p>
      <w:pPr>
        <w:spacing w:after="0" w:line="295"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62"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Our amended and restated bylaws provide that, unless we consent in writing to an alternative forum, the Court of Chancery of the State of Delaware will be the sole and exclusive forum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our amended and restated certificate of incorporation or our amended and restated bylaws; or (4) any action asserting a claim governed by the internal affairs doctrine (the “Delaware Forum Provision”). The Delaware Forum Provision will not apply to any causes of action arising under the Securities Act of 1933, as amended (the “Securities Act”) or the Securities Exchange Act of 1934. Our amended and restated bylaws further provide that, unless we consent in writing to an alternative forum, the United States District Court for the District of Massachusetts will be the exclusive forum for resolving any complaint asserting a cause of action arising under the Securities Act (the “Federal Forum Provision”). We have chosen the United States District Court for the District of Massachusetts as the sole and exclusive forum for such Securities Act causes of action because our principal executive offices are located in Cambridge,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w:t>
      </w:r>
    </w:p>
    <w:p>
      <w:pPr>
        <w:spacing w:after="0" w:line="188"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 xml:space="preserve">On December 19, 2018, in </w:t>
      </w:r>
      <w:r>
        <w:rPr>
          <w:rFonts w:ascii="Arial" w:cs="Arial" w:eastAsia="Arial" w:hAnsi="Arial"/>
          <w:sz w:val="16"/>
          <w:szCs w:val="16"/>
          <w:i w:val="1"/>
          <w:iCs w:val="1"/>
          <w:color w:val="auto"/>
        </w:rPr>
        <w:t>Sciabacucchi v. Salzberg</w:t>
      </w:r>
      <w:r>
        <w:rPr>
          <w:rFonts w:ascii="Arial" w:cs="Arial" w:eastAsia="Arial" w:hAnsi="Arial"/>
          <w:sz w:val="16"/>
          <w:szCs w:val="16"/>
          <w:color w:val="auto"/>
        </w:rPr>
        <w:t xml:space="preserve">, C.A. No. 2017-0931-JTL (Del. Ch.), the Court of Chancery of the State of Delaware issued a decision declaring that federal forum selection provisions that purport to require claims under the Securities Act be brought in federal court are ineffective and invalid under Delaware law. On January 17, 2019, the decision was appealed to the Delaware Supreme Court. While the Delaware Supreme Court dismissed the appeal on jurisdictional grounds, we expect that the appeal will be re-filed once the Court of Chancery issues a final judgment. Unless and until the Court of Chancery’s decision in </w:t>
      </w:r>
      <w:r>
        <w:rPr>
          <w:rFonts w:ascii="Arial" w:cs="Arial" w:eastAsia="Arial" w:hAnsi="Arial"/>
          <w:sz w:val="16"/>
          <w:szCs w:val="16"/>
          <w:i w:val="1"/>
          <w:iCs w:val="1"/>
          <w:color w:val="auto"/>
        </w:rPr>
        <w:t>Sciabacucchi</w:t>
      </w:r>
      <w:r>
        <w:rPr>
          <w:rFonts w:ascii="Arial" w:cs="Arial" w:eastAsia="Arial" w:hAnsi="Arial"/>
          <w:sz w:val="16"/>
          <w:szCs w:val="16"/>
          <w:color w:val="auto"/>
        </w:rPr>
        <w:t xml:space="preserve"> is reversed by the Delaware Supreme Court or otherwise abrogated, we do not intend to enforce our Federal Forum Provision designating the District of Massachusetts as the exclusive forum for Securities Act claims. In the event that the Delaware Supreme Court affirms the Court of Chancery’s </w:t>
      </w:r>
      <w:r>
        <w:rPr>
          <w:rFonts w:ascii="Arial" w:cs="Arial" w:eastAsia="Arial" w:hAnsi="Arial"/>
          <w:sz w:val="16"/>
          <w:szCs w:val="16"/>
          <w:i w:val="1"/>
          <w:iCs w:val="1"/>
          <w:color w:val="auto"/>
        </w:rPr>
        <w:t>Sciabacucchi</w:t>
      </w:r>
      <w:r>
        <w:rPr>
          <w:rFonts w:ascii="Arial" w:cs="Arial" w:eastAsia="Arial" w:hAnsi="Arial"/>
          <w:sz w:val="16"/>
          <w:szCs w:val="16"/>
          <w:color w:val="auto"/>
        </w:rPr>
        <w:t xml:space="preserve"> decision or otherwise makes a determination that provisions such as the Federal Forum Provision are invalid, our Board of Directors intends to amend promptly our bylaws to remove the Federal Forum Provision. Such amendment could cause us to incur additional costs, which could have an adverse effect on our business, financial condition or results of operations.</w:t>
      </w:r>
    </w:p>
    <w:p>
      <w:pPr>
        <w:spacing w:after="0" w:line="167"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We recognize that 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The Federal Forum Provision may also impose additional litigation costs on stockholders who assert the provision is not enforceable.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estimate that the net proceeds from this offering, after deducting underwriting discounts and commissions and estimated offering expenses payable by us, will be approximately $93.5 million, based on an assumed offering price of $16.42 per share (the last reported sale price of our common stock on The Nasdaq Global Select Market on July 15, 2019). If the underwriters exercise in full their option to purchase additional shares, we estimate that our net proceeds from this offering will be approximately $107.6 million.</w:t>
      </w:r>
    </w:p>
    <w:p>
      <w:pPr>
        <w:spacing w:after="0" w:line="187"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Each $1.00 increase (decrease) in the assumed public offering price of $16.42 per share, which was the last reported sale price of our common stock on The Nasdaq Global Select Market on July 15, 2019, would increase (decrease) the net proceeds to us from this offering by $5.7 million, assuming all of our common stock in the aggregate amount of approximately $100,000,000 is sold at that price, and after deducting estimated underwriting discounts and commissions and estimated offering expenses payable by us. Each increase (decrease) of 1,000,000 shares in the number of shares offered by us, assuming all of our common stock in the aggregate amount of approximately $100,000,000 is sold, would increase (decrease) our net proceeds from this offering by $15.4 million, assuming no change in the assumed public offering price per share and after deducting estimated underwriting discounts and commissions and estimated offering expenses payable by us. This information is illustrative only and will depend on the actual public offering price and other terms of this offering determined at pricing.</w:t>
      </w:r>
    </w:p>
    <w:p>
      <w:pPr>
        <w:spacing w:after="0" w:line="17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principal purpose of this offering is to obtain additional capital to support our operations. We expect to use the net proceeds of this offering, in addition to our existing cash resources, as follows:</w:t>
      </w:r>
    </w:p>
    <w:p>
      <w:pPr>
        <w:spacing w:after="0" w:line="76" w:lineRule="exact"/>
        <w:rPr>
          <w:sz w:val="20"/>
          <w:szCs w:val="20"/>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fund the support of our current programs in Fabry disease, Gaucher disease, Pompe disease and cystinosis;</w:t>
      </w:r>
    </w:p>
    <w:p>
      <w:pPr>
        <w:spacing w:after="0" w:line="130" w:lineRule="exact"/>
        <w:rPr>
          <w:rFonts w:ascii="Arial" w:cs="Arial" w:eastAsia="Arial" w:hAnsi="Arial"/>
          <w:sz w:val="18"/>
          <w:szCs w:val="18"/>
          <w:color w:val="auto"/>
        </w:rPr>
      </w:pPr>
    </w:p>
    <w:p>
      <w:pPr>
        <w:ind w:left="1060" w:right="200" w:hanging="424"/>
        <w:spacing w:after="0" w:line="264"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fund external and internal manufacturing and process development activities related to our programs and to fund research and development activities that relate to all of our clinical and preclinical activities, including the cost of research and development personnel; and</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remainder for planned general and administrative expenses, working capital and other general corporate purposes.</w:t>
      </w:r>
    </w:p>
    <w:p>
      <w:pPr>
        <w:spacing w:after="0" w:line="225"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Based on our current plans, we believe our existing cash and cash equivalents, together with the net proceeds from this offering, will be sufficient to fund our operations into 2021.</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amounts and timing of our use of the remaining net proceeds from this offering will depend on a number of factors, such as the timing and plans for initiation of our planned clinical trials, the progress of our research and development, the status of and results from non-clinical studies or clinical trials we may commence in the future, as well as any collaborations that we may enter into with third parties for our product candidates or strategic opportunities that become available to us, and any unforeseen cash needs. As of the date of this prospectus supplement, we cannot specify with certainty all of the particular uses for the net proceeds to us from this offering. Accordingly, our management will have broad discretion in the timing and application of these proceeds. Pending application of the net proceeds as described above, we intend to temporarily invest the proceeds in short-term, interest-bearing instruments.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MARKET FOR COMMON STOCK</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common stock has been listed on The Nasdaq Global Select Market under the symbol “AVRO” since June 21, 2018. Prior to that time, there was no public market for our common stock.</w:t>
      </w:r>
    </w:p>
    <w:p>
      <w:pPr>
        <w:spacing w:after="0" w:line="170"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On July 15, 2019, the closing price of our common stock as reported on The Nasdaq Global Select Market was $16.42 per share. As of July 15, 2019, we had approximately 13 record holders of our common stock (not including beneficial owners whose shares are held in street name).</w:t>
      </w:r>
    </w:p>
    <w:p>
      <w:pPr>
        <w:spacing w:after="0" w:line="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060"/>
          </w:cols>
          <w:pgMar w:left="240" w:top="459" w:right="5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dividend policy will be made at the discretion of our board of directors and will depend on, among other factors, our results of operations, financial condition, capital requirements, contractual restrictions, business prospects and other factors our board of directors may deem relevant. Investors should not purchase our common stock with the expectation of receiving cash dividends.</w:t>
      </w:r>
    </w:p>
    <w:p>
      <w:pPr>
        <w:spacing w:after="0" w:line="9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80"/>
          </w:cols>
          <w:pgMar w:left="24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cash, cash equivalents and capitalization as of March 31, 2019:</w:t>
      </w:r>
    </w:p>
    <w:p>
      <w:pPr>
        <w:spacing w:after="0" w:line="131" w:lineRule="exact"/>
        <w:rPr>
          <w:sz w:val="20"/>
          <w:szCs w:val="20"/>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 an as adjusted basis, giving effect to the sale of 6,090,133 shares of common stock by us in this offering based on an aggregate of</w:t>
      </w:r>
    </w:p>
    <w:p>
      <w:pPr>
        <w:spacing w:after="0" w:line="34" w:lineRule="exact"/>
        <w:rPr>
          <w:rFonts w:ascii="Arial" w:cs="Arial" w:eastAsia="Arial" w:hAnsi="Arial"/>
          <w:sz w:val="17"/>
          <w:szCs w:val="17"/>
          <w:color w:val="auto"/>
        </w:rPr>
      </w:pPr>
    </w:p>
    <w:p>
      <w:pPr>
        <w:jc w:val="both"/>
        <w:ind w:left="1060" w:right="120"/>
        <w:spacing w:after="0" w:line="255" w:lineRule="auto"/>
        <w:rPr>
          <w:rFonts w:ascii="Arial" w:cs="Arial" w:eastAsia="Arial" w:hAnsi="Arial"/>
          <w:sz w:val="17"/>
          <w:szCs w:val="17"/>
          <w:color w:val="auto"/>
        </w:rPr>
      </w:pPr>
      <w:r>
        <w:rPr>
          <w:rFonts w:ascii="Arial" w:cs="Arial" w:eastAsia="Arial" w:hAnsi="Arial"/>
          <w:sz w:val="18"/>
          <w:szCs w:val="18"/>
          <w:color w:val="auto"/>
        </w:rPr>
        <w:t>$100,000,000 in shares of our common stock at an assumed offering price of $16.42 per share, which was the last reported sale price of our common stock on The Nasdaq Global Select Market on July 15, 2019, and after deducting the underwriting discounts and commissions and estimated offering expenses payable by us.</w:t>
      </w:r>
    </w:p>
    <w:p>
      <w:pPr>
        <w:spacing w:after="0" w:line="190"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You should read this table in conjunction with “Use of Proceeds” as well as our “Management’s Discussion and Analysis of Financial Condition and Results of Operations” and our consolidated financial statements, including the related notes, incorporated by reference into this prospectus supplement and the accompanying prospectus from our annual report on Form 10-K for the fiscal year ended December 31, 2018 and our subsequent quarterly report on Form 10-Q, and incorporated by reference herein and therein.</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As of March 31, 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Borders>
              <w:top w:val="single" w:sz="8" w:color="auto"/>
            </w:tcBorders>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Actual</w:t>
            </w: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98"/>
              <w:spacing w:after="0" w:line="119" w:lineRule="exact"/>
              <w:rPr>
                <w:sz w:val="20"/>
                <w:szCs w:val="20"/>
                <w:color w:val="auto"/>
              </w:rPr>
            </w:pPr>
            <w:r>
              <w:rPr>
                <w:rFonts w:ascii="Arial" w:cs="Arial" w:eastAsia="Arial" w:hAnsi="Arial"/>
                <w:sz w:val="13"/>
                <w:szCs w:val="13"/>
                <w:b w:val="1"/>
                <w:bCs w:val="1"/>
                <w:color w:val="auto"/>
              </w:rPr>
              <w:t>As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1"/>
              </w:rPr>
              <w:t>Adjusted</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40" w:type="dxa"/>
            <w:vAlign w:val="bottom"/>
            <w:tcBorders>
              <w:top w:val="single" w:sz="8" w:color="auto"/>
            </w:tcBorders>
            <w:gridSpan w:val="4"/>
          </w:tcPr>
          <w:p>
            <w:pPr>
              <w:jc w:val="center"/>
              <w:spacing w:after="0" w:line="119" w:lineRule="exact"/>
              <w:rPr>
                <w:sz w:val="20"/>
                <w:szCs w:val="20"/>
                <w:color w:val="auto"/>
              </w:rPr>
            </w:pPr>
            <w:r>
              <w:rPr>
                <w:rFonts w:ascii="Arial" w:cs="Arial" w:eastAsia="Arial" w:hAnsi="Arial"/>
                <w:sz w:val="13"/>
                <w:szCs w:val="13"/>
                <w:b w:val="1"/>
                <w:bCs w:val="1"/>
                <w:color w:val="auto"/>
                <w:w w:val="97"/>
              </w:rPr>
              <w:t>(in thousands, except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share 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108,476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$ 201,976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60" w:type="dxa"/>
            <w:vAlign w:val="bottom"/>
            <w:gridSpan w:val="3"/>
            <w:vMerge w:val="restart"/>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Preferred stock, $0.0001 par value, 10,000,000 shares authorized and no shares issued or outstanding, actual and as</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adjusted</w:t>
            </w:r>
          </w:p>
        </w:tc>
        <w:tc>
          <w:tcPr>
            <w:tcW w:w="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gridSpan w:val="2"/>
          </w:tcPr>
          <w:p>
            <w:pPr>
              <w:spacing w:after="0" w:line="201" w:lineRule="exact"/>
              <w:rPr>
                <w:sz w:val="20"/>
                <w:szCs w:val="20"/>
                <w:color w:val="auto"/>
              </w:rPr>
            </w:pPr>
            <w:r>
              <w:rPr>
                <w:rFonts w:ascii="Arial" w:cs="Arial" w:eastAsia="Arial" w:hAnsi="Arial"/>
                <w:sz w:val="18"/>
                <w:szCs w:val="18"/>
                <w:color w:val="auto"/>
              </w:rPr>
              <w:t>Common stock, $0.0001 par value; 150,000,000 shares authorized, 24,076,762 issued and 23,954,241 shares</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160"/>
              <w:spacing w:after="0"/>
              <w:rPr>
                <w:sz w:val="20"/>
                <w:szCs w:val="20"/>
                <w:color w:val="auto"/>
              </w:rPr>
            </w:pPr>
            <w:r>
              <w:rPr>
                <w:rFonts w:ascii="Arial" w:cs="Arial" w:eastAsia="Arial" w:hAnsi="Arial"/>
                <w:sz w:val="18"/>
                <w:szCs w:val="18"/>
                <w:color w:val="auto"/>
                <w:w w:val="94"/>
              </w:rPr>
              <w:t>outstanding, actual; 150,000,000 shares authorized, 30,166,895 shares issued and 30,044,374 shares outstanding, as</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gridSpan w:val="2"/>
          </w:tcPr>
          <w:p>
            <w:pPr>
              <w:ind w:left="160"/>
              <w:spacing w:after="0"/>
              <w:rPr>
                <w:sz w:val="20"/>
                <w:szCs w:val="20"/>
                <w:color w:val="auto"/>
              </w:rPr>
            </w:pPr>
            <w:r>
              <w:rPr>
                <w:rFonts w:ascii="Arial" w:cs="Arial" w:eastAsia="Arial" w:hAnsi="Arial"/>
                <w:sz w:val="18"/>
                <w:szCs w:val="18"/>
                <w:color w:val="auto"/>
              </w:rPr>
              <w:t>adjusted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195,628</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289,127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(88,842)</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(88,842)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6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106,788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$ 200,288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7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40" w:hanging="436"/>
        <w:spacing w:after="0" w:line="289"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Each $1.00 increase (decrease) in the assumed public offering price of $16.42 per share, which was the last reported sale price of our common stock on The Nasdaq Global Select Market on July 15, 2019, would increase (decrease) the as adjusted amount of each of cash and cash equivalents and total stockholders’ equity by $5.7 million, assuming all of our common stock in the aggregate amount of approximately $100,000,000 is sold at that price, and after deducting estimated underwriting discounts and commissions and estimated offering expenses payable by us. Each increase (decrease) of 1,000,000 shares in the number of shares offered by us, assuming all of our common stock in the aggregate amount of approximately $100,000,000 is sold, would increase (decrease) the pro forma as adjusted amount of each of cash and cash equivalents and total stockholders’ equity by $15.4 million, assuming no change in the assumed public offering price per share and after deducting estimated underwriting discounts and commissions and estimated offering expenses payable by us. This information is illustrative only and will depend on the actual initial public offering price and other terms of this offering determined at pricing.</w:t>
      </w:r>
    </w:p>
    <w:p>
      <w:pPr>
        <w:spacing w:after="0" w:line="16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information above is illustrative only and our capitalization following the closing of this offering will be adjusted based on the actual offering price and other terms of this offering determined at pricing.</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actual and adjusted information set forth in the table above excludes the following:</w:t>
      </w:r>
    </w:p>
    <w:p>
      <w:pPr>
        <w:spacing w:after="0" w:line="131" w:lineRule="exact"/>
        <w:rPr>
          <w:sz w:val="20"/>
          <w:szCs w:val="20"/>
          <w:color w:val="auto"/>
        </w:rPr>
      </w:pPr>
    </w:p>
    <w:p>
      <w:pPr>
        <w:ind w:left="1060" w:hanging="424"/>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2,986,048 shares of common stock issuable upon the exercise of stock options outstanding as of March 31, 2019 at a weighted-average exercise price of $10.94 per share;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2,300 shares of common stock issuable upon the vesting of restricted stock units outstanding as of March 31, 2019;</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528,134 shares of common stock reserved for future issuance under our 2018 Stock Option and Incentive Plan;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461,266 shares of common stock reserved for the future issuance under our 2018 Employee Stock Purchase Plan.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0800"/>
          </w:cols>
          <w:pgMar w:left="240" w:top="459" w:right="8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If you purchase shares of our common stock in this offering, your interest will be diluted to the extent of the difference between the public offering price per share of our common stock and the net tangible book value per share of our common stock after this offering. Our net tangible book value as of March 31, 2019 was approximately $106.8 million, or approximately $4.44 per share of common stock. “Net tangible book value” is total assets minus the sum of liabilities and intangible assets. “Net tangible book value per share” is net tangible book value divided by the total number of shares of common stock outstanding.</w:t>
      </w:r>
    </w:p>
    <w:p>
      <w:pPr>
        <w:spacing w:after="0" w:line="18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After giving effect to the sale by us of shares of our common stock having an aggregate value of $100,000,000 (or 6,090,133 shares of our common stock in this offering at an assumed public offering price of $16.42 per share, the last reported sale price of our common stock on The Nasdaq Global Select Market on July 15, 2019), and after deducting the underwriting discounts and commissions and estimated offering expenses payable by us, our net tangible book value as of March 31, 2019 would have been approximately $200.3 million, or $6.64 per share of common stock. This amount represents an immediate increase in net tangible book value of $2.20 per share to existing stockholders and an immediate dilution of $9.78 per share to purchasers in this offering.</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The following table illustrates the dilution:</w:t>
            </w:r>
          </w:p>
        </w:tc>
        <w:tc>
          <w:tcPr>
            <w:tcW w:w="2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 of common stock</w:t>
            </w:r>
          </w:p>
        </w:tc>
        <w:tc>
          <w:tcPr>
            <w:tcW w:w="3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tangible book value per share as of March 31, 2019</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$4.44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attributable to this offering</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22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3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Certain of our existing stockholders, including certain affiliates of our directors, have indicated an interest in purchasing an aggregate of approximately $20.0 million of shares of our common stock in this offering at the public offering price disclosed in this prospectus supplement. However, because indications of interest are not binding agreements or commitments to purchase, the underwriters may determine to sell more, less or no shares in this offering to any of these stockholders, or any of these stockholders may determine to purchase more, less or no shares in this offering. The table and discussion above do not give effect to the potential purchases by such investors.</w:t>
      </w:r>
    </w:p>
    <w:p>
      <w:pPr>
        <w:spacing w:after="0" w:line="173"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The table above assumes for illustrative purposes that an aggregate of 6,090,133 shares of our common stock are sold at a price of $16.42 per share, the last reported sale price of our common stock on The Nasdaq Global Select Market on July 15, 2019, after deducting the underwriting discounts and commissions and estimated offering expenses payable by us. An increase of $1.00 per share in the price at which the shares are sold from the assumed offering price of $16.42 per share shown in the table above, assuming all of our common stock in the aggregate amount of approximately $100,000,000 is sold at that price, would result in an increase to our as adjusted net tangible book value per share after the offering to $6.83 and an increase in the dilution in net tangible book value per share to new investors in this offering to $10.59, after deducting estimated underwriting discounts and commissions and estimated offering expenses payable by us. A decrease of $1.00 per share in the price at which the shares are sold from the assumed offering price of $16.42 per share shown in the table above, assuming all of our common stock in the aggregate amount of approximately $100,000,000 is sold at that price, would result in a decrease to our as adjusted net tangible book value per share after the offering to $6.45 and a decrease in the dilution in net tangible book value per share to new investors in this offering to $8.97, after deducting estimated underwriting discounts and commissions and estimated offering expenses payable by us. This information is supplied for illustrative purposes only, and will adjust based on the actual offering price and the actual number of shares that we offer and sell in this offering.</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240"/>
          </w:cols>
          <w:pgMar w:left="240" w:top="459"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If the underwriters exercise their option to purchase $15,000,000 additional shares, the as adjusted net tangible book value per share after this offering would be $6.90 per share, and the dilution in as adjusted net tangible book value per share to new investors purchasing common shares in this offering would be $9.52 per share, after deducting estimated underwriting discounts and commissions and estimated offering expenses payable by us.</w:t>
      </w:r>
    </w:p>
    <w:p>
      <w:pPr>
        <w:spacing w:after="0" w:line="14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information above and in the foregoing table is based upon 24,076,762 shares of our common stock outstanding as of March 31, 2019. The information above and in the foregoing table excludes as of March 31, 2019:</w:t>
      </w:r>
    </w:p>
    <w:p>
      <w:pPr>
        <w:spacing w:after="0" w:line="76" w:lineRule="exact"/>
        <w:rPr>
          <w:sz w:val="20"/>
          <w:szCs w:val="20"/>
          <w:color w:val="auto"/>
        </w:rPr>
      </w:pPr>
    </w:p>
    <w:p>
      <w:pPr>
        <w:ind w:left="1060" w:right="240" w:hanging="424"/>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2,986,048 shares of common stock issuable upon the exercise of stock options outstanding as of March 31, 2019 at a weighted-average exercise price of $10.94 per share;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2,300 shares of common stock issuable upon the vesting of restricted stock units outstanding as of March 31, 2019;</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528,134 shares of common stock reserved for future issuance under our 2018 Stock Option and Incentive Plan;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461,266 shares of common stock reserved for the future issuance under our 2018 Employee Stock Purchase Plan.</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040"/>
          </w:cols>
          <w:pgMar w:left="240" w:top="459" w:right="6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supplement, the underwriters named below, for whom Morgan Stanley &amp; Co. LLC and Cowen and Company, LLC are acting as representatives, have severally agreed to purchase, and we have agreed to sell to them, severally, the number of shares indicated below:</w:t>
      </w:r>
    </w:p>
    <w:p>
      <w:pPr>
        <w:spacing w:after="0" w:line="187" w:lineRule="exact"/>
        <w:rPr>
          <w:sz w:val="20"/>
          <w:szCs w:val="20"/>
          <w:color w:val="auto"/>
        </w:rPr>
      </w:pPr>
    </w:p>
    <w:tbl>
      <w:tblPr>
        <w:tblLayout w:type="fixed"/>
        <w:tblInd w:w="4960" w:type="dxa"/>
        <w:tblCellMar>
          <w:top w:w="0" w:type="dxa"/>
          <w:left w:w="0" w:type="dxa"/>
          <w:bottom w:w="0" w:type="dxa"/>
          <w:right w:w="0" w:type="dxa"/>
        </w:tblCellMar>
      </w:tblPr>
      <w:tr>
        <w:trPr>
          <w:trHeight w:val="161"/>
        </w:trPr>
        <w:tc>
          <w:tcPr>
            <w:tcW w:w="22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2560" w:type="dxa"/>
            <w:vAlign w:val="bottom"/>
          </w:tcPr>
          <w:p>
            <w:pPr>
              <w:jc w:val="center"/>
              <w:ind w:left="182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86"/>
        </w:trPr>
        <w:tc>
          <w:tcPr>
            <w:tcW w:w="2260" w:type="dxa"/>
            <w:vAlign w:val="bottom"/>
            <w:vMerge w:val="continue"/>
          </w:tcPr>
          <w:p>
            <w:pPr>
              <w:spacing w:after="0"/>
              <w:rPr>
                <w:sz w:val="16"/>
                <w:szCs w:val="16"/>
                <w:color w:val="auto"/>
              </w:rPr>
            </w:pPr>
          </w:p>
        </w:tc>
        <w:tc>
          <w:tcPr>
            <w:tcW w:w="2560" w:type="dxa"/>
            <w:vAlign w:val="bottom"/>
          </w:tcPr>
          <w:p>
            <w:pPr>
              <w:jc w:val="center"/>
              <w:ind w:left="1828"/>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-8890</wp:posOffset>
            </wp:positionV>
            <wp:extent cx="5248275"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48275" cy="14605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48275" cy="146050"/>
                    </a:xfrm>
                    <a:prstGeom prst="rect">
                      <a:avLst/>
                    </a:prstGeom>
                    <a:noFill/>
                  </pic:spPr>
                </pic:pic>
              </a:graphicData>
            </a:graphic>
          </wp:anchor>
        </w:drawing>
      </w:r>
    </w:p>
    <w:p>
      <w:pPr>
        <w:spacing w:after="0" w:line="218"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supplement are subject to the approval of certain legal matters by their counsel and to certain other conditions. The underwriters are obligated to take and pay for all of the shares of common stock offered by this prospectus supplement if any such shares are taken. However, the underwriters are not required to take or pay for the shares covered by the underwriters’ option to purchase additional shares described below.</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w:t>
      </w:r>
    </w:p>
    <w:p>
      <w:pPr>
        <w:spacing w:after="0" w:line="46"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this prospectus supplement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granted to the underwriters an option, exercisable for 30 days from the date of this prospectus supplement, to purchase up</w:t>
      </w:r>
    </w:p>
    <w:p>
      <w:pPr>
        <w:spacing w:after="0" w:line="23" w:lineRule="exact"/>
        <w:rPr>
          <w:sz w:val="20"/>
          <w:szCs w:val="20"/>
          <w:color w:val="auto"/>
        </w:rPr>
      </w:pPr>
    </w:p>
    <w:p>
      <w:pPr>
        <w:ind w:left="200" w:right="60"/>
        <w:spacing w:after="0" w:line="254" w:lineRule="auto"/>
        <w:rPr>
          <w:sz w:val="20"/>
          <w:szCs w:val="20"/>
          <w:color w:val="auto"/>
        </w:rPr>
      </w:pPr>
      <w:r>
        <w:rPr>
          <w:rFonts w:ascii="Arial" w:cs="Arial" w:eastAsia="Arial" w:hAnsi="Arial"/>
          <w:sz w:val="18"/>
          <w:szCs w:val="18"/>
          <w:color w:val="auto"/>
        </w:rPr>
        <w:t>to additional shares of common stock at the public offering price listed on the cover page of this prospectus supplement,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w:t>
      </w:r>
    </w:p>
    <w:p>
      <w:pPr>
        <w:spacing w:after="0" w:line="46" w:lineRule="exact"/>
        <w:rPr>
          <w:sz w:val="20"/>
          <w:szCs w:val="20"/>
          <w:color w:val="auto"/>
        </w:rPr>
      </w:pPr>
    </w:p>
    <w:p>
      <w:pPr>
        <w:ind w:left="200" w:right="260"/>
        <w:spacing w:after="0" w:line="261" w:lineRule="auto"/>
        <w:rPr>
          <w:sz w:val="20"/>
          <w:szCs w:val="20"/>
          <w:color w:val="auto"/>
        </w:rPr>
      </w:pPr>
      <w:r>
        <w:rPr>
          <w:rFonts w:ascii="Arial" w:cs="Arial" w:eastAsia="Arial" w:hAnsi="Arial"/>
          <w:sz w:val="18"/>
          <w:szCs w:val="18"/>
          <w:color w:val="auto"/>
        </w:rPr>
        <w:t>us. These amounts are shown assuming both no exercise and full exercise of the underwriters’ option to purchase up to an additional shares of common stock.</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Arial" w:cs="Arial" w:eastAsia="Arial" w:hAnsi="Arial"/>
                <w:sz w:val="14"/>
                <w:szCs w:val="14"/>
                <w:b w:val="1"/>
                <w:bCs w:val="1"/>
                <w:color w:val="auto"/>
              </w:rPr>
              <w:t>Per</w:t>
            </w:r>
          </w:p>
        </w:tc>
        <w:tc>
          <w:tcPr>
            <w:tcW w:w="4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00" w:type="dxa"/>
            <w:vAlign w:val="bottom"/>
          </w:tcPr>
          <w:p>
            <w:pPr>
              <w:jc w:val="right"/>
              <w:ind w:right="107"/>
              <w:spacing w:after="0" w:line="142" w:lineRule="exact"/>
              <w:rPr>
                <w:sz w:val="20"/>
                <w:szCs w:val="20"/>
                <w:color w:val="auto"/>
              </w:rPr>
            </w:pPr>
            <w:r>
              <w:rPr>
                <w:rFonts w:ascii="Arial" w:cs="Arial" w:eastAsia="Arial" w:hAnsi="Arial"/>
                <w:sz w:val="14"/>
                <w:szCs w:val="14"/>
                <w:b w:val="1"/>
                <w:bCs w:val="1"/>
                <w:color w:val="auto"/>
              </w:rPr>
              <w:t>Share</w:t>
            </w:r>
          </w:p>
        </w:tc>
        <w:tc>
          <w:tcPr>
            <w:tcW w:w="460" w:type="dxa"/>
            <w:vAlign w:val="bottom"/>
          </w:tcPr>
          <w:p>
            <w:pPr>
              <w:spacing w:after="0"/>
              <w:rPr>
                <w:sz w:val="12"/>
                <w:szCs w:val="12"/>
                <w:color w:val="auto"/>
              </w:rPr>
            </w:pPr>
          </w:p>
        </w:tc>
        <w:tc>
          <w:tcPr>
            <w:tcW w:w="740" w:type="dxa"/>
            <w:vAlign w:val="bottom"/>
          </w:tcPr>
          <w:p>
            <w:pPr>
              <w:spacing w:after="0" w:line="142" w:lineRule="exact"/>
              <w:rPr>
                <w:sz w:val="20"/>
                <w:szCs w:val="20"/>
                <w:color w:val="auto"/>
              </w:rPr>
            </w:pPr>
            <w:r>
              <w:rPr>
                <w:rFonts w:ascii="Arial" w:cs="Arial" w:eastAsia="Arial" w:hAnsi="Arial"/>
                <w:sz w:val="14"/>
                <w:szCs w:val="14"/>
                <w:b w:val="1"/>
                <w:bCs w:val="1"/>
                <w:color w:val="auto"/>
                <w:w w:val="89"/>
              </w:rPr>
              <w:t>No Exercise</w:t>
            </w:r>
          </w:p>
        </w:tc>
        <w:tc>
          <w:tcPr>
            <w:tcW w:w="1280" w:type="dxa"/>
            <w:vAlign w:val="bottom"/>
            <w:gridSpan w:val="3"/>
          </w:tcPr>
          <w:p>
            <w:pPr>
              <w:ind w:left="460"/>
              <w:spacing w:after="0" w:line="142" w:lineRule="exact"/>
              <w:rPr>
                <w:sz w:val="20"/>
                <w:szCs w:val="20"/>
                <w:color w:val="auto"/>
              </w:rPr>
            </w:pPr>
            <w:r>
              <w:rPr>
                <w:rFonts w:ascii="Arial" w:cs="Arial" w:eastAsia="Arial" w:hAnsi="Arial"/>
                <w:sz w:val="14"/>
                <w:szCs w:val="14"/>
                <w:b w:val="1"/>
                <w:bCs w:val="1"/>
                <w:color w:val="auto"/>
                <w:w w:val="92"/>
              </w:rPr>
              <w:t>Full Exercise</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7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248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48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418"/>
        </w:trPr>
        <w:tc>
          <w:tcPr>
            <w:tcW w:w="20" w:type="dxa"/>
            <w:vAlign w:val="bottom"/>
          </w:tcPr>
          <w:p>
            <w:pPr>
              <w:spacing w:after="0"/>
              <w:rPr>
                <w:sz w:val="24"/>
                <w:szCs w:val="24"/>
                <w:color w:val="auto"/>
              </w:rPr>
            </w:pPr>
          </w:p>
        </w:tc>
        <w:tc>
          <w:tcPr>
            <w:tcW w:w="11020" w:type="dxa"/>
            <w:vAlign w:val="bottom"/>
            <w:gridSpan w:val="9"/>
          </w:tcPr>
          <w:p>
            <w:pPr>
              <w:ind w:left="420"/>
              <w:spacing w:after="0"/>
              <w:rPr>
                <w:sz w:val="20"/>
                <w:szCs w:val="20"/>
                <w:color w:val="auto"/>
              </w:rPr>
            </w:pPr>
            <w:r>
              <w:rPr>
                <w:rFonts w:ascii="Arial" w:cs="Arial" w:eastAsia="Arial" w:hAnsi="Arial"/>
                <w:sz w:val="18"/>
                <w:szCs w:val="18"/>
                <w:color w:val="auto"/>
                <w:w w:val="91"/>
              </w:rPr>
              <w:t>The estimated offering expenses payable by us, exclusive of the underwriting discounts and commissions, are approximately $500,000. We have</w:t>
            </w:r>
          </w:p>
        </w:tc>
      </w:tr>
      <w:tr>
        <w:trPr>
          <w:trHeight w:val="230"/>
        </w:trPr>
        <w:tc>
          <w:tcPr>
            <w:tcW w:w="10540" w:type="dxa"/>
            <w:vAlign w:val="bottom"/>
            <w:gridSpan w:val="8"/>
          </w:tcPr>
          <w:p>
            <w:pPr>
              <w:spacing w:after="0"/>
              <w:rPr>
                <w:sz w:val="20"/>
                <w:szCs w:val="20"/>
                <w:color w:val="auto"/>
              </w:rPr>
            </w:pPr>
            <w:r>
              <w:rPr>
                <w:rFonts w:ascii="Arial" w:cs="Arial" w:eastAsia="Arial" w:hAnsi="Arial"/>
                <w:sz w:val="18"/>
                <w:szCs w:val="18"/>
                <w:color w:val="auto"/>
                <w:w w:val="93"/>
              </w:rPr>
              <w:t>agreed to reimburse the underwriters for expenses relating to clearance of this offering with the Financial Industry Regulatory Authority up to $</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listed on The Nasdaq Global Select Market under the symbol “AVRO.”</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We and all of our directors and officers and certain holders of our outstanding stock have agreed that, without the prior written consent of Morgan Stanley &amp; Co. LLC and Cowen and Company, LLC, on behalf of the underwriters, we and they will not, during the period ending 90 days after the date of this prospectus supplement (the “restricted period”):</w:t>
      </w:r>
    </w:p>
    <w:p>
      <w:pPr>
        <w:spacing w:after="0" w:line="87" w:lineRule="exact"/>
        <w:rPr>
          <w:sz w:val="20"/>
          <w:szCs w:val="20"/>
          <w:color w:val="auto"/>
        </w:rPr>
      </w:pPr>
    </w:p>
    <w:p>
      <w:pPr>
        <w:ind w:left="1060" w:right="40" w:hanging="424"/>
        <w:spacing w:after="0" w:line="264"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6" w:lineRule="exact"/>
        <w:rPr>
          <w:rFonts w:ascii="Arial" w:cs="Arial" w:eastAsia="Arial" w:hAnsi="Arial"/>
          <w:sz w:val="18"/>
          <w:szCs w:val="18"/>
          <w:color w:val="auto"/>
        </w:rPr>
      </w:pPr>
    </w:p>
    <w:p>
      <w:pPr>
        <w:ind w:left="1060" w:right="400" w:hanging="424"/>
        <w:spacing w:after="0" w:line="264"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 respect to us, file any registration statement with the Securities and Exchange Commission relating to the offering of any shares of common stock or any securities convertible into or exercisable or exchangeable for common stock, other than a registration statement relating to securities under our equity incentive plans; or</w:t>
      </w:r>
    </w:p>
    <w:p>
      <w:pPr>
        <w:spacing w:after="0" w:line="86" w:lineRule="exact"/>
        <w:rPr>
          <w:rFonts w:ascii="Arial" w:cs="Arial" w:eastAsia="Arial" w:hAnsi="Arial"/>
          <w:sz w:val="18"/>
          <w:szCs w:val="18"/>
          <w:color w:val="auto"/>
        </w:rPr>
      </w:pPr>
    </w:p>
    <w:p>
      <w:pPr>
        <w:ind w:left="1060" w:right="260" w:hanging="424"/>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whether any such transaction described above is to be settled by delivery of common stock or such other securities, in cash or otherwise. In addition, we and each such person agrees that, without the prior written consent of Morgan Stanley &amp; Co. LLC and Cowen and Company,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71"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The restrictions described in the immediately preceding paragraph to do not apply to our directors and officers and certain holders of our outstanding stock for the following:</w:t>
      </w:r>
    </w:p>
    <w:p>
      <w:pPr>
        <w:spacing w:after="0" w:line="76" w:lineRule="exact"/>
        <w:rPr>
          <w:sz w:val="20"/>
          <w:szCs w:val="20"/>
          <w:color w:val="auto"/>
        </w:rPr>
      </w:pPr>
    </w:p>
    <w:p>
      <w:pPr>
        <w:ind w:left="1060" w:right="40" w:hanging="424"/>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transactions relating to shares of common stock or other securities acquired in this offering or acquired in open market transactions after this offering</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transfers of shares of common stock or any security convertible or exercisable or exchangeable into common stock as a bona fide gift;</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distributions of shares of common stock or any security convertible into common stock to limited partners or stockholders of the signatory;</w:t>
      </w:r>
    </w:p>
    <w:p>
      <w:pPr>
        <w:spacing w:after="0" w:line="153" w:lineRule="exact"/>
        <w:rPr>
          <w:rFonts w:ascii="Arial" w:cs="Arial" w:eastAsia="Arial" w:hAnsi="Arial"/>
          <w:sz w:val="16"/>
          <w:szCs w:val="16"/>
          <w:color w:val="auto"/>
        </w:rPr>
      </w:pPr>
    </w:p>
    <w:p>
      <w:pPr>
        <w:ind w:left="1060" w:right="260" w:hanging="424"/>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such plan does not provide for the transfer of shares of common stock during the restricted period;</w:t>
      </w:r>
    </w:p>
    <w:p>
      <w:pPr>
        <w:spacing w:after="0" w:line="75" w:lineRule="exact"/>
        <w:rPr>
          <w:rFonts w:ascii="Arial" w:cs="Arial" w:eastAsia="Arial" w:hAnsi="Arial"/>
          <w:sz w:val="18"/>
          <w:szCs w:val="18"/>
          <w:color w:val="auto"/>
        </w:rPr>
      </w:pPr>
    </w:p>
    <w:p>
      <w:pPr>
        <w:ind w:left="1060" w:right="160" w:hanging="424"/>
        <w:spacing w:after="0" w:line="264"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other securities to any member of the immediate family of the signatory or any trust for the direct or indirect benefit of the signatory or the immediate family of the signatory in a transaction not involving a disposition for value;</w:t>
      </w:r>
    </w:p>
    <w:p>
      <w:pPr>
        <w:spacing w:after="0" w:line="86" w:lineRule="exact"/>
        <w:rPr>
          <w:rFonts w:ascii="Arial" w:cs="Arial" w:eastAsia="Arial" w:hAnsi="Arial"/>
          <w:sz w:val="18"/>
          <w:szCs w:val="18"/>
          <w:color w:val="auto"/>
        </w:rPr>
      </w:pPr>
    </w:p>
    <w:p>
      <w:pPr>
        <w:ind w:left="1060" w:right="40" w:hanging="424"/>
        <w:spacing w:after="0" w:line="291" w:lineRule="auto"/>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transfers or dispositions of shares of common stock or any security convertible into or exercisable or exchangeable for common stock or other securities to any corporation, partnership, limited liability company or other entity that is directly or indirectly controlling, controlled by, managing or managed by or under common control with the signatory, or the signatory’s affiliates; including, for the avoidance of doubt, transfers or distributions of shares of common stock or any securities convertible into or exercisable or exchangeable for common stock to a fund managed by the same manager or managing member or general partner or management company or by an entity controlling, controlled by, or under common control with such manager or managing member or general partner or management company as the signatory or who shares a common investment advisor with the signatory in a transaction not involving a disposition for value;</w:t>
      </w:r>
    </w:p>
    <w:p>
      <w:pPr>
        <w:spacing w:after="0" w:line="72" w:lineRule="exact"/>
        <w:rPr>
          <w:rFonts w:ascii="Arial" w:cs="Arial" w:eastAsia="Arial" w:hAnsi="Arial"/>
          <w:sz w:val="16"/>
          <w:szCs w:val="16"/>
          <w:color w:val="auto"/>
        </w:rPr>
      </w:pPr>
    </w:p>
    <w:p>
      <w:pPr>
        <w:ind w:left="1060" w:hanging="424"/>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transfers or dispositions of shares for common stock or other securities (i) by will, other testamentary document or intestate succession to the legal representative, heir, beneficiary or a member of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380"/>
        <w:spacing w:after="0" w:line="277" w:lineRule="auto"/>
        <w:rPr>
          <w:sz w:val="20"/>
          <w:szCs w:val="20"/>
          <w:color w:val="auto"/>
        </w:rPr>
      </w:pPr>
      <w:r>
        <w:rPr>
          <w:rFonts w:ascii="Arial" w:cs="Arial" w:eastAsia="Arial" w:hAnsi="Arial"/>
          <w:sz w:val="18"/>
          <w:szCs w:val="18"/>
          <w:color w:val="auto"/>
        </w:rPr>
        <w:t>immediate family of the signatory upon the death of the signatory, or (ii) by operation of law pursuant to a domestic order or negotiated divorce settlement;</w:t>
      </w:r>
    </w:p>
    <w:p>
      <w:pPr>
        <w:spacing w:after="0" w:line="76" w:lineRule="exact"/>
        <w:rPr>
          <w:sz w:val="20"/>
          <w:szCs w:val="20"/>
          <w:color w:val="auto"/>
        </w:rPr>
      </w:pPr>
    </w:p>
    <w:p>
      <w:pPr>
        <w:ind w:left="1060" w:right="20" w:hanging="424"/>
        <w:spacing w:after="0" w:line="270"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transfers or dispositions of common stock or any security convertible into or exercisable or exchangeable for common stock to us pursuant to any contractual arrangement in effect prior to the date of this prospectus supplement and disclosed to Morgan Stanley &amp; Co. LLC and Cowen and Company, LLC, that provides for the repurchase of common stock or other securities by us or in connection with the termination of employment with or service to us, provided that the repurchase price for any such shares of common stock or other securities shall not exceed the original purchase price (subject to appropriate adjustment in the event of any stock dividend, stock split, combination or other similar recapitalization) paid to us for such shares or securities, and, provided further that any public announcement or public filing under Section 16(a) of the Exchange Act required to be made during the restricted period in connection with such transfer or disposition shall clearly indicate in the footnotes thereto or comments section thereof that such transfer or disposition was made solely to us pursuant to the circumstances described above;</w:t>
      </w:r>
    </w:p>
    <w:p>
      <w:pPr>
        <w:spacing w:after="0" w:line="87" w:lineRule="exact"/>
        <w:rPr>
          <w:rFonts w:ascii="Arial" w:cs="Arial" w:eastAsia="Arial" w:hAnsi="Arial"/>
          <w:sz w:val="17"/>
          <w:szCs w:val="17"/>
          <w:color w:val="auto"/>
        </w:rPr>
      </w:pPr>
    </w:p>
    <w:p>
      <w:pPr>
        <w:ind w:left="1060" w:right="100" w:hanging="424"/>
        <w:spacing w:after="0" w:line="254"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conversion of any convertible preferred stock described in the prospectus supplement and outstanding as of the date hereof, or the exercise of any option or warrant described in the prospectus supplement and outstanding as of the date hereof for shares of common stock, provided that any such shares of common stock received by the signatory shall be subject to the terms of the lock-up agreement; provided, further, that any public filing or public announcement under Section 16(a) of the Exchange Act required during the restricted period in connection with the exercise of such stock option or warrant shall clearly indicate in the footnotes thereto or comments section thereof that the filing relates to the exercise of a stock option or warrant, as the case may be, that no shares of common stock were sold by the reporting person and that the shares of common stock received upon exercise of the stock option or warrant are subject to a lock-up agreement with the underwriters of this offering;</w:t>
      </w:r>
    </w:p>
    <w:p>
      <w:pPr>
        <w:spacing w:after="0" w:line="97" w:lineRule="exact"/>
        <w:rPr>
          <w:rFonts w:ascii="Arial" w:cs="Arial" w:eastAsia="Arial" w:hAnsi="Arial"/>
          <w:sz w:val="18"/>
          <w:szCs w:val="18"/>
          <w:color w:val="auto"/>
        </w:rPr>
      </w:pPr>
    </w:p>
    <w:p>
      <w:pPr>
        <w:jc w:val="both"/>
        <w:ind w:left="1060" w:right="80" w:hanging="424"/>
        <w:spacing w:after="0" w:line="286"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transfers or dispositions of title to (but not beneficial ownership of) shares of common stock or other securities to a nominee or custodian of a person or entity to whom a disposition or transfer would be permissible under any of the foregoing clauses; provided that any such shares of common stock or other securities shall remain subject to the terms of the lock-up agreement; or</w:t>
      </w:r>
    </w:p>
    <w:p>
      <w:pPr>
        <w:spacing w:after="0" w:line="70" w:lineRule="exact"/>
        <w:rPr>
          <w:rFonts w:ascii="Arial" w:cs="Arial" w:eastAsia="Arial" w:hAnsi="Arial"/>
          <w:sz w:val="17"/>
          <w:szCs w:val="17"/>
          <w:color w:val="auto"/>
        </w:rPr>
      </w:pPr>
    </w:p>
    <w:p>
      <w:pPr>
        <w:ind w:left="1060" w:right="140" w:hanging="424"/>
        <w:spacing w:after="0" w:line="25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such other securities pursuant to a bona fide tender offer for shares of our capital stock, merger, consolidation or other similar transaction made to all holders of our securities involving a change of control of us that has been approved by our board of directors, provided that, in the event that the change of control transaction is not consummated, this clause shall not be applicable to the lock-up signatory’s shares and other securities shall remain subject to the restrictions contained in the lock-up agreement;</w:t>
      </w:r>
    </w:p>
    <w:p>
      <w:pPr>
        <w:spacing w:after="0" w:line="188"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provided that, in the case of any transfer or distribution as described in the second, third, fifth, sixth or seventh bullet point above, the transferee or distributee shall agree to be subject to the restrictions described in the immediately preceding paragraph and (ii) in the case of any transfer or distribution described in the first, second, third, fourth, fifth, sixth, seventh or tenth bullet point above, no public announcement or public filing under Section 16(a) of the Exchange Act relating to such transfer or distribution shall be required or shall be voluntarily made during the restricted period.</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the restrictions described in the paragraph above relating to us do not apply to:</w:t>
      </w:r>
    </w:p>
    <w:p>
      <w:pPr>
        <w:spacing w:after="0" w:line="131" w:lineRule="exact"/>
        <w:rPr>
          <w:sz w:val="20"/>
          <w:szCs w:val="20"/>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shares to be sold in this offering;</w:t>
      </w:r>
    </w:p>
    <w:p>
      <w:pPr>
        <w:spacing w:after="0" w:line="130"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issuance of shares of common stock upon the exercise of an option or warrant or the conversion of a security outstanding on the date of this prospectus supplement pursuant to stock plans disclosed in this prospectus supplement;</w:t>
      </w:r>
    </w:p>
    <w:p>
      <w:pPr>
        <w:spacing w:after="0" w:line="75" w:lineRule="exact"/>
        <w:rPr>
          <w:rFonts w:ascii="Arial" w:cs="Arial" w:eastAsia="Arial" w:hAnsi="Arial"/>
          <w:sz w:val="18"/>
          <w:szCs w:val="18"/>
          <w:color w:val="auto"/>
        </w:rPr>
      </w:pPr>
    </w:p>
    <w:p>
      <w:pPr>
        <w:ind w:left="1060" w:right="260" w:hanging="424"/>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such plan does not provide for the transfer of shares of common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40"/>
        <w:spacing w:after="0" w:line="286" w:lineRule="auto"/>
        <w:rPr>
          <w:sz w:val="20"/>
          <w:szCs w:val="20"/>
          <w:color w:val="auto"/>
        </w:rPr>
      </w:pPr>
      <w:r>
        <w:rPr>
          <w:rFonts w:ascii="Arial" w:cs="Arial" w:eastAsia="Arial" w:hAnsi="Arial"/>
          <w:sz w:val="17"/>
          <w:szCs w:val="17"/>
          <w:color w:val="auto"/>
        </w:rPr>
        <w:t>stock during the restricted period and to the extent a public announcement or filing under the Exchange Act is required of or voluntarily made by the Company regarding the establishment of such plan, such announcement or filing shall include a statement to the effect that no transfer of shares of common stock may be made under such plan during the restricted period; or</w:t>
      </w:r>
    </w:p>
    <w:p>
      <w:pPr>
        <w:spacing w:after="0" w:line="71" w:lineRule="exact"/>
        <w:rPr>
          <w:sz w:val="20"/>
          <w:szCs w:val="20"/>
          <w:color w:val="auto"/>
        </w:rPr>
      </w:pPr>
    </w:p>
    <w:p>
      <w:pPr>
        <w:ind w:left="1060" w:right="100" w:hanging="424"/>
        <w:spacing w:after="0" w:line="273"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sale or issuance of or entry into an agreement to sell or issue shares of common stock or securities convertible into or exercisable for common stock in connection with any (i) merger, (ii) acquisition of securities, businesses, property or any other assets, (iii) joint ventures, (iv) strategic alliances, (v) equipment leasing arrangements or (vi) debt financing, provided that the aggregate number of shares of common stock or securities convertible into or exercisable for common stock (on an as converted or as exercised basis, as the case may be) that the Company may sell or issue or agree to sell or issue pursuant to this bullet shall not exceed 5% of the total number of shares of the Company’s common stock issued and outstanding immediately following the completion of this offering;</w:t>
      </w:r>
    </w:p>
    <w:p>
      <w:pPr>
        <w:spacing w:after="0" w:line="178"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provided that, in the case of any transfer or distribution as described in the fourth bullet point above, we shall agree to be subject to the restrictions described in the paragraph preceding the immediately preceding paragraph.</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Morgan Stanley &amp; Co. LLC and Cowen and Company, LLC, in their sole discretion, may release the common stock and other securities subject to the lock-up agreements described above in whole or in part at any time.</w:t>
      </w:r>
    </w:p>
    <w:p>
      <w:pPr>
        <w:spacing w:after="0" w:line="170"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their option to purchase additional shares. The underwriters can close out a covered short sale by exercising their option to purchase additional shares or purchasing shares in the open market. In determining the source of shares to close out a covered short sale, the underwriters will consider, among other things, the open market price of shares compared to the price available under their option to purchase additional shares. The underwriters may also sell shares in excess of their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prospectus supplement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3" w:lineRule="exact"/>
        <w:rPr>
          <w:sz w:val="20"/>
          <w:szCs w:val="20"/>
          <w:color w:val="auto"/>
        </w:rPr>
      </w:pPr>
    </w:p>
    <w:p>
      <w:pPr>
        <w:jc w:val="center"/>
        <w:ind w:right="934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jc w:val="both"/>
        <w:ind w:left="200" w:right="60" w:firstLine="441"/>
        <w:spacing w:after="0" w:line="302" w:lineRule="auto"/>
        <w:rPr>
          <w:sz w:val="20"/>
          <w:szCs w:val="20"/>
          <w:color w:val="auto"/>
        </w:rPr>
      </w:pPr>
      <w:r>
        <w:rPr>
          <w:rFonts w:ascii="Arial" w:cs="Arial" w:eastAsia="Arial" w:hAnsi="Arial"/>
          <w:sz w:val="16"/>
          <w:szCs w:val="16"/>
          <w:color w:val="auto"/>
        </w:rPr>
        <w:t xml:space="preserve">Shares of our common stock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shares of our common stock must be made in accordance with an exemption from, or in a transaction not subject to, the prospectus requirements of applicable securities laws.</w:t>
      </w:r>
    </w:p>
    <w:p>
      <w:pPr>
        <w:spacing w:after="0" w:line="154"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92" w:lineRule="exact"/>
        <w:rPr>
          <w:sz w:val="20"/>
          <w:szCs w:val="20"/>
          <w:color w:val="auto"/>
        </w:rPr>
      </w:pPr>
    </w:p>
    <w:p>
      <w:pPr>
        <w:ind w:left="1060" w:hanging="299"/>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060" w:hanging="310"/>
        <w:spacing w:after="0" w:line="264"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6" w:lineRule="exact"/>
        <w:rPr>
          <w:rFonts w:ascii="Arial" w:cs="Arial" w:eastAsia="Arial" w:hAnsi="Arial"/>
          <w:sz w:val="18"/>
          <w:szCs w:val="18"/>
          <w:color w:val="auto"/>
        </w:rPr>
      </w:pPr>
    </w:p>
    <w:p>
      <w:pPr>
        <w:ind w:left="1060" w:right="20" w:hanging="299"/>
        <w:spacing w:after="0" w:line="342" w:lineRule="auto"/>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24"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our common stock in any Relevant Member State means the communication in any form and by any means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shares of common stock have not been offered or sold and will not be offered or sold in Hong Kong, by means of any document, other than</w:t>
      </w:r>
    </w:p>
    <w:p>
      <w:pPr>
        <w:spacing w:after="0" w:line="46" w:lineRule="exact"/>
        <w:rPr>
          <w:sz w:val="20"/>
          <w:szCs w:val="20"/>
          <w:color w:val="auto"/>
        </w:rPr>
      </w:pPr>
    </w:p>
    <w:p>
      <w:pPr>
        <w:ind w:left="440" w:hanging="236"/>
        <w:spacing w:after="0"/>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“professional investors” as defined in the Securities and Futures Ordinance (Cap. 571) of Hong Kong and any rules made under that Ordinance; or</w:t>
      </w:r>
    </w:p>
    <w:p>
      <w:pPr>
        <w:spacing w:after="0" w:line="32" w:lineRule="exact"/>
        <w:rPr>
          <w:rFonts w:ascii="Arial" w:cs="Arial" w:eastAsia="Arial" w:hAnsi="Arial"/>
          <w:sz w:val="16"/>
          <w:szCs w:val="16"/>
          <w:color w:val="auto"/>
        </w:rPr>
      </w:pPr>
    </w:p>
    <w:p>
      <w:pPr>
        <w:ind w:left="200" w:right="40" w:firstLine="4"/>
        <w:spacing w:after="0" w:line="252" w:lineRule="auto"/>
        <w:tabs>
          <w:tab w:leader="none" w:pos="4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60" w:right="80" w:hanging="299"/>
        <w:spacing w:after="0" w:line="259"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1060" w:right="160" w:hanging="310"/>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80"/>
          </w:cols>
          <w:pgMar w:left="24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29"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The following discussion is a summary of certain material U.S. federal income tax considerations for non-U.S. holders (as defined below) with respect to their ownership and disposition of shares of our common stock issued pursuant to this offering. For purposes of this discussion, a non-U.S. holder means a beneficial owner of our common stock that is for U.S. federal income tax purposes:</w:t>
      </w:r>
    </w:p>
    <w:p>
      <w:pPr>
        <w:spacing w:after="0" w:line="87" w:lineRule="exact"/>
        <w:rPr>
          <w:sz w:val="20"/>
          <w:szCs w:val="20"/>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foreign corporation or any other foreign organization taxable as a corporation for U.S. federal income tax purposes;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foreign estate or trust, the income of which is not subject to U.S. federal income tax on a net income basis.</w:t>
      </w:r>
    </w:p>
    <w:p>
      <w:pPr>
        <w:spacing w:after="0" w:line="225"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This discussion does not address the tax treatment of partnerships or other entities that are pass-through entities for U.S. federal income tax purposes or persons that hold their common stock through partnerships or other pass-through entities. A partner in a partnership or other pass-through entity that will hold our common stock should consult his, her or its tax advisor regarding the tax consequences of acquiring, holding and disposing of our common stock through a partnership or other pass-through entity, as applicable.</w:t>
      </w:r>
    </w:p>
    <w:p>
      <w:pPr>
        <w:spacing w:after="0" w:line="17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consequences to non-U.S. holders described in this prospectus. There can be no assurance that the Internal Revenue Service, which we refer to as the IRS, will not challenge one or more of the tax consequences described herein. We assume in this discussion that a non-U.S. holder holds shares of our common stock as a capital asset within the meaning of Section 1221 of the Code, generally property held for investment.</w:t>
      </w:r>
    </w:p>
    <w:p>
      <w:pPr>
        <w:spacing w:after="0" w:line="189" w:lineRule="exact"/>
        <w:rPr>
          <w:sz w:val="20"/>
          <w:szCs w:val="20"/>
          <w:color w:val="auto"/>
        </w:rPr>
      </w:pPr>
    </w:p>
    <w:p>
      <w:pPr>
        <w:ind w:left="200" w:right="240" w:firstLine="441"/>
        <w:spacing w:after="0" w:line="276" w:lineRule="auto"/>
        <w:rPr>
          <w:sz w:val="20"/>
          <w:szCs w:val="20"/>
          <w:color w:val="auto"/>
        </w:rPr>
      </w:pPr>
      <w:r>
        <w:rPr>
          <w:rFonts w:ascii="Arial" w:cs="Arial" w:eastAsia="Arial" w:hAnsi="Arial"/>
          <w:sz w:val="17"/>
          <w:szCs w:val="17"/>
          <w:color w:val="auto"/>
        </w:rPr>
        <w:t>This discussion does not address all aspects of U.S. federal income taxation that may be relevant to a particular non-U.S. holder in light of that non-U.S. holder’s individual circumstances nor does it address U.S. state, local or non-U.S. taxes, the alternative minimum tax, the rules regarding qualified small business stock within the meaning of Section 1202 of the Code, the Medicare tax on net investment income or any other aspect of any U.S. federal tax other than the income tax. This discussion also does not consider any specific facts or circumstances that may apply to a non-U.S. holder and does not address the special tax rules applicable to particular non-U.S. holders, such as:</w:t>
      </w:r>
    </w:p>
    <w:p>
      <w:pPr>
        <w:spacing w:after="0" w:line="78" w:lineRule="exact"/>
        <w:rPr>
          <w:sz w:val="20"/>
          <w:szCs w:val="20"/>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897(I)(2) of the Code and entities all of the interests of which are held by qualified foreign pension funds;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persons that have a functional currency other than the U.S. dollar;</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persons that hold our common stock as part of a straddle, hedge, conversion transaction, synthetic security or other integrated investment;</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persons who hold or receive our common stock pursuant to the exercise of any employee stock option or otherwise as compensation; and</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225"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This discussion is for general information only and is not tax advice. Accordingly, all prospective non-U.S. holders of our common stock should consult their tax advisors with respect to the U.S. federal, state, local and non-U.S. tax consequences of the ownership and disposition of our common stock.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described in the “</w:t>
      </w:r>
      <w:r>
        <w:rPr>
          <w:rFonts w:ascii="Arial" w:cs="Arial" w:eastAsia="Arial" w:hAnsi="Arial"/>
          <w:sz w:val="18"/>
          <w:szCs w:val="18"/>
          <w:u w:val="single" w:color="auto"/>
          <w:color w:val="auto"/>
        </w:rPr>
        <w:t>Risk Factors</w:t>
      </w:r>
      <w:r>
        <w:rPr>
          <w:rFonts w:ascii="Arial" w:cs="Arial" w:eastAsia="Arial" w:hAnsi="Arial"/>
          <w:sz w:val="18"/>
          <w:szCs w:val="18"/>
          <w:color w:val="auto"/>
        </w:rPr>
        <w:t>” section above, we do not anticipate paying any cash dividends on our capital stock in the foreseeable future. Distributions, if any, on our common stock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remaining excess will be treated as capital gain, subject to the tax treatment described below in “Gain on Sale or Other Taxable Disposition of Our Common Stock.” Any such distributions will also be subject to the discussions below under the sections titled “Backup Withholding and Information Reporting” and “FATCA.”</w:t>
      </w:r>
    </w:p>
    <w:p>
      <w:pPr>
        <w:spacing w:after="0" w:line="189"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Subject to the discussion in the following two paragraphs in this section, 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8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graduated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178"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to the applicable withholding agent and satisfy applicable certification and other requirements.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 U.S. tax return with the IRS.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Gain on Sale or Other Taxable Disposition of Our Common Stock</w:t>
      </w:r>
    </w:p>
    <w:p>
      <w:pPr>
        <w:spacing w:after="0" w:line="12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Subject to the discussions below under “Backup Withholding and Information Reporting” and “FATCA,” a non-U.S. holder generally will not be subject to any U.S. federal income or withholding tax on any gain realized upon such holder’s sale or other taxable disposition of shares of our common stock unless:</w:t>
      </w:r>
    </w:p>
    <w:p>
      <w:pPr>
        <w:spacing w:after="0" w:line="87" w:lineRule="exact"/>
        <w:rPr>
          <w:sz w:val="20"/>
          <w:szCs w:val="20"/>
          <w:color w:val="auto"/>
        </w:rPr>
      </w:pPr>
    </w:p>
    <w:p>
      <w:pPr>
        <w:ind w:left="1060" w:right="320" w:hanging="424"/>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U.S. trade or business and, if an applicable income tax treaty so provides, is attributable to a permanent establishment or a fixed base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60"/>
        <w:spacing w:after="0" w:line="286" w:lineRule="auto"/>
        <w:rPr>
          <w:sz w:val="20"/>
          <w:szCs w:val="20"/>
          <w:color w:val="auto"/>
        </w:rPr>
      </w:pPr>
      <w:r>
        <w:rPr>
          <w:rFonts w:ascii="Arial" w:cs="Arial" w:eastAsia="Arial" w:hAnsi="Arial"/>
          <w:sz w:val="17"/>
          <w:szCs w:val="17"/>
          <w:color w:val="auto"/>
        </w:rPr>
        <w:t>maintained by such non-U.S. holder in the United States, in which case the non-U.S. holder generally will be taxed on a net income basis at the graduated U.S. federal income tax rates applicable to United States persons (as defined in the Code) and, if the non-U.S. holder is a foreign corporation, the branch profits tax described above in “Distributions on Our Common Stock” also may apply;</w:t>
      </w:r>
    </w:p>
    <w:p>
      <w:pPr>
        <w:spacing w:after="0" w:line="71" w:lineRule="exact"/>
        <w:rPr>
          <w:sz w:val="20"/>
          <w:szCs w:val="20"/>
          <w:color w:val="auto"/>
        </w:rPr>
      </w:pPr>
    </w:p>
    <w:p>
      <w:pPr>
        <w:ind w:left="1060" w:right="140" w:hanging="424"/>
        <w:spacing w:after="0" w:line="255"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spacing w:after="0" w:line="98" w:lineRule="exact"/>
        <w:rPr>
          <w:rFonts w:ascii="Arial" w:cs="Arial" w:eastAsia="Arial" w:hAnsi="Arial"/>
          <w:sz w:val="18"/>
          <w:szCs w:val="18"/>
          <w:color w:val="auto"/>
        </w:rPr>
      </w:pPr>
    </w:p>
    <w:p>
      <w:pPr>
        <w:ind w:left="1060" w:hanging="424"/>
        <w:spacing w:after="0" w:line="270"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are, or have been, at any time during the five-year period preceding such sale or other taxable disposition (or the non-U.S. holder’s holding period, if shorter) a U.S. real property holding corporation, unless our common stock is regularly traded on an established securities market and the non-U.S. holder holds no more than 5% of our outstanding common stock, directly or indirectly, actually or constructively, during the shorter of the 5-year period ending on the date of the disposition or the period that the non-U.S. holder held our common stock.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We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on our common stock. Dividends paid to non-U.S. holders subject to withholding of U.S. federal income tax, as described above in “Distributions on Our Common Stock,” generally will be exempt from U.S. backup withholding.</w:t>
      </w:r>
    </w:p>
    <w:p>
      <w:pPr>
        <w:spacing w:after="0" w:line="173"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w:t>
      </w:r>
    </w:p>
    <w:p>
      <w:pPr>
        <w:spacing w:after="0" w:line="178" w:lineRule="exact"/>
        <w:rPr>
          <w:sz w:val="20"/>
          <w:szCs w:val="20"/>
          <w:color w:val="auto"/>
        </w:rPr>
      </w:pPr>
    </w:p>
    <w:p>
      <w:pPr>
        <w:jc w:val="both"/>
        <w:ind w:left="200" w:right="40" w:firstLine="441"/>
        <w:spacing w:after="0" w:line="257" w:lineRule="auto"/>
        <w:rPr>
          <w:sz w:val="20"/>
          <w:szCs w:val="20"/>
          <w:color w:val="auto"/>
        </w:rPr>
      </w:pPr>
      <w:r>
        <w:rPr>
          <w:rFonts w:ascii="Arial" w:cs="Arial" w:eastAsia="Arial" w:hAnsi="Arial"/>
          <w:sz w:val="18"/>
          <w:szCs w:val="18"/>
          <w:color w:val="auto"/>
        </w:rPr>
        <w:t>Non-U.S. holders should consult their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Provisions of the Code commonly referred to as the Foreign Account Tax Compliance Act, or FATCA, generally impose a U.S. federal withholding tax at a rate of 30% on payments of dividends on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Such withholding may also apply to gross proceeds from the sale or other disposition of our common stock, although under recently proposed U.S. Treasury Regulations, no withholding would apply to such gross proceeds. The preamble to the proposed regulations specifies that taxpayers (including withholding agents) are permitted to rely on the proposed regulations pending finalization.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69" w:lineRule="exact"/>
        <w:rPr>
          <w:sz w:val="20"/>
          <w:szCs w:val="20"/>
          <w:color w:val="auto"/>
        </w:rPr>
      </w:pPr>
    </w:p>
    <w:p>
      <w:pPr>
        <w:jc w:val="both"/>
        <w:ind w:left="200" w:right="140" w:firstLine="441"/>
        <w:spacing w:after="0" w:line="314" w:lineRule="auto"/>
        <w:rPr>
          <w:sz w:val="20"/>
          <w:szCs w:val="20"/>
          <w:color w:val="auto"/>
        </w:rPr>
      </w:pPr>
      <w:r>
        <w:rPr>
          <w:rFonts w:ascii="Arial" w:cs="Arial" w:eastAsia="Arial" w:hAnsi="Arial"/>
          <w:sz w:val="16"/>
          <w:szCs w:val="16"/>
          <w:b w:val="1"/>
          <w:bCs w:val="1"/>
          <w:color w:val="auto"/>
        </w:rPr>
        <w:t>The preceding discussion of U.S. federal income tax considerations is for general information only. It is not tax advice.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The validity of the common stock being offered hereby will be passed upon by Goodwin Procter LLP, Boston, Massachusetts. Ropes &amp; Gray LLP, Boston, Massachusetts, is acting as counsel for the underwriters in connection with certain legal matters related to this offering.</w:t>
      </w:r>
    </w:p>
    <w:p>
      <w:pPr>
        <w:spacing w:after="0" w:line="35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240" w:firstLine="441"/>
        <w:spacing w:after="0" w:line="297" w:lineRule="auto"/>
        <w:rPr>
          <w:sz w:val="20"/>
          <w:szCs w:val="20"/>
          <w:color w:val="auto"/>
        </w:rPr>
      </w:pPr>
      <w:r>
        <w:rPr>
          <w:rFonts w:ascii="Arial" w:cs="Arial" w:eastAsia="Arial" w:hAnsi="Arial"/>
          <w:sz w:val="16"/>
          <w:szCs w:val="16"/>
          <w:color w:val="auto"/>
        </w:rPr>
        <w:t>The consolidated financial statements of AVROBIO, Inc. appearing in AVROBIO, Inc.’s Annual Report (Form 10-K) for the year ended December 31, 2018,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(to the extent covered by consents filed with the Securities and Exchange Commission) given on the authority of such firm as experts in accounting and auditing.</w:t>
      </w:r>
    </w:p>
    <w:p>
      <w:pPr>
        <w:spacing w:after="0" w:line="37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We are subject to the reporting and information requirements of the Exchange Act and, in accordance therewith, file annual, quarterly and special reports, proxy statements and other information with the SEC. These documents also may be accessed through the SEC’s electronic data gathering, analysis and retrieval system, or EDGAR, via electronic means, including the SEC’s home page on the Internet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66"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in the accompanying prospectus. We will furnish a full statement of the relative rights and preferences of each class or series of our stock which has been so designated and any restrictions on the ownership or transfer of our stock to any shareholder upon request and without charge. Written requests for such copies should be directed to Investor Relations, AVROBIO, Inc., One Kendall Square, Building 300, Suite 201, Cambridge, Massachusetts 02139. Our website is located at </w:t>
      </w:r>
      <w:r>
        <w:rPr>
          <w:rFonts w:ascii="Arial" w:cs="Arial" w:eastAsia="Arial" w:hAnsi="Arial"/>
          <w:sz w:val="17"/>
          <w:szCs w:val="17"/>
          <w:i w:val="1"/>
          <w:iCs w:val="1"/>
          <w:color w:val="auto"/>
        </w:rPr>
        <w:t>www.avrobio.com.</w:t>
      </w:r>
      <w:r>
        <w:rPr>
          <w:rFonts w:ascii="Arial" w:cs="Arial" w:eastAsia="Arial" w:hAnsi="Arial"/>
          <w:sz w:val="17"/>
          <w:szCs w:val="17"/>
          <w:color w:val="auto"/>
        </w:rPr>
        <w:t xml:space="preserve"> Information contained on our website is not incorporated by reference into this prospectus and, therefore, is not part of this prospectus supplement or the accompanying prospectus.</w:t>
      </w: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supplement and the accompanying prospectus, and information that we file later with the SEC will automatically update and supersede this information. We filed a registration statement on Form S-3 under the Securities Act of 1933, as amended, with the SEC with respect to the securities being offered pursuant to this prospectus supplement and the accompanying prospectus. This prospectus supplement and the accompanying prospectus omit certain information contained in the registration statement, as permitted by the SEC. You should refer to the registration statement, including the exhibits, for further information about us and the securities being offered pursuant to this prospectus supplement and the accompanying prospectus. Statements in this prospectus supplement and the accompanying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80"/>
          </w:cols>
          <w:pgMar w:left="24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reference or the exhibits, may be obtained upon payment of the prescribed rates at the offices of the SEC listed above in “Where You Can Find More Information.” The documents we are incorporating by reference are:</w:t>
      </w:r>
    </w:p>
    <w:p>
      <w:pPr>
        <w:spacing w:after="0" w:line="76" w:lineRule="exact"/>
        <w:rPr>
          <w:sz w:val="20"/>
          <w:szCs w:val="20"/>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6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 filed with the SEC on March 25, 2019;</w:t>
      </w:r>
    </w:p>
    <w:p>
      <w:pPr>
        <w:spacing w:after="0" w:line="130" w:lineRule="exact"/>
        <w:rPr>
          <w:rFonts w:ascii="Arial" w:cs="Arial" w:eastAsia="Arial" w:hAnsi="Arial"/>
          <w:sz w:val="18"/>
          <w:szCs w:val="18"/>
          <w:color w:val="auto"/>
        </w:rPr>
      </w:pPr>
    </w:p>
    <w:p>
      <w:pPr>
        <w:ind w:left="1060" w:right="100" w:hanging="424"/>
        <w:spacing w:after="0" w:line="264"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2018 from our </w:t>
      </w:r>
      <w:hyperlink r:id="rId68">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on Schedule 14A (other than information furnished rather than filed), which was filed with the SEC on April 26, 2019;</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69">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2019, filed with the SEC on May 13, 2019;</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our Current Report on Form 8-K filed with the SEC on </w:t>
      </w:r>
      <w:hyperlink r:id="rId70">
        <w:r>
          <w:rPr>
            <w:rFonts w:ascii="Arial" w:cs="Arial" w:eastAsia="Arial" w:hAnsi="Arial"/>
            <w:sz w:val="18"/>
            <w:szCs w:val="18"/>
            <w:u w:val="single" w:color="auto"/>
            <w:color w:val="0000EE"/>
          </w:rPr>
          <w:t>January 7, 2019</w:t>
        </w:r>
      </w:hyperlink>
      <w:r>
        <w:rPr>
          <w:rFonts w:ascii="Arial" w:cs="Arial" w:eastAsia="Arial" w:hAnsi="Arial"/>
          <w:sz w:val="18"/>
          <w:szCs w:val="18"/>
          <w:color w:val="auto"/>
        </w:rPr>
        <w:t>, our Current Report on Form 8-K/A filed with the SEC on</w:t>
      </w:r>
    </w:p>
    <w:p>
      <w:pPr>
        <w:spacing w:after="0" w:line="23" w:lineRule="exact"/>
        <w:rPr>
          <w:rFonts w:ascii="Arial" w:cs="Arial" w:eastAsia="Arial" w:hAnsi="Arial"/>
          <w:sz w:val="18"/>
          <w:szCs w:val="18"/>
          <w:color w:val="auto"/>
        </w:rPr>
      </w:pPr>
    </w:p>
    <w:p>
      <w:pPr>
        <w:ind w:left="1060" w:right="20"/>
        <w:spacing w:after="0" w:line="290" w:lineRule="auto"/>
        <w:rPr>
          <w:rFonts w:ascii="Arial" w:cs="Arial" w:eastAsia="Arial" w:hAnsi="Arial"/>
          <w:sz w:val="17"/>
          <w:szCs w:val="17"/>
          <w:color w:val="0000EE"/>
        </w:rPr>
      </w:pPr>
      <w:hyperlink r:id="rId71">
        <w:r>
          <w:rPr>
            <w:rFonts w:ascii="Arial" w:cs="Arial" w:eastAsia="Arial" w:hAnsi="Arial"/>
            <w:sz w:val="17"/>
            <w:szCs w:val="17"/>
            <w:u w:val="single" w:color="auto"/>
            <w:color w:val="0000EE"/>
          </w:rPr>
          <w:t>January 11, 2019</w:t>
        </w:r>
        <w:r>
          <w:rPr>
            <w:rFonts w:ascii="Arial" w:cs="Arial" w:eastAsia="Arial" w:hAnsi="Arial"/>
            <w:sz w:val="17"/>
            <w:szCs w:val="17"/>
            <w:color w:val="0000EE"/>
          </w:rPr>
          <w:t xml:space="preserve"> </w:t>
        </w:r>
        <w:r>
          <w:rPr>
            <w:rFonts w:ascii="Arial" w:cs="Arial" w:eastAsia="Arial" w:hAnsi="Arial"/>
            <w:sz w:val="17"/>
            <w:szCs w:val="17"/>
            <w:color w:val="000000"/>
          </w:rPr>
          <w:t>and our Current Reports on Form 8-K filed with the SEC on</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January 22,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February 6,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April 29,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June 12,</w:t>
        </w:r>
      </w:hyperlink>
      <w:r>
        <w:rPr>
          <w:rFonts w:ascii="Arial" w:cs="Arial" w:eastAsia="Arial" w:hAnsi="Arial"/>
          <w:sz w:val="17"/>
          <w:szCs w:val="17"/>
          <w:color w:val="0000EE"/>
        </w:rPr>
        <w:t xml:space="preserve"> </w:t>
      </w:r>
      <w:hyperlink r:id="rId71">
        <w:r>
          <w:rPr>
            <w:rFonts w:ascii="Arial" w:cs="Arial" w:eastAsia="Arial" w:hAnsi="Arial"/>
            <w:sz w:val="17"/>
            <w:szCs w:val="17"/>
            <w:u w:val="single" w:color="auto"/>
            <w:color w:val="0000EE"/>
          </w:rPr>
          <w:t>2019</w:t>
        </w:r>
        <w:r>
          <w:rPr>
            <w:rFonts w:ascii="Arial" w:cs="Arial" w:eastAsia="Arial" w:hAnsi="Arial"/>
            <w:sz w:val="17"/>
            <w:szCs w:val="17"/>
            <w:color w:val="0000EE"/>
          </w:rPr>
          <w:t xml:space="preserve"> </w:t>
        </w:r>
        <w:r>
          <w:rPr>
            <w:rFonts w:ascii="Arial" w:cs="Arial" w:eastAsia="Arial" w:hAnsi="Arial"/>
            <w:sz w:val="17"/>
            <w:szCs w:val="17"/>
            <w:color w:val="000000"/>
          </w:rPr>
          <w:t>and</w:t>
        </w:r>
        <w:r>
          <w:rPr>
            <w:rFonts w:ascii="Arial" w:cs="Arial" w:eastAsia="Arial" w:hAnsi="Arial"/>
            <w:sz w:val="17"/>
            <w:szCs w:val="17"/>
            <w:color w:val="0000EE"/>
          </w:rPr>
          <w:t xml:space="preserve"> </w:t>
        </w:r>
      </w:hyperlink>
      <w:hyperlink r:id="rId72">
        <w:r>
          <w:rPr>
            <w:rFonts w:ascii="Arial" w:cs="Arial" w:eastAsia="Arial" w:hAnsi="Arial"/>
            <w:sz w:val="17"/>
            <w:szCs w:val="17"/>
            <w:u w:val="single" w:color="auto"/>
            <w:color w:val="0000EE"/>
          </w:rPr>
          <w:t xml:space="preserve">July 15, 2019 </w:t>
        </w:r>
      </w:hyperlink>
      <w:hyperlink r:id="rId71">
        <w:r>
          <w:rPr>
            <w:rFonts w:ascii="Arial" w:cs="Arial" w:eastAsia="Arial" w:hAnsi="Arial"/>
            <w:sz w:val="17"/>
            <w:szCs w:val="17"/>
            <w:color w:val="000000"/>
          </w:rPr>
          <w:t>(in each case, except for information contained therein which is furnished rather than filed); and</w:t>
        </w:r>
      </w:hyperlink>
    </w:p>
    <w:p>
      <w:pPr>
        <w:spacing w:after="0" w:line="67" w:lineRule="exact"/>
        <w:rPr>
          <w:rFonts w:ascii="Arial" w:cs="Arial" w:eastAsia="Arial" w:hAnsi="Arial"/>
          <w:sz w:val="17"/>
          <w:szCs w:val="17"/>
          <w:color w:val="0000EE"/>
        </w:rPr>
      </w:pPr>
    </w:p>
    <w:p>
      <w:pPr>
        <w:ind w:left="1060" w:right="28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73">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June 18, 2018, including any amendments or reports filed for the purposes of updating this description.</w:t>
      </w:r>
    </w:p>
    <w:p>
      <w:pPr>
        <w:spacing w:after="0" w:line="170" w:lineRule="exact"/>
        <w:rPr>
          <w:rFonts w:ascii="Arial" w:cs="Arial" w:eastAsia="Arial" w:hAnsi="Arial"/>
          <w:sz w:val="17"/>
          <w:szCs w:val="17"/>
          <w:color w:val="0000EE"/>
        </w:rPr>
      </w:pPr>
    </w:p>
    <w:p>
      <w:pPr>
        <w:ind w:left="200" w:right="60" w:firstLine="441"/>
        <w:spacing w:after="0" w:line="279" w:lineRule="auto"/>
        <w:rPr>
          <w:sz w:val="20"/>
          <w:szCs w:val="20"/>
          <w:color w:val="auto"/>
        </w:rPr>
      </w:pPr>
      <w:r>
        <w:rPr>
          <w:rFonts w:ascii="Arial" w:cs="Arial" w:eastAsia="Arial" w:hAnsi="Arial"/>
          <w:sz w:val="17"/>
          <w:szCs w:val="17"/>
          <w:color w:val="auto"/>
        </w:rPr>
        <w:t>In addition, all documents (other than current reports furnished under Item 2.02 or Item 7.01 of Form 8-K and exhibits filed in such forms that are related to such items unless such Form 8-K expressly provides to the contrary) subsequently filed by us pursuant to Section 13(a), 13(c), 14 or 15(d) of the Securities Exchange Act of 1934, as amended, before the date our offering is terminated or completed are deemed to be incorporated by reference into, and to be a part of, this prospectus supplement and the accompanying prospectus.</w:t>
      </w:r>
    </w:p>
    <w:p>
      <w:pPr>
        <w:spacing w:after="0" w:line="171" w:lineRule="exact"/>
        <w:rPr>
          <w:rFonts w:ascii="Arial" w:cs="Arial" w:eastAsia="Arial" w:hAnsi="Arial"/>
          <w:sz w:val="17"/>
          <w:szCs w:val="17"/>
          <w:color w:val="0000EE"/>
        </w:rPr>
      </w:pPr>
    </w:p>
    <w:p>
      <w:pPr>
        <w:ind w:left="200" w:right="40" w:firstLine="441"/>
        <w:spacing w:after="0" w:line="273" w:lineRule="auto"/>
        <w:rPr>
          <w:sz w:val="20"/>
          <w:szCs w:val="20"/>
          <w:color w:val="auto"/>
        </w:rPr>
      </w:pPr>
      <w:r>
        <w:rPr>
          <w:rFonts w:ascii="Arial" w:cs="Arial" w:eastAsia="Arial" w:hAnsi="Arial"/>
          <w:sz w:val="17"/>
          <w:szCs w:val="17"/>
          <w:color w:val="auto"/>
        </w:rPr>
        <w:t>Any statement contained in this prospectus supplement and the accompanying prospectus or in a document incorporated or deemed to be incorporated by reference into this prospectus supplement and the accompanying prospectus will be deemed to be modified or superseded for purposes of this prospectus supplement and the accompanying prospectus to the extent that a statement contained in this prospectus supplement and the accompanying prospectus or any other subsequently filed document that is deemed to be incorporated by reference into this prospectus supplement and the accompanying prospectus modifies or supersedes the statement. Any statement so modified or superseded will not be deemed, except as so modified or superseded, to constitute a part of this prospectus supplement and the accompanying prospectus.</w:t>
      </w:r>
    </w:p>
    <w:p>
      <w:pPr>
        <w:spacing w:after="0" w:line="178" w:lineRule="exact"/>
        <w:rPr>
          <w:rFonts w:ascii="Arial" w:cs="Arial" w:eastAsia="Arial" w:hAnsi="Arial"/>
          <w:sz w:val="17"/>
          <w:szCs w:val="17"/>
          <w:color w:val="0000EE"/>
        </w:rPr>
      </w:pPr>
    </w:p>
    <w:p>
      <w:pPr>
        <w:ind w:left="200" w:right="220" w:firstLine="441"/>
        <w:spacing w:after="0" w:line="264" w:lineRule="auto"/>
        <w:rPr>
          <w:sz w:val="20"/>
          <w:szCs w:val="20"/>
          <w:color w:val="auto"/>
        </w:rPr>
      </w:pPr>
      <w:r>
        <w:rPr>
          <w:rFonts w:ascii="Arial" w:cs="Arial" w:eastAsia="Arial" w:hAnsi="Arial"/>
          <w:sz w:val="18"/>
          <w:szCs w:val="18"/>
          <w:color w:val="auto"/>
        </w:rPr>
        <w:t>We will furnish without charge to you, on written or oral request, a copy of any or all of the documents incorporated by reference, including exhibits to these documents. You should direct any requests for documents to Investor Relations, AVROBIO, Inc., One Kendall Square, Building 300, Suite 201, Cambridge, Massachusetts 02139, or via telephone at (617) 914-8420.</w:t>
      </w:r>
    </w:p>
    <w:p>
      <w:pPr>
        <w:spacing w:after="0" w:line="181" w:lineRule="exact"/>
        <w:rPr>
          <w:rFonts w:ascii="Arial" w:cs="Arial" w:eastAsia="Arial" w:hAnsi="Arial"/>
          <w:sz w:val="17"/>
          <w:szCs w:val="17"/>
          <w:color w:val="0000EE"/>
        </w:rPr>
      </w:pPr>
    </w:p>
    <w:p>
      <w:pPr>
        <w:ind w:left="200" w:firstLine="441"/>
        <w:spacing w:after="0" w:line="276" w:lineRule="auto"/>
        <w:rPr>
          <w:sz w:val="20"/>
          <w:szCs w:val="20"/>
          <w:color w:val="auto"/>
        </w:rPr>
      </w:pPr>
      <w:r>
        <w:rPr>
          <w:rFonts w:ascii="Arial" w:cs="Arial" w:eastAsia="Arial" w:hAnsi="Arial"/>
          <w:sz w:val="17"/>
          <w:szCs w:val="17"/>
          <w:color w:val="auto"/>
        </w:rPr>
        <w:t>You should rely only on information contained in, or incorporated by reference into, this prospectus supplement and the accompanying prospectus. We have not authorized anyone to provide you with information different from that contained in this prospectus supplement and the accompanying prospectus or incorporated by reference in this prospectus supplement and the accompanying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05" w:lineRule="exact"/>
        <w:rPr>
          <w:rFonts w:ascii="Arial" w:cs="Arial" w:eastAsia="Arial" w:hAnsi="Arial"/>
          <w:sz w:val="17"/>
          <w:szCs w:val="17"/>
          <w:color w:val="0000EE"/>
        </w:rPr>
      </w:pPr>
    </w:p>
    <w:p>
      <w:pPr>
        <w:jc w:val="center"/>
        <w:ind w:right="-19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97790</wp:posOffset>
            </wp:positionV>
            <wp:extent cx="6997700" cy="6172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69977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940"/>
        <w:spacing w:after="0"/>
        <w:rPr>
          <w:sz w:val="20"/>
          <w:szCs w:val="20"/>
          <w:color w:val="auto"/>
        </w:rPr>
      </w:pPr>
      <w:r>
        <w:rPr>
          <w:rFonts w:ascii="Arial" w:cs="Arial" w:eastAsia="Arial" w:hAnsi="Arial"/>
          <w:sz w:val="25"/>
          <w:szCs w:val="25"/>
          <w:b w:val="1"/>
          <w:bCs w:val="1"/>
          <w:color w:val="auto"/>
        </w:rPr>
        <w:t>$200,000,000</w:t>
      </w:r>
    </w:p>
    <w:p>
      <w:pPr>
        <w:spacing w:after="0" w:line="226"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42"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227965</wp:posOffset>
            </wp:positionV>
            <wp:extent cx="1826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We may from time to time issue, in one or more series or classes, up to $200,000,000 in aggregate principal amount of our common stock, preferred stock, debt securities, warrants and/or units, in any combination, together or separately, in one or more offerings in amounts at prices and on the terms that we will determine at the time of the offering and which will be set forth in a prospectus supplement and any related free writing prospectus.</w:t>
      </w:r>
    </w:p>
    <w:p>
      <w:pPr>
        <w:spacing w:after="0" w:line="202"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We may offer these securities separately or together in units. Each time we sell securities described herein, we will provide prospective investors with a supplement to this prospectus that will specify the terms of the securities being offered. We may sell these securities to or through underwriters or dealers and also to other purchasers or through agents. We will set forth the names of any underwriters or agents, and any fees, conversions, or discount arrangements, in the accompanying prospectus supplement. We may not sell any securities under this prospectus without delivery of the applicable prospectus supplement. You should read this document and any prospectus supplement or amendment carefully before you invest in our securities.</w:t>
      </w:r>
    </w:p>
    <w:p>
      <w:pPr>
        <w:spacing w:after="0" w:line="205" w:lineRule="exact"/>
        <w:rPr>
          <w:sz w:val="20"/>
          <w:szCs w:val="20"/>
          <w:color w:val="auto"/>
        </w:rPr>
      </w:pPr>
    </w:p>
    <w:p>
      <w:pPr>
        <w:ind w:left="200" w:right="260"/>
        <w:spacing w:after="0"/>
        <w:rPr>
          <w:sz w:val="20"/>
          <w:szCs w:val="20"/>
          <w:color w:val="auto"/>
        </w:rPr>
      </w:pPr>
      <w:r>
        <w:rPr>
          <w:rFonts w:ascii="Arial" w:cs="Arial" w:eastAsia="Arial" w:hAnsi="Arial"/>
          <w:sz w:val="18"/>
          <w:szCs w:val="18"/>
          <w:color w:val="auto"/>
        </w:rPr>
        <w:t>Our common stock is listed on The Nasdaq Global Select Market under the symbol “AVRO.” On June 27, 2019, the closing price for our common stock, as reported on The Nasdaq Global Select Market, was $15.36 per share. Our principal executive offices are located at One Kendall Square, Building 300, Suite 201, Cambridge, Massachusetts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215265</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200" w:right="60"/>
        <w:spacing w:after="0" w:line="253"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You should review carefully the risks and uncertainties described under the heading “</w:t>
      </w:r>
      <w:hyperlink w:anchor="page44">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contained in this prospectus beginning on page 2 and any applicable prospectus supplement, and under similar headings in the other documents that are incorporated by reference into this prospectus.</w:t>
      </w:r>
    </w:p>
    <w:p>
      <w:pPr>
        <w:spacing w:after="0" w:line="191" w:lineRule="exact"/>
        <w:rPr>
          <w:sz w:val="20"/>
          <w:szCs w:val="20"/>
          <w:color w:val="auto"/>
        </w:rPr>
      </w:pPr>
    </w:p>
    <w:p>
      <w:pPr>
        <w:ind w:left="200" w:right="60"/>
        <w:spacing w:after="0" w:line="246"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date of this Prospectus is July 10, 2019</w:t>
      </w:r>
    </w:p>
    <w:p>
      <w:pPr>
        <w:sectPr>
          <w:pgSz w:w="11900" w:h="16838" w:orient="portrait"/>
          <w:cols w:equalWidth="0" w:num="1">
            <w:col w:w="11220"/>
          </w:cols>
          <w:pgMar w:left="240" w:top="459" w:right="4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8700" w:type="dxa"/>
            <w:vAlign w:val="bottom"/>
            <w:gridSpan w:val="17"/>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48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20" w:type="dxa"/>
            <w:vAlign w:val="bottom"/>
            <w:gridSpan w:val="2"/>
          </w:tcPr>
          <w:p>
            <w:pPr>
              <w:ind w:left="148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24"/>
                <w:szCs w:val="24"/>
                <w:color w:val="auto"/>
              </w:rPr>
            </w:pPr>
          </w:p>
        </w:tc>
      </w:tr>
      <w:tr>
        <w:trPr>
          <w:trHeight w:val="553"/>
        </w:trPr>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176"/>
        </w:trPr>
        <w:tc>
          <w:tcPr>
            <w:tcW w:w="200" w:type="dxa"/>
            <w:vAlign w:val="bottom"/>
          </w:tcPr>
          <w:p>
            <w:pPr>
              <w:spacing w:after="0"/>
              <w:rPr>
                <w:sz w:val="15"/>
                <w:szCs w:val="15"/>
                <w:color w:val="auto"/>
              </w:rPr>
            </w:pPr>
          </w:p>
        </w:tc>
        <w:tc>
          <w:tcPr>
            <w:tcW w:w="1760" w:type="dxa"/>
            <w:vAlign w:val="bottom"/>
            <w:tcBorders>
              <w:bottom w:val="single" w:sz="8" w:color="0000EE"/>
            </w:tcBorders>
            <w:gridSpan w:val="9"/>
          </w:tcPr>
          <w:p>
            <w:pPr>
              <w:spacing w:after="0" w:line="176" w:lineRule="exact"/>
              <w:rPr>
                <w:rFonts w:ascii="Arial" w:cs="Arial" w:eastAsia="Arial" w:hAnsi="Arial"/>
                <w:sz w:val="18"/>
                <w:szCs w:val="18"/>
                <w:color w:val="0000EE"/>
                <w:w w:val="99"/>
              </w:rPr>
            </w:pPr>
            <w:hyperlink w:anchor="page43">
              <w:r>
                <w:rPr>
                  <w:rFonts w:ascii="Arial" w:cs="Arial" w:eastAsia="Arial" w:hAnsi="Arial"/>
                  <w:sz w:val="18"/>
                  <w:szCs w:val="18"/>
                  <w:color w:val="0000EE"/>
                  <w:w w:val="99"/>
                </w:rPr>
                <w:t>About this Prospectus</w:t>
              </w:r>
            </w:hyperlink>
          </w:p>
        </w:tc>
        <w:tc>
          <w:tcPr>
            <w:tcW w:w="6740" w:type="dxa"/>
            <w:vAlign w:val="bottom"/>
            <w:gridSpan w:val="7"/>
          </w:tcPr>
          <w:p>
            <w:pPr>
              <w:spacing w:after="0"/>
              <w:rPr>
                <w:sz w:val="15"/>
                <w:szCs w:val="15"/>
                <w:color w:val="auto"/>
              </w:rPr>
            </w:pPr>
          </w:p>
        </w:tc>
        <w:tc>
          <w:tcPr>
            <w:tcW w:w="248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r>
      <w:tr>
        <w:trPr>
          <w:trHeight w:val="183"/>
        </w:trPr>
        <w:tc>
          <w:tcPr>
            <w:tcW w:w="200" w:type="dxa"/>
            <w:vAlign w:val="bottom"/>
          </w:tcPr>
          <w:p>
            <w:pPr>
              <w:spacing w:after="0"/>
              <w:rPr>
                <w:sz w:val="15"/>
                <w:szCs w:val="15"/>
                <w:color w:val="auto"/>
              </w:rPr>
            </w:pPr>
          </w:p>
        </w:tc>
        <w:tc>
          <w:tcPr>
            <w:tcW w:w="8500" w:type="dxa"/>
            <w:vAlign w:val="bottom"/>
            <w:gridSpan w:val="16"/>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24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20"/>
        </w:trPr>
        <w:tc>
          <w:tcPr>
            <w:tcW w:w="2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500" w:type="dxa"/>
            <w:vAlign w:val="bottom"/>
            <w:gridSpan w:val="16"/>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Cautionary Statement Regarding Forward-Looking Statements</w:t>
              </w:r>
            </w:hyperlink>
          </w:p>
        </w:tc>
        <w:tc>
          <w:tcPr>
            <w:tcW w:w="24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200" w:type="dxa"/>
            <w:vAlign w:val="bottom"/>
          </w:tcPr>
          <w:p>
            <w:pPr>
              <w:spacing w:after="0"/>
              <w:rPr>
                <w:sz w:val="15"/>
                <w:szCs w:val="15"/>
                <w:color w:val="auto"/>
              </w:rPr>
            </w:pPr>
          </w:p>
        </w:tc>
        <w:tc>
          <w:tcPr>
            <w:tcW w:w="11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w:anchor="page47">
              <w:r>
                <w:rPr>
                  <w:rFonts w:ascii="Arial" w:cs="Arial" w:eastAsia="Arial" w:hAnsi="Arial"/>
                  <w:sz w:val="18"/>
                  <w:szCs w:val="18"/>
                  <w:color w:val="0000EE"/>
                  <w:w w:val="99"/>
                </w:rPr>
                <w:t>The Company</w:t>
              </w:r>
            </w:hyperlink>
          </w:p>
        </w:tc>
        <w:tc>
          <w:tcPr>
            <w:tcW w:w="3840" w:type="dxa"/>
            <w:vAlign w:val="bottom"/>
            <w:tcBorders>
              <w:top w:val="single" w:sz="8" w:color="0000EE"/>
            </w:tcBorders>
            <w:gridSpan w:val="11"/>
          </w:tcPr>
          <w:p>
            <w:pPr>
              <w:spacing w:after="0"/>
              <w:rPr>
                <w:sz w:val="15"/>
                <w:szCs w:val="15"/>
                <w:color w:val="auto"/>
              </w:rPr>
            </w:pPr>
          </w:p>
        </w:tc>
        <w:tc>
          <w:tcPr>
            <w:tcW w:w="3520" w:type="dxa"/>
            <w:vAlign w:val="bottom"/>
          </w:tcPr>
          <w:p>
            <w:pPr>
              <w:spacing w:after="0"/>
              <w:rPr>
                <w:sz w:val="15"/>
                <w:szCs w:val="15"/>
                <w:color w:val="auto"/>
              </w:rPr>
            </w:pPr>
          </w:p>
        </w:tc>
        <w:tc>
          <w:tcPr>
            <w:tcW w:w="24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200" w:type="dxa"/>
            <w:vAlign w:val="bottom"/>
          </w:tcPr>
          <w:p>
            <w:pPr>
              <w:spacing w:after="0"/>
              <w:rPr>
                <w:sz w:val="15"/>
                <w:szCs w:val="15"/>
                <w:color w:val="auto"/>
              </w:rPr>
            </w:pPr>
          </w:p>
        </w:tc>
        <w:tc>
          <w:tcPr>
            <w:tcW w:w="134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50">
              <w:r>
                <w:rPr>
                  <w:rFonts w:ascii="Arial" w:cs="Arial" w:eastAsia="Arial" w:hAnsi="Arial"/>
                  <w:sz w:val="18"/>
                  <w:szCs w:val="18"/>
                  <w:color w:val="0000EE"/>
                  <w:w w:val="99"/>
                </w:rPr>
                <w:t>Use of Proceeds</w:t>
              </w:r>
            </w:hyperlink>
          </w:p>
        </w:tc>
        <w:tc>
          <w:tcPr>
            <w:tcW w:w="7160" w:type="dxa"/>
            <w:vAlign w:val="bottom"/>
            <w:gridSpan w:val="10"/>
          </w:tcPr>
          <w:p>
            <w:pPr>
              <w:spacing w:after="0"/>
              <w:rPr>
                <w:sz w:val="15"/>
                <w:szCs w:val="15"/>
                <w:color w:val="auto"/>
              </w:rPr>
            </w:pPr>
          </w:p>
        </w:tc>
        <w:tc>
          <w:tcPr>
            <w:tcW w:w="248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200" w:type="dxa"/>
            <w:vAlign w:val="bottom"/>
          </w:tcPr>
          <w:p>
            <w:pPr>
              <w:spacing w:after="0"/>
              <w:rPr>
                <w:sz w:val="15"/>
                <w:szCs w:val="15"/>
                <w:color w:val="auto"/>
              </w:rPr>
            </w:pPr>
          </w:p>
        </w:tc>
        <w:tc>
          <w:tcPr>
            <w:tcW w:w="8500" w:type="dxa"/>
            <w:vAlign w:val="bottom"/>
            <w:gridSpan w:val="16"/>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Securities We May Offer</w:t>
              </w:r>
            </w:hyperlink>
          </w:p>
        </w:tc>
        <w:tc>
          <w:tcPr>
            <w:tcW w:w="248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20"/>
        </w:trPr>
        <w:tc>
          <w:tcPr>
            <w:tcW w:w="2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222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52">
              <w:r>
                <w:rPr>
                  <w:rFonts w:ascii="Arial" w:cs="Arial" w:eastAsia="Arial" w:hAnsi="Arial"/>
                  <w:sz w:val="18"/>
                  <w:szCs w:val="18"/>
                  <w:color w:val="0000EE"/>
                  <w:w w:val="99"/>
                </w:rPr>
                <w:t>Description of Capital Stock</w:t>
              </w:r>
            </w:hyperlink>
          </w:p>
        </w:tc>
        <w:tc>
          <w:tcPr>
            <w:tcW w:w="6280" w:type="dxa"/>
            <w:vAlign w:val="bottom"/>
            <w:gridSpan w:val="4"/>
          </w:tcPr>
          <w:p>
            <w:pPr>
              <w:spacing w:after="0"/>
              <w:rPr>
                <w:sz w:val="15"/>
                <w:szCs w:val="15"/>
                <w:color w:val="auto"/>
              </w:rPr>
            </w:pPr>
          </w:p>
        </w:tc>
        <w:tc>
          <w:tcPr>
            <w:tcW w:w="248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r>
      <w:tr>
        <w:trPr>
          <w:trHeight w:val="183"/>
        </w:trPr>
        <w:tc>
          <w:tcPr>
            <w:tcW w:w="200" w:type="dxa"/>
            <w:vAlign w:val="bottom"/>
          </w:tcPr>
          <w:p>
            <w:pPr>
              <w:spacing w:after="0"/>
              <w:rPr>
                <w:sz w:val="15"/>
                <w:szCs w:val="15"/>
                <w:color w:val="auto"/>
              </w:rPr>
            </w:pPr>
          </w:p>
        </w:tc>
        <w:tc>
          <w:tcPr>
            <w:tcW w:w="238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58">
              <w:r>
                <w:rPr>
                  <w:rFonts w:ascii="Arial" w:cs="Arial" w:eastAsia="Arial" w:hAnsi="Arial"/>
                  <w:sz w:val="18"/>
                  <w:szCs w:val="18"/>
                  <w:color w:val="0000EE"/>
                  <w:w w:val="99"/>
                </w:rPr>
                <w:t>Description of Debt Securities</w:t>
              </w:r>
            </w:hyperlink>
          </w:p>
        </w:tc>
        <w:tc>
          <w:tcPr>
            <w:tcW w:w="6120" w:type="dxa"/>
            <w:vAlign w:val="bottom"/>
            <w:gridSpan w:val="3"/>
          </w:tcPr>
          <w:p>
            <w:pPr>
              <w:spacing w:after="0"/>
              <w:rPr>
                <w:sz w:val="15"/>
                <w:szCs w:val="15"/>
                <w:color w:val="auto"/>
              </w:rPr>
            </w:pPr>
          </w:p>
        </w:tc>
        <w:tc>
          <w:tcPr>
            <w:tcW w:w="248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200" w:type="dxa"/>
            <w:vAlign w:val="bottom"/>
          </w:tcPr>
          <w:p>
            <w:pPr>
              <w:spacing w:after="0"/>
              <w:rPr>
                <w:sz w:val="15"/>
                <w:szCs w:val="15"/>
                <w:color w:val="auto"/>
              </w:rPr>
            </w:pPr>
          </w:p>
        </w:tc>
        <w:tc>
          <w:tcPr>
            <w:tcW w:w="1940" w:type="dxa"/>
            <w:vAlign w:val="bottom"/>
            <w:tcBorders>
              <w:bottom w:val="single" w:sz="8" w:color="0000EE"/>
            </w:tcBorders>
            <w:gridSpan w:val="10"/>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Description of Warrants</w:t>
              </w:r>
            </w:hyperlink>
          </w:p>
        </w:tc>
        <w:tc>
          <w:tcPr>
            <w:tcW w:w="6560" w:type="dxa"/>
            <w:vAlign w:val="bottom"/>
            <w:gridSpan w:val="6"/>
          </w:tcPr>
          <w:p>
            <w:pPr>
              <w:spacing w:after="0"/>
              <w:rPr>
                <w:sz w:val="15"/>
                <w:szCs w:val="15"/>
                <w:color w:val="auto"/>
              </w:rPr>
            </w:pPr>
          </w:p>
        </w:tc>
        <w:tc>
          <w:tcPr>
            <w:tcW w:w="248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183"/>
        </w:trPr>
        <w:tc>
          <w:tcPr>
            <w:tcW w:w="200" w:type="dxa"/>
            <w:vAlign w:val="bottom"/>
          </w:tcPr>
          <w:p>
            <w:pPr>
              <w:spacing w:after="0"/>
              <w:rPr>
                <w:sz w:val="15"/>
                <w:szCs w:val="15"/>
                <w:color w:val="auto"/>
              </w:rPr>
            </w:pPr>
          </w:p>
        </w:tc>
        <w:tc>
          <w:tcPr>
            <w:tcW w:w="8500" w:type="dxa"/>
            <w:vAlign w:val="bottom"/>
            <w:gridSpan w:val="16"/>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Description of Units</w:t>
              </w:r>
            </w:hyperlink>
          </w:p>
        </w:tc>
        <w:tc>
          <w:tcPr>
            <w:tcW w:w="248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183"/>
        </w:trPr>
        <w:tc>
          <w:tcPr>
            <w:tcW w:w="200" w:type="dxa"/>
            <w:vAlign w:val="bottom"/>
          </w:tcPr>
          <w:p>
            <w:pPr>
              <w:spacing w:after="0"/>
              <w:rPr>
                <w:sz w:val="15"/>
                <w:szCs w:val="15"/>
                <w:color w:val="auto"/>
              </w:rPr>
            </w:pPr>
          </w:p>
        </w:tc>
        <w:tc>
          <w:tcPr>
            <w:tcW w:w="152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w:anchor="page70">
              <w:r>
                <w:rPr>
                  <w:rFonts w:ascii="Arial" w:cs="Arial" w:eastAsia="Arial" w:hAnsi="Arial"/>
                  <w:sz w:val="18"/>
                  <w:szCs w:val="18"/>
                  <w:color w:val="0000EE"/>
                  <w:w w:val="99"/>
                </w:rPr>
                <w:t>Plan of Distribution</w:t>
              </w:r>
            </w:hyperlink>
          </w:p>
        </w:tc>
        <w:tc>
          <w:tcPr>
            <w:tcW w:w="40" w:type="dxa"/>
            <w:vAlign w:val="bottom"/>
            <w:tcBorders>
              <w:top w:val="single" w:sz="8" w:color="0000EE"/>
            </w:tcBorders>
          </w:tcPr>
          <w:p>
            <w:pPr>
              <w:spacing w:after="0"/>
              <w:rPr>
                <w:sz w:val="15"/>
                <w:szCs w:val="15"/>
                <w:color w:val="auto"/>
              </w:rPr>
            </w:pPr>
          </w:p>
        </w:tc>
        <w:tc>
          <w:tcPr>
            <w:tcW w:w="6940" w:type="dxa"/>
            <w:vAlign w:val="bottom"/>
            <w:gridSpan w:val="8"/>
          </w:tcPr>
          <w:p>
            <w:pPr>
              <w:spacing w:after="0"/>
              <w:rPr>
                <w:sz w:val="15"/>
                <w:szCs w:val="15"/>
                <w:color w:val="auto"/>
              </w:rPr>
            </w:pPr>
          </w:p>
        </w:tc>
        <w:tc>
          <w:tcPr>
            <w:tcW w:w="248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183"/>
        </w:trPr>
        <w:tc>
          <w:tcPr>
            <w:tcW w:w="200" w:type="dxa"/>
            <w:vAlign w:val="bottom"/>
          </w:tcPr>
          <w:p>
            <w:pPr>
              <w:spacing w:after="0"/>
              <w:rPr>
                <w:sz w:val="15"/>
                <w:szCs w:val="15"/>
                <w:color w:val="auto"/>
              </w:rPr>
            </w:pPr>
          </w:p>
        </w:tc>
        <w:tc>
          <w:tcPr>
            <w:tcW w:w="110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w:anchor="page73">
              <w:r>
                <w:rPr>
                  <w:rFonts w:ascii="Arial" w:cs="Arial" w:eastAsia="Arial" w:hAnsi="Arial"/>
                  <w:sz w:val="18"/>
                  <w:szCs w:val="18"/>
                  <w:color w:val="0000EE"/>
                  <w:w w:val="98"/>
                </w:rPr>
                <w:t>Legal Matters</w:t>
              </w:r>
            </w:hyperlink>
          </w:p>
        </w:tc>
        <w:tc>
          <w:tcPr>
            <w:tcW w:w="7400" w:type="dxa"/>
            <w:vAlign w:val="bottom"/>
            <w:gridSpan w:val="13"/>
          </w:tcPr>
          <w:p>
            <w:pPr>
              <w:spacing w:after="0"/>
              <w:rPr>
                <w:sz w:val="15"/>
                <w:szCs w:val="15"/>
                <w:color w:val="auto"/>
              </w:rPr>
            </w:pPr>
          </w:p>
        </w:tc>
        <w:tc>
          <w:tcPr>
            <w:tcW w:w="248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200" w:type="dxa"/>
            <w:vAlign w:val="bottom"/>
          </w:tcPr>
          <w:p>
            <w:pPr>
              <w:spacing w:after="0"/>
              <w:rPr>
                <w:sz w:val="15"/>
                <w:szCs w:val="15"/>
                <w:color w:val="auto"/>
              </w:rPr>
            </w:pPr>
          </w:p>
        </w:tc>
        <w:tc>
          <w:tcPr>
            <w:tcW w:w="620" w:type="dxa"/>
            <w:vAlign w:val="bottom"/>
            <w:tcBorders>
              <w:bottom w:val="single" w:sz="8" w:color="0000EE"/>
            </w:tcBorders>
          </w:tcPr>
          <w:p>
            <w:pPr>
              <w:spacing w:after="0" w:line="182" w:lineRule="exact"/>
              <w:rPr>
                <w:rFonts w:ascii="Arial" w:cs="Arial" w:eastAsia="Arial" w:hAnsi="Arial"/>
                <w:sz w:val="18"/>
                <w:szCs w:val="18"/>
                <w:color w:val="0000EE"/>
                <w:w w:val="98"/>
              </w:rPr>
            </w:pPr>
            <w:hyperlink w:anchor="page73">
              <w:r>
                <w:rPr>
                  <w:rFonts w:ascii="Arial" w:cs="Arial" w:eastAsia="Arial" w:hAnsi="Arial"/>
                  <w:sz w:val="18"/>
                  <w:szCs w:val="18"/>
                  <w:color w:val="0000EE"/>
                  <w:w w:val="98"/>
                </w:rPr>
                <w:t>Experts</w:t>
              </w:r>
            </w:hyperlink>
          </w:p>
        </w:tc>
        <w:tc>
          <w:tcPr>
            <w:tcW w:w="7880" w:type="dxa"/>
            <w:vAlign w:val="bottom"/>
            <w:gridSpan w:val="15"/>
          </w:tcPr>
          <w:p>
            <w:pPr>
              <w:spacing w:after="0"/>
              <w:rPr>
                <w:sz w:val="15"/>
                <w:szCs w:val="15"/>
                <w:color w:val="auto"/>
              </w:rPr>
            </w:pPr>
          </w:p>
        </w:tc>
        <w:tc>
          <w:tcPr>
            <w:tcW w:w="248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200" w:type="dxa"/>
            <w:vAlign w:val="bottom"/>
          </w:tcPr>
          <w:p>
            <w:pPr>
              <w:spacing w:after="0"/>
              <w:rPr>
                <w:sz w:val="15"/>
                <w:szCs w:val="15"/>
                <w:color w:val="auto"/>
              </w:rPr>
            </w:pPr>
          </w:p>
        </w:tc>
        <w:tc>
          <w:tcPr>
            <w:tcW w:w="3080" w:type="dxa"/>
            <w:vAlign w:val="bottom"/>
            <w:tcBorders>
              <w:bottom w:val="single" w:sz="8" w:color="0000EE"/>
            </w:tcBorders>
            <w:gridSpan w:val="14"/>
          </w:tcPr>
          <w:p>
            <w:pPr>
              <w:spacing w:after="0" w:line="182" w:lineRule="exact"/>
              <w:rPr>
                <w:rFonts w:ascii="Arial" w:cs="Arial" w:eastAsia="Arial" w:hAnsi="Arial"/>
                <w:sz w:val="18"/>
                <w:szCs w:val="18"/>
                <w:color w:val="0000EE"/>
                <w:w w:val="98"/>
              </w:rPr>
            </w:pPr>
            <w:hyperlink w:anchor="page73">
              <w:r>
                <w:rPr>
                  <w:rFonts w:ascii="Arial" w:cs="Arial" w:eastAsia="Arial" w:hAnsi="Arial"/>
                  <w:sz w:val="18"/>
                  <w:szCs w:val="18"/>
                  <w:color w:val="0000EE"/>
                  <w:w w:val="98"/>
                </w:rPr>
                <w:t>Where You Can Find More Information</w:t>
              </w:r>
            </w:hyperlink>
          </w:p>
        </w:tc>
        <w:tc>
          <w:tcPr>
            <w:tcW w:w="5420" w:type="dxa"/>
            <w:vAlign w:val="bottom"/>
            <w:gridSpan w:val="2"/>
          </w:tcPr>
          <w:p>
            <w:pPr>
              <w:spacing w:after="0"/>
              <w:rPr>
                <w:sz w:val="15"/>
                <w:szCs w:val="15"/>
                <w:color w:val="auto"/>
              </w:rPr>
            </w:pPr>
          </w:p>
        </w:tc>
        <w:tc>
          <w:tcPr>
            <w:tcW w:w="248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200" w:type="dxa"/>
            <w:vAlign w:val="bottom"/>
          </w:tcPr>
          <w:p>
            <w:pPr>
              <w:spacing w:after="0"/>
              <w:rPr>
                <w:sz w:val="15"/>
                <w:szCs w:val="15"/>
                <w:color w:val="auto"/>
              </w:rPr>
            </w:pPr>
          </w:p>
        </w:tc>
        <w:tc>
          <w:tcPr>
            <w:tcW w:w="218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74">
              <w:r>
                <w:rPr>
                  <w:rFonts w:ascii="Arial" w:cs="Arial" w:eastAsia="Arial" w:hAnsi="Arial"/>
                  <w:sz w:val="18"/>
                  <w:szCs w:val="18"/>
                  <w:color w:val="0000EE"/>
                  <w:w w:val="99"/>
                </w:rPr>
                <w:t>Incorporation by Reference</w:t>
              </w:r>
            </w:hyperlink>
          </w:p>
        </w:tc>
        <w:tc>
          <w:tcPr>
            <w:tcW w:w="6320" w:type="dxa"/>
            <w:vAlign w:val="bottom"/>
            <w:gridSpan w:val="5"/>
          </w:tcPr>
          <w:p>
            <w:pPr>
              <w:spacing w:after="0"/>
              <w:rPr>
                <w:sz w:val="15"/>
                <w:szCs w:val="15"/>
                <w:color w:val="auto"/>
              </w:rPr>
            </w:pPr>
          </w:p>
        </w:tc>
        <w:tc>
          <w:tcPr>
            <w:tcW w:w="248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bl>
    <w:p>
      <w:pPr>
        <w:jc w:val="right"/>
        <w:spacing w:after="0" w:line="182" w:lineRule="exact"/>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342" w:lineRule="exact"/>
        <w:rPr>
          <w:sz w:val="20"/>
          <w:szCs w:val="20"/>
          <w:color w:val="auto"/>
        </w:rPr>
      </w:pPr>
    </w:p>
    <w:p>
      <w:pPr>
        <w:ind w:left="200" w:right="320" w:firstLine="331"/>
        <w:spacing w:after="0"/>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registration process, we may from time to time sell any combination of the securities described in this prospectus in one or more offerings for an aggregate initial offering price of up to $200,000,000.</w:t>
      </w:r>
    </w:p>
    <w:p>
      <w:pPr>
        <w:spacing w:after="0" w:line="203" w:lineRule="exact"/>
        <w:rPr>
          <w:sz w:val="20"/>
          <w:szCs w:val="20"/>
          <w:color w:val="auto"/>
        </w:rPr>
      </w:pPr>
    </w:p>
    <w:p>
      <w:pPr>
        <w:ind w:left="200" w:right="140" w:firstLine="331"/>
        <w:spacing w:after="0" w:line="238"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sell securities described herein,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31 of this prospectus.</w:t>
      </w:r>
    </w:p>
    <w:p>
      <w:pPr>
        <w:spacing w:after="0" w:line="203"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86" w:lineRule="exact"/>
        <w:rPr>
          <w:sz w:val="20"/>
          <w:szCs w:val="20"/>
          <w:color w:val="auto"/>
        </w:rPr>
      </w:pPr>
    </w:p>
    <w:p>
      <w:pPr>
        <w:ind w:left="200" w:right="1020" w:firstLine="331"/>
        <w:spacing w:after="0" w:line="271" w:lineRule="auto"/>
        <w:rPr>
          <w:sz w:val="20"/>
          <w:szCs w:val="20"/>
          <w:color w:val="auto"/>
        </w:rPr>
      </w:pPr>
      <w:r>
        <w:rPr>
          <w:rFonts w:ascii="Arial" w:cs="Arial" w:eastAsia="Arial" w:hAnsi="Arial"/>
          <w:sz w:val="18"/>
          <w:szCs w:val="18"/>
          <w:b w:val="1"/>
          <w:bCs w:val="1"/>
          <w:color w:val="auto"/>
        </w:rPr>
        <w:t>THIS PROSPECTUS MAY NOT BE USED TO OFFER AND SELL SECURITIES UNLESS IT IS ACCOMPANIED BY AN ADDITIONAL PROSPECTUS OR A PROSPECTUS SUPPLEMENT.</w:t>
      </w:r>
    </w:p>
    <w:p>
      <w:pPr>
        <w:spacing w:after="0" w:line="176"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As used in this prospectus, unless the context otherwise requires, references to the “company,” “we,” “us” and “our” refer to AVROBIO, Inc. and, where appropriate, our subsidiaries.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34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Investing in our securities involves a high degree of risk. You should carefully consider the risks referenced below and described in the documents incorporated by reference in this prospectus and any applicable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or by other risks that are not currently known to us.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below and in the documents incorporated herein by reference, including (i) our Annual Report on Form 10-K for the fiscal year ended December 31, 2018, which is on file with the SEC and is incorporated herein by reference, (ii) our Quarterly Report on Form 10-Q for the quarter ended March 31, 2019, which is on file with the SEC and is incorporated herein by reference and (iii) other documents we file with the SEC that are deemed incorporated by reference into this prospectus.</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4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This prospectus, including the documents that we incorporate by reference, contains forward-looking statements within the meaning of Section 27A of the Securities Act of 1933, as amended, or the Securities Act, and Section 21E of the Securities Exchange Act of 1934, as amended, or the Exchange Act. Any statements about our expectations, beliefs, plans, objectives, assumptions or future events or performance are not historical facts and may be forward-looking. These statements are often, but are not always, made through the use of words or phrases such as “may,” “will,” “could,” “should,” “expects,” “intends,” “plans,” “anticipates,” “believes,” “estimates,” “predicts,” “projects,” “potential,” “continue,” and similar expressions, or the negative of these terms, or similar expressions. Accordingly, these statements involve estimates, assumptions, risks and uncertainties which could cause actual results to differ materially from those expressed in them. Any forward-looking statements are qualified in their entirety by reference to the factors discussed throughout this prospectus, and in particular those factors referenced in the section “Risk Factors.”</w:t>
      </w:r>
    </w:p>
    <w:p>
      <w:pPr>
        <w:spacing w:after="0" w:line="207"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This prospectus contains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230" w:lineRule="exact"/>
        <w:rPr>
          <w:sz w:val="20"/>
          <w:szCs w:val="20"/>
          <w:color w:val="auto"/>
        </w:rPr>
      </w:pPr>
    </w:p>
    <w:p>
      <w:pPr>
        <w:ind w:left="960" w:right="300" w:hanging="432"/>
        <w:spacing w:after="0" w:line="223"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28" w:lineRule="exact"/>
        <w:rPr>
          <w:rFonts w:ascii="MS PGothic" w:cs="MS PGothic" w:eastAsia="MS PGothic" w:hAnsi="MS PGothic"/>
          <w:sz w:val="25"/>
          <w:szCs w:val="25"/>
          <w:color w:val="auto"/>
          <w:vertAlign w:val="superscript"/>
        </w:rPr>
      </w:pPr>
    </w:p>
    <w:p>
      <w:pPr>
        <w:ind w:left="960" w:right="120" w:hanging="432"/>
        <w:spacing w:after="0" w:line="223"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scope or likelihood of regulatory filings and approvals;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develop and advance product candidates into, and successfully complete, clinical studies;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26" w:lineRule="exact"/>
        <w:rPr>
          <w:rFonts w:ascii="MS PGothic" w:cs="MS PGothic" w:eastAsia="MS PGothic" w:hAnsi="MS PGothic"/>
          <w:sz w:val="25"/>
          <w:szCs w:val="25"/>
          <w:color w:val="auto"/>
          <w:vertAlign w:val="superscript"/>
        </w:rPr>
      </w:pPr>
    </w:p>
    <w:p>
      <w:pPr>
        <w:jc w:val="both"/>
        <w:ind w:left="960" w:right="340" w:hanging="432"/>
        <w:spacing w:after="0" w:line="223"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implementation of our business model and our strategic plans for our business, product candidates, technology and plato platform, including our transition to a proprietary four-plasmid-produced lentiviral vector, or LV2, and our use of busulfan as a conditioning regimen administered through therapeutic drug monitoring, or TDM;</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commercialization, marketing and manufacturing capabilities and strategy;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pricing and reimbursement of our product candidates, if approved;</w:t>
      </w:r>
    </w:p>
    <w:p>
      <w:pPr>
        <w:spacing w:after="0" w:line="26"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scalability and commercial viability of our manufacturing methods and processes, including our use of cryopreservation and implementation of a closed, automated manufacturing system;</w:t>
      </w:r>
    </w:p>
    <w:p>
      <w:pPr>
        <w:spacing w:after="0" w:line="27" w:lineRule="exact"/>
        <w:rPr>
          <w:rFonts w:ascii="MS PGothic" w:cs="MS PGothic" w:eastAsia="MS PGothic" w:hAnsi="MS PGothic"/>
          <w:sz w:val="25"/>
          <w:szCs w:val="25"/>
          <w:color w:val="auto"/>
          <w:vertAlign w:val="superscript"/>
        </w:rPr>
      </w:pPr>
    </w:p>
    <w:p>
      <w:pPr>
        <w:ind w:left="960" w:right="680" w:hanging="432"/>
        <w:spacing w:after="0" w:line="218"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rate and degree of market acceptance and clinical utility of our product candidates, in particular, and gene therapy, in general;</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establish or maintain collaborations or strategic relationships or obtain additional funding;</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competitive position;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280" w:hanging="432"/>
        <w:spacing w:after="0" w:line="218" w:lineRule="auto"/>
        <w:tabs>
          <w:tab w:leader="none" w:pos="9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scope of protection we and/or our licensors are able to establish and maintain for intellectual property rights covering our product candidates;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financial performance;</w:t>
      </w:r>
    </w:p>
    <w:p>
      <w:pPr>
        <w:spacing w:after="0" w:line="26" w:lineRule="exact"/>
        <w:rPr>
          <w:rFonts w:ascii="MS PGothic" w:cs="MS PGothic" w:eastAsia="MS PGothic" w:hAnsi="MS PGothic"/>
          <w:sz w:val="25"/>
          <w:szCs w:val="25"/>
          <w:color w:val="auto"/>
          <w:vertAlign w:val="superscript"/>
        </w:rPr>
      </w:pPr>
    </w:p>
    <w:p>
      <w:pPr>
        <w:ind w:left="960" w:right="1040" w:hanging="432"/>
        <w:spacing w:after="0" w:line="218" w:lineRule="auto"/>
        <w:tabs>
          <w:tab w:leader="none" w:pos="9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retain the continued service of our key professionals and to identify, hire and retain additional qualified professionals;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developments and projections relating to our competitors and our industry;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estimates regarding expenses, future revenue, capital requirements and needs for additional financing;</w:t>
      </w:r>
    </w:p>
    <w:p>
      <w:pPr>
        <w:spacing w:after="0" w:line="26" w:lineRule="exact"/>
        <w:rPr>
          <w:rFonts w:ascii="MS PGothic" w:cs="MS PGothic" w:eastAsia="MS PGothic" w:hAnsi="MS PGothic"/>
          <w:sz w:val="25"/>
          <w:szCs w:val="25"/>
          <w:color w:val="auto"/>
          <w:vertAlign w:val="superscript"/>
        </w:rPr>
      </w:pPr>
    </w:p>
    <w:p>
      <w:pPr>
        <w:ind w:left="960" w:right="220" w:hanging="432"/>
        <w:spacing w:after="0" w:line="218" w:lineRule="auto"/>
        <w:tabs>
          <w:tab w:leader="none" w:pos="9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remediate the material weaknesses that we and our independent registered public accounting firm identified and avoid any findings of material weaknesses or significant deficiencies in the future;</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impact of laws and regulations, including without limitation recently enacted tax reform legislation;</w:t>
      </w:r>
    </w:p>
    <w:p>
      <w:pPr>
        <w:spacing w:after="0" w:line="26" w:lineRule="exact"/>
        <w:rPr>
          <w:rFonts w:ascii="MS PGothic" w:cs="MS PGothic" w:eastAsia="MS PGothic" w:hAnsi="MS PGothic"/>
          <w:sz w:val="25"/>
          <w:szCs w:val="25"/>
          <w:color w:val="auto"/>
          <w:vertAlign w:val="superscript"/>
        </w:rPr>
      </w:pPr>
    </w:p>
    <w:p>
      <w:pPr>
        <w:ind w:left="960" w:right="480" w:hanging="432"/>
        <w:spacing w:after="0" w:line="218" w:lineRule="auto"/>
        <w:tabs>
          <w:tab w:leader="none" w:pos="9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expectations regarding the time during which we are an emerging growth company under the Jumpstart Our Business Startups Act of 2012, as amended, or the JOBS Act;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risks and uncertainties, including those listed under the caption “Risk Factors”</w:t>
      </w:r>
    </w:p>
    <w:p>
      <w:pPr>
        <w:spacing w:after="0" w:line="20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This prospectus and the documents incorporated by reference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3" w:lineRule="exact"/>
        <w:rPr>
          <w:sz w:val="20"/>
          <w:szCs w:val="20"/>
          <w:color w:val="auto"/>
        </w:rPr>
      </w:pPr>
    </w:p>
    <w:p>
      <w:pPr>
        <w:ind w:left="200" w:right="220" w:firstLine="331"/>
        <w:spacing w:after="0" w:line="237" w:lineRule="auto"/>
        <w:rPr>
          <w:sz w:val="20"/>
          <w:szCs w:val="20"/>
          <w:color w:val="auto"/>
        </w:rPr>
      </w:pPr>
      <w:r>
        <w:rPr>
          <w:rFonts w:ascii="Arial" w:cs="Arial" w:eastAsia="Arial" w:hAnsi="Arial"/>
          <w:sz w:val="18"/>
          <w:szCs w:val="18"/>
          <w:color w:val="auto"/>
        </w:rPr>
        <w:t>You should read this prospectus and the documents that we incorporate by reference in this prospectus completely and with the understanding that our actual future results may be materially different from what we expect. The forward-looking statements in this prospectus and the documents we incorporate by reference herein represent our views as of their respective dates.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3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240" w:top="459" w:right="5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COMPANY</w:t>
      </w:r>
    </w:p>
    <w:p>
      <w:pPr>
        <w:spacing w:after="0" w:line="324"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 xml:space="preserve">We are a Phase 2 clinical 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lentiviral-based gene therapies to treat patients with rare diseases following a single dose treatment regimen. Our gene therapies employ hematopoietic stem cells that are harvested from the patient and then modified with lentiviral vectors to insert a functional copy of the gene that is defective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storage diseases, some of which today are primarily managed with enzyme replacement therapies, or ERTs. These lysosomal storage diseases have well-understood biologies, identified patient populations, established standards of care yet with significant unmet needs, and represent large market opportunities with approximately $4.0 billion in worldwide net sales in 2018.</w:t>
      </w:r>
    </w:p>
    <w:p>
      <w:pPr>
        <w:spacing w:after="0" w:line="206"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 xml:space="preserve">Since its first clinical use in 2003, lentiviral-based gene therapy has been observed to be well-tolerated in third parties’ clinical trials for rare diseases such as beta thalassemia, adrenoleukodystrophy, or ALD, metachromatic leukodystrophy, or MLD, and ADA-SCID. The use of ex vivo lentiviral-based gene therapies was initially restricted primarily to the most acutely severe diseases where the risks of the typical requirement for ablating the patients’ bone marrow, which significantly impairs those patients’ immune systems, had a clinically justifiable risk/benefit profile due to the novelty of the approach and the severity of the diseases. To date, over 200 patients have been treated with lentiviral-based gene therapies in third parties’ and our rare disease clinical trials, and we believe the technology can be developed for other serious conditions based on a rigorous risk/benefit assessment. The ablation procedure, also known as the conditioning regimen, is an inherent part of the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therapy treatment procedure and is administered prior to the gene therapy. The more intensive the conditioning regimen, the greater the risk of toxicity. However, we believe the risk of toxicity can be managed through utilization of therapeutic drug monitoring, or TDM. We are refining our approach to conditioning to use a single-agent, myeloablative conditioning regimen administered in conjunction with TDM, which is designed to permit patients to receive appropriate levels of conditioning to promote long-term engraftment while seeking to lessen toxicity. Such an approach could potentially allow the conditioning regimen to be performed during a limited hospital stay or potentially through an outpatient procedure, on a case-by-case basis as may be directed by the patient’s physician. We believe our approach, utilizing a single myeloablative conditioning agent, coupled with TDM, has the potential to extend the reach of our gene therapies to a broad range of diseases as first-line therapies. Our goal is to broaden the applicability of lentiviral-based gene therapy by initially targeting diseases with tractable gene mutations, well-understood biology and that benefit from the sustained systemic delivery of an active protein.</w:t>
      </w:r>
    </w:p>
    <w:p>
      <w:pPr>
        <w:spacing w:after="0" w:line="214"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We are initially targeting rare lysosomal storage diseases in which current standard of care provides the mechanistic proof that the enzymes or proteins produced endogenously following treatment with our gene therapies can offer benefit to patients. Typically, in lysosomal storage diseases, a gene mutation results in the deficiency or malfunctioning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currently primarily managed by bi-weekly, multi-hour infusions with ERTs that seek to exogenously replace the missing enzyme. However, most ERTs typically only remain in the plasma for a short period of time and thus are not ideal because they are only dosed every two weeks. These existing therapies manage, rather than cure, the underlying diseases and, as a result, patients continue to have disease progression. Further, the frequent, periodic and life-long dosing schedule required for ERTs results in significant costs for the healthcare system and is burdensome for the patient.</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24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firstLine="331"/>
        <w:spacing w:after="0" w:line="239" w:lineRule="auto"/>
        <w:rPr>
          <w:sz w:val="20"/>
          <w:szCs w:val="20"/>
          <w:color w:val="auto"/>
        </w:rPr>
      </w:pPr>
      <w:r>
        <w:rPr>
          <w:rFonts w:ascii="Arial" w:cs="Arial" w:eastAsia="Arial" w:hAnsi="Arial"/>
          <w:sz w:val="18"/>
          <w:szCs w:val="18"/>
          <w:color w:val="auto"/>
        </w:rPr>
        <w:t>We believe our gene therapies leverage the well-understood mechanism of ERTs by transforming a patient’s own cells into a drug product that enables the patient to express functional enzyme or other protein and mirror the biology seen in an otherwise healthy individual. We believe that a single dose of our gene therapies may provide meaningful life-long benefit to these patients and potentially halt the progression of these diseases while also providing significant health economic advantages.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plato: Our Commercial-Scale Platform</w:t>
      </w:r>
    </w:p>
    <w:p>
      <w:pPr>
        <w:spacing w:after="0" w:line="99"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Since forming our company, we have centered our efforts on developing first-line gene therapies, based on preceding academic approaches. While we believe these approaches have been adequate for our development programs to date, key to our strategy is to continuously improve our technology and production processes and to leverage these improvements across our gene therapies. We have designed plato to serve as our commercial-scale platform for our anticipated future worldwide commercialization activities, and our platform improvements already include differentiated features such as cryopreserved end-product and streamlined three-day manufacturing. We are continuing our transition towards implementing our plato platform, including moving our cell processing to an automated, closed system, transitioning to utilizing our proprietary four-plasmid-produced lentiviral vector, which we refer to as LV2, and a refined approach to conditioning utilizing busulfan that is administered with TDM. If successfully implemented, we believe our plato platform will represent a significant advance in our industry towards achieving the quality and scale required for global commercialization of gene therapies.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History</w:t>
      </w:r>
    </w:p>
    <w:p>
      <w:pPr>
        <w:spacing w:after="0" w:line="85"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We were formed as a corporation under the laws of the State of Delaware in November 2015 under the name AvroBio, Inc. Our corporate name was changed to AVROBIO, Inc. in June 2017. We completed our initial public offering in June 2018. Our executive offices are located at One Kendall Square, Building 300, Suite 201, Cambridge, MA 02139 and our telephone number is (617) 914-8420. Our website address is www.avrobio.com. We do not incorporate the information on or accessible through our website into this prospectus, and you should not consider any information on, or that can be accessed through, our website as part of this prospectus.</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 xml:space="preserve">The trademarks, trade names and service marks appearing in this prospectus are the property of their respective owners. Solely for convenience, the trademarks and trade names in this prospectus are referred to without the symbols </w:t>
      </w:r>
      <w:r>
        <w:rPr>
          <w:rFonts w:ascii="Arial" w:cs="Arial" w:eastAsia="Arial" w:hAnsi="Arial"/>
          <w:sz w:val="15"/>
          <w:szCs w:val="15"/>
          <w:color w:val="auto"/>
        </w:rPr>
        <w:t>®</w:t>
      </w:r>
      <w:r>
        <w:rPr>
          <w:rFonts w:ascii="Arial" w:cs="Arial" w:eastAsia="Arial" w:hAnsi="Arial"/>
          <w:sz w:val="18"/>
          <w:szCs w:val="18"/>
          <w:color w:val="auto"/>
        </w:rPr>
        <w:t xml:space="preserve"> and ™, but such references should not be construed as any indicator that their respective owners will not assert, to the fullest extent under applicable law, their rights thereto. Our common stock trades on The Nasdaq Global Select Market under the symbol “AVRO”.</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85" w:lineRule="exact"/>
        <w:rPr>
          <w:sz w:val="20"/>
          <w:szCs w:val="20"/>
          <w:color w:val="auto"/>
        </w:rPr>
      </w:pPr>
    </w:p>
    <w:p>
      <w:pPr>
        <w:jc w:val="both"/>
        <w:ind w:left="200" w:right="380" w:firstLine="331"/>
        <w:spacing w:after="0"/>
        <w:rPr>
          <w:sz w:val="20"/>
          <w:szCs w:val="20"/>
          <w:color w:val="auto"/>
        </w:rPr>
      </w:pPr>
      <w:r>
        <w:rPr>
          <w:rFonts w:ascii="Arial" w:cs="Arial" w:eastAsia="Arial" w:hAnsi="Arial"/>
          <w:sz w:val="18"/>
          <w:szCs w:val="18"/>
          <w:color w:val="auto"/>
        </w:rPr>
        <w:t>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 These provisions include:</w:t>
      </w:r>
    </w:p>
    <w:p>
      <w:pPr>
        <w:spacing w:after="0" w:line="230" w:lineRule="exact"/>
        <w:rPr>
          <w:sz w:val="20"/>
          <w:szCs w:val="20"/>
          <w:color w:val="auto"/>
        </w:rPr>
      </w:pPr>
    </w:p>
    <w:p>
      <w:pPr>
        <w:ind w:left="960" w:right="100" w:hanging="432"/>
        <w:spacing w:after="0" w:line="218"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Reduced disclosure about our executive compensation arrangements;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advisory votes on executive compensation or golden parachute arrangements;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Exemption from the auditor attestation requirement in the assessment of our internal control over financial reporting; and</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180" w:hanging="432"/>
        <w:spacing w:after="0" w:line="223"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204"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$ 1.07 billion or more; (ii) the last day of our fiscal year following the fifth anniversary of our initial public offering in June 2018; (iii) the date on which we have issued more than $1.0 billion in nonconvertible debt during the previous three years; or (iv) the date on which we are deemed to be a large accelerated filer under the rules of the Securities and Exchange Commission, or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have elected to avail ourselves of the exemption for the delayed adoption of certain accounting standards and, therefore, are not subject to the same new or revised accounting standards as other public companies that are not emerging growth companies.</w:t>
      </w:r>
    </w:p>
    <w:p>
      <w:pPr>
        <w:spacing w:after="0" w:line="207" w:lineRule="exact"/>
        <w:rPr>
          <w:sz w:val="20"/>
          <w:szCs w:val="20"/>
          <w:color w:val="auto"/>
        </w:rPr>
      </w:pPr>
    </w:p>
    <w:p>
      <w:pPr>
        <w:jc w:val="both"/>
        <w:ind w:left="200" w:right="180" w:firstLine="331"/>
        <w:spacing w:after="0"/>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USE OF PROCEEDS</w:t>
      </w:r>
    </w:p>
    <w:p>
      <w:pPr>
        <w:spacing w:after="0" w:line="34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intend to use the net proceeds from the sale of any securities offered under this prospectus for general corporate purposes unless otherwise indicated in the applicable prospectus supplement. General corporate purposes may include research and development costs, including the conduct of one or more clinical trials and process development and manufacturing of our product candidates, potential strategic acquisitions of complementary businesses, services or technologies, expansion of our technology infrastructure and capabilities, working capital, capital expenditures and other general corporate purposes. We may temporarily invest the net proceeds in a variety of capital preservation instruments, including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WE MAY OFFER</w:t>
      </w:r>
    </w:p>
    <w:p>
      <w:pPr>
        <w:spacing w:after="0" w:line="342"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 This prospectus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We may sell the securities to or through underwriters, dealers or agents, directly to purchasers or through a combination of any of these methods of sale or as otherwise set forth below under “Plan of Distribution.” We, as well as any agents acting on our behalf, reserve the sole right to accept and to reject in whole or in part any proposed purchase of securities. Any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324" w:lineRule="exact"/>
        <w:rPr>
          <w:sz w:val="20"/>
          <w:szCs w:val="20"/>
          <w:color w:val="auto"/>
        </w:rPr>
      </w:pPr>
    </w:p>
    <w:p>
      <w:pPr>
        <w:ind w:left="200" w:firstLine="331"/>
        <w:spacing w:after="0" w:line="242" w:lineRule="auto"/>
        <w:rPr>
          <w:sz w:val="20"/>
          <w:szCs w:val="20"/>
          <w:color w:val="auto"/>
        </w:rPr>
      </w:pPr>
      <w:r>
        <w:rPr>
          <w:rFonts w:ascii="Arial" w:cs="Arial" w:eastAsia="Arial" w:hAnsi="Arial"/>
          <w:sz w:val="18"/>
          <w:szCs w:val="18"/>
          <w:i w:val="1"/>
          <w:iCs w:val="1"/>
          <w:color w:val="auto"/>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certificate of incorporation and bylaws, which are exhibits to the registration statement of which this prospectus forms a part, and by applicable law. The terms of our common stock and preferred stock may also be affected by Delaware law.</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Our authorized capital stock consists of 150,000,000 shares of common stock, par value $0.0001 per share, and 10,000,000 shares of preferred stock, par value $0.0001 per share, all of which shares of preferred stock are undesignated.</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March 31, 2019, 24,076,762 shares of our common stock were outstanding and held by 15 stockholders of record.</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85" w:lineRule="exact"/>
        <w:rPr>
          <w:sz w:val="20"/>
          <w:szCs w:val="20"/>
          <w:color w:val="auto"/>
        </w:rPr>
      </w:pPr>
    </w:p>
    <w:p>
      <w:pPr>
        <w:ind w:left="200" w:right="180" w:firstLine="331"/>
        <w:spacing w:after="0" w:line="238" w:lineRule="auto"/>
        <w:rPr>
          <w:sz w:val="20"/>
          <w:szCs w:val="20"/>
          <w:color w:val="auto"/>
        </w:rPr>
      </w:pPr>
      <w:r>
        <w:rPr>
          <w:rFonts w:ascii="Arial" w:cs="Arial" w:eastAsia="Arial" w:hAnsi="Arial"/>
          <w:sz w:val="18"/>
          <w:szCs w:val="18"/>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203"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All outstanding shares are fully paid and non-assessable.</w:t>
      </w:r>
    </w:p>
    <w:p>
      <w:pPr>
        <w:spacing w:after="0" w:line="203" w:lineRule="exact"/>
        <w:rPr>
          <w:sz w:val="20"/>
          <w:szCs w:val="20"/>
          <w:color w:val="auto"/>
        </w:rPr>
      </w:pPr>
    </w:p>
    <w:p>
      <w:pPr>
        <w:ind w:left="200" w:right="140" w:firstLine="331"/>
        <w:spacing w:after="0" w:line="246" w:lineRule="auto"/>
        <w:rPr>
          <w:sz w:val="20"/>
          <w:szCs w:val="20"/>
          <w:color w:val="auto"/>
        </w:rPr>
      </w:pPr>
      <w:r>
        <w:rPr>
          <w:rFonts w:ascii="Arial" w:cs="Arial" w:eastAsia="Arial" w:hAnsi="Arial"/>
          <w:sz w:val="18"/>
          <w:szCs w:val="18"/>
          <w:color w:val="auto"/>
        </w:rPr>
        <w:t>When we issue shares of common stock under this prospectus, the shares will be fully paid and non-assessable and will not have, or be subject to, any preemptive or similar rights.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The purpose of authorizing our board of directors to issue preferred stock in one or more series and determine the number of shares in the series and its rights and preferences is to eliminate delays associated with a stockholder vote on specific issuances. In addition, the issuance of preferred stock could have the effect of delaying, deferring or preventing a change in control of our company or other corporate action. When we issue shares of preferred stock under this prospectus, the shares will be fully paid and non-assessable and will not be subject to any preemptive or similar rights.</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Options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March 31, 2019, there were outstanding options to purchase an aggregate of 2,986,048 shares of our common stock.</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85" w:lineRule="exact"/>
        <w:rPr>
          <w:sz w:val="20"/>
          <w:szCs w:val="20"/>
          <w:color w:val="auto"/>
        </w:rPr>
      </w:pPr>
    </w:p>
    <w:p>
      <w:pPr>
        <w:ind w:left="200" w:right="180" w:firstLine="331"/>
        <w:spacing w:after="0" w:line="237" w:lineRule="auto"/>
        <w:rPr>
          <w:sz w:val="20"/>
          <w:szCs w:val="20"/>
          <w:color w:val="auto"/>
        </w:rPr>
      </w:pPr>
      <w:r>
        <w:rPr>
          <w:rFonts w:ascii="Arial" w:cs="Arial" w:eastAsia="Arial" w:hAnsi="Arial"/>
          <w:sz w:val="18"/>
          <w:szCs w:val="18"/>
          <w:color w:val="auto"/>
        </w:rPr>
        <w:t>As of June 30, 2019, the holders of 4,756,478 shares of our common stock are entitled to rights with respect to the registration of these securities under the Securities Act. These rights are provided under the terms of an investors’ rights agreement between us and holders of our preferred stock, which was subsequently converted into common stock in connection with our initial public offering in June 2018, or our IPO. The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85"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The holders of 4,756,478 shares of our common stock are entitled to demand registration rights. Under the terms of the investors’ rights agreement, we will be required, upon the written request of holders of at least 50% of these securities that would result in an aggregate offering price of at least $10.0 million, to file a registration statement and use commercially reasonable efforts to effect the registration of all or a portion of these shares for public resale. We are required to effect only two registrations pursuant to this provision of the investors’ rights agreement.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Short-Form Registration Rights</w:t>
      </w:r>
    </w:p>
    <w:p>
      <w:pPr>
        <w:spacing w:after="0" w:line="99" w:lineRule="exact"/>
        <w:rPr>
          <w:sz w:val="20"/>
          <w:szCs w:val="20"/>
          <w:color w:val="auto"/>
        </w:rPr>
      </w:pPr>
    </w:p>
    <w:p>
      <w:pPr>
        <w:ind w:left="200" w:right="180" w:firstLine="331"/>
        <w:spacing w:after="0" w:line="238" w:lineRule="auto"/>
        <w:rPr>
          <w:sz w:val="20"/>
          <w:szCs w:val="20"/>
          <w:color w:val="auto"/>
        </w:rPr>
      </w:pPr>
      <w:r>
        <w:rPr>
          <w:rFonts w:ascii="Arial" w:cs="Arial" w:eastAsia="Arial" w:hAnsi="Arial"/>
          <w:sz w:val="18"/>
          <w:szCs w:val="18"/>
          <w:color w:val="auto"/>
        </w:rPr>
        <w:t>Pursuant to the investors’ rights agreement, if we are eligible to file a registration statement on Form S-3, upon the written request of holders of at least 25% of these securities at an aggregate offer price of at least $3.0 million, we will be required to use commercially reasonable efforts to effect a registration of such shares. We are required to effect only two registrations in any twelve month period pursuant to this provision of the investors’ rights agreement. The right to have such shares registered on Form S-3 is further subject to other specified conditions and limitations.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85"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Pursuant to the investors’ rights agreement, if we register any of our securities either for our own account or for the account of other security holders, the holders of these shares are entitled to include their shares in the registration. Subject to certain exceptions contained in the investors’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Indemnification</w:t>
      </w:r>
    </w:p>
    <w:p>
      <w:pPr>
        <w:spacing w:after="0" w:line="99" w:lineRule="exact"/>
        <w:rPr>
          <w:sz w:val="20"/>
          <w:szCs w:val="20"/>
          <w:color w:val="auto"/>
        </w:rPr>
      </w:pPr>
    </w:p>
    <w:p>
      <w:pPr>
        <w:ind w:left="200" w:right="280" w:firstLine="331"/>
        <w:spacing w:after="0"/>
        <w:rPr>
          <w:sz w:val="20"/>
          <w:szCs w:val="20"/>
          <w:color w:val="auto"/>
        </w:rPr>
      </w:pPr>
      <w:r>
        <w:rPr>
          <w:rFonts w:ascii="Arial" w:cs="Arial" w:eastAsia="Arial" w:hAnsi="Arial"/>
          <w:sz w:val="18"/>
          <w:szCs w:val="18"/>
          <w:color w:val="auto"/>
        </w:rPr>
        <w:t>Our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85" w:lineRule="exact"/>
        <w:rPr>
          <w:sz w:val="20"/>
          <w:szCs w:val="20"/>
          <w:color w:val="auto"/>
        </w:rPr>
      </w:pPr>
    </w:p>
    <w:p>
      <w:pPr>
        <w:jc w:val="both"/>
        <w:ind w:left="200" w:right="220" w:firstLine="331"/>
        <w:spacing w:after="0"/>
        <w:rPr>
          <w:sz w:val="20"/>
          <w:szCs w:val="20"/>
          <w:color w:val="auto"/>
        </w:rPr>
      </w:pPr>
      <w:r>
        <w:rPr>
          <w:rFonts w:ascii="Arial" w:cs="Arial" w:eastAsia="Arial" w:hAnsi="Arial"/>
          <w:sz w:val="18"/>
          <w:szCs w:val="18"/>
          <w:color w:val="auto"/>
        </w:rPr>
        <w:t>The demand registration rights and short form registration rights granted under the investors’ rights agreement will terminate on the earliest of (i) a deemed liquidation event, as defined in the investors’ rights agreement, (ii) the fifth anniversary of the completion of our IPO and (iii) when the holders’ shares may be sold without restriction pursuant to Rule 144 within a three month period.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our Certificate of Incorporation and Bylaws and Delaware Law</w:t>
      </w:r>
    </w:p>
    <w:p>
      <w:pPr>
        <w:spacing w:after="0" w:line="85"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Our amended and restated certificate of incorporation and amended and restated bylaws includes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Board Composition and Filling Vacancies</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Our amended and restated certificate of incorporation provides for the division of our board of directors into three classes serving staggered three-year terms, with one class being elected each year. Our amended and restated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 Written Consent of Stockholders</w:t>
      </w:r>
    </w:p>
    <w:p>
      <w:pPr>
        <w:spacing w:after="0" w:line="85" w:lineRule="exact"/>
        <w:rPr>
          <w:sz w:val="20"/>
          <w:szCs w:val="20"/>
          <w:color w:val="auto"/>
        </w:rPr>
      </w:pPr>
    </w:p>
    <w:p>
      <w:pPr>
        <w:jc w:val="both"/>
        <w:ind w:left="200" w:right="40" w:firstLine="331"/>
        <w:spacing w:after="0" w:line="239" w:lineRule="auto"/>
        <w:rPr>
          <w:sz w:val="20"/>
          <w:szCs w:val="20"/>
          <w:color w:val="auto"/>
        </w:rPr>
      </w:pPr>
      <w:r>
        <w:rPr>
          <w:rFonts w:ascii="Arial" w:cs="Arial" w:eastAsia="Arial" w:hAnsi="Arial"/>
          <w:sz w:val="18"/>
          <w:szCs w:val="18"/>
          <w:color w:val="auto"/>
        </w:rPr>
        <w:t>Our amended and restated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85"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limits the business that may be conducted at an annual meeting of stockholders to those matters properly brought before the meeting.</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Advance Notice Requirements</w:t>
      </w:r>
    </w:p>
    <w:p>
      <w:pPr>
        <w:spacing w:after="0" w:line="99"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Our amended and restated bylaws establishes advance notice procedures with regard to stockholder proposals relating to the nomination of candidates for election as directors or new business to be brought before meetings of our stockholders. These procedures provide that notice of</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0"/>
          </w:cols>
          <w:pgMar w:left="240" w:top="459"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Amendment to Certificate of Incorporation and Bylaws</w:t>
      </w:r>
    </w:p>
    <w:p>
      <w:pPr>
        <w:spacing w:after="0" w:line="99"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Any amendment of our amended and restated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bylaws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two-thirds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Our amended and restated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Choice of Forum</w:t>
      </w:r>
    </w:p>
    <w:p>
      <w:pPr>
        <w:spacing w:after="0" w:line="85" w:lineRule="exact"/>
        <w:rPr>
          <w:sz w:val="20"/>
          <w:szCs w:val="20"/>
          <w:color w:val="auto"/>
        </w:rPr>
      </w:pPr>
    </w:p>
    <w:p>
      <w:pPr>
        <w:ind w:left="200" w:right="160" w:firstLine="331"/>
        <w:spacing w:after="0" w:line="248" w:lineRule="auto"/>
        <w:rPr>
          <w:sz w:val="20"/>
          <w:szCs w:val="20"/>
          <w:color w:val="auto"/>
        </w:rPr>
      </w:pPr>
      <w:r>
        <w:rPr>
          <w:rFonts w:ascii="Arial" w:cs="Arial" w:eastAsia="Arial" w:hAnsi="Arial"/>
          <w:sz w:val="17"/>
          <w:szCs w:val="17"/>
          <w:color w:val="auto"/>
        </w:rPr>
        <w:t>Our amended and restated bylaws provides that, unless we consent in writing to the selection of an alternative forum, the Court of Chancery of the State of Delaware will be the sole and exclusive forum for: (1) any derivative action or proceeding brought on our behalf;</w:t>
      </w:r>
    </w:p>
    <w:p>
      <w:pPr>
        <w:spacing w:after="0" w:line="1" w:lineRule="exact"/>
        <w:rPr>
          <w:sz w:val="20"/>
          <w:szCs w:val="20"/>
          <w:color w:val="auto"/>
        </w:rPr>
      </w:pPr>
    </w:p>
    <w:p>
      <w:pPr>
        <w:ind w:left="200" w:right="20" w:firstLine="4"/>
        <w:spacing w:after="0" w:line="237" w:lineRule="auto"/>
        <w:tabs>
          <w:tab w:leader="none" w:pos="4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or our certificate of incorporation or bylaws; or (4) any action asserting a claim governed by the internal affairs doctrine. Our amended and restated bylaws also provide that any person or entity purchasing or otherwise acquiring any interest in shares of our capital stock will be deemed to have notice of and to have consented to this choice of forum provision.</w:t>
      </w:r>
    </w:p>
    <w:p>
      <w:pPr>
        <w:spacing w:after="0" w:line="205"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In addition, our amended and restated bylaws contains a provision by virtue of which unless we consent in writing to the selection of an alternative forum, the United States District Court for the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District of Massachusetts will be the exclusive forum for resolving any complaint asserting a cause of action arising under the Securities Act. If any action the subject matter of which is within the scope of the preceding sentence is filed in a court other than the United States District Court for the District of Massachusetts, the plaintiff or plaintiffs shall be deemed by this provision of our amended and restated bylaws (i) to have consented to removal of the action by us to the United States District Court for the District of Massachusetts, in the case of an action filed in a state court, and (ii) to have consented to transfer of the action to the United States District Court for the District of Massachusetts. We have chosen the United States Court for the District of Massachusetts as the exclusive forum for such causes of action because our principal executive offices are located in Cambridge, Massachusetts. Some companies that have adopted similar federal district court forum selection provisions are currently subject to a suit in the Court of Chancery of the State of Delaware by stockholders who assert that the federal district court forum selection provision is not enforceable. On December 19, 2018, the Court of Chancery of the State of Delaware issued a decision declaring that such federal forum selection provisions purporting to require claims under the Securities Act be brought in federal court are ineffective and invalid under Delaware law. On January 17, 2019, the decision was appealed to the Delaware Supreme Court. While the Delaware Supreme Court recently dismissed the appeal on jurisdictional grounds, we expect that the appeal will be re-filed after the Court of Chancery issues a final judgment. Unless and until the Court of Chancery’s decision is reversed by the Delaware Supreme Court or otherwise abrogated, we do not intend to enforce our federal forum selection provision designating the District of Massachusetts as the exclusive forum for Securities Act claims. In the event that the Delaware Supreme Court affirms the Court of Chancery’s decision or otherwise determines that federal forum selection provisions are invalid, the Company’s Board of Directors intends to amend promptly our amended and restated bylaws to remove our federal forum selection bylaw provision. As a result of the Court of Chancery’s decision or a decision by the Supreme Court of Delaware affirming the Court of Chancery’s decision, we may incur additional costs associated with our federal forum selection bylaw provision, which could have an adverse effect on our business, financial condition and results of operations.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Section 203 of the Delaware General Corporation Law</w:t>
      </w:r>
    </w:p>
    <w:p>
      <w:pPr>
        <w:spacing w:after="0" w:line="99"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230" w:lineRule="exact"/>
        <w:rPr>
          <w:sz w:val="20"/>
          <w:szCs w:val="20"/>
          <w:color w:val="auto"/>
        </w:rPr>
      </w:pPr>
    </w:p>
    <w:p>
      <w:pPr>
        <w:ind w:left="960" w:right="300" w:hanging="432"/>
        <w:spacing w:after="0" w:line="218"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27" w:lineRule="exact"/>
        <w:rPr>
          <w:rFonts w:ascii="MS PGothic" w:cs="MS PGothic" w:eastAsia="MS PGothic" w:hAnsi="MS PGothic"/>
          <w:sz w:val="25"/>
          <w:szCs w:val="25"/>
          <w:color w:val="auto"/>
          <w:vertAlign w:val="superscript"/>
        </w:rPr>
      </w:pPr>
    </w:p>
    <w:p>
      <w:pPr>
        <w:ind w:left="960" w:right="20" w:hanging="432"/>
        <w:spacing w:after="0" w:line="228"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26" w:lineRule="exact"/>
        <w:rPr>
          <w:rFonts w:ascii="MS PGothic" w:cs="MS PGothic" w:eastAsia="MS PGothic" w:hAnsi="MS PGothic"/>
          <w:sz w:val="25"/>
          <w:szCs w:val="25"/>
          <w:color w:val="auto"/>
          <w:vertAlign w:val="superscript"/>
        </w:rPr>
      </w:pPr>
    </w:p>
    <w:p>
      <w:pPr>
        <w:jc w:val="both"/>
        <w:ind w:left="960" w:right="320" w:hanging="432"/>
        <w:spacing w:after="0" w:line="223"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Section 203 defines a business combination to include:</w:t>
      </w:r>
    </w:p>
    <w:p>
      <w:pPr>
        <w:spacing w:after="0" w:line="203" w:lineRule="exact"/>
        <w:rPr>
          <w:sz w:val="20"/>
          <w:szCs w:val="20"/>
          <w:color w:val="auto"/>
        </w:rPr>
      </w:pPr>
    </w:p>
    <w:p>
      <w:pPr>
        <w:ind w:left="960" w:hanging="432"/>
        <w:spacing w:after="0"/>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merger or consolidation involving the corporation and the interested stockholder;</w:t>
      </w:r>
    </w:p>
    <w:p>
      <w:pPr>
        <w:spacing w:after="0" w:line="26" w:lineRule="exact"/>
        <w:rPr>
          <w:rFonts w:ascii="MS PGothic" w:cs="MS PGothic" w:eastAsia="MS PGothic" w:hAnsi="MS PGothic"/>
          <w:sz w:val="25"/>
          <w:szCs w:val="25"/>
          <w:color w:val="auto"/>
          <w:vertAlign w:val="superscript"/>
        </w:rPr>
      </w:pPr>
    </w:p>
    <w:p>
      <w:pPr>
        <w:ind w:left="960" w:right="380" w:hanging="432"/>
        <w:spacing w:after="0" w:line="218"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sale, transfer, lease, pledge or other disposition involving the interested stockholder of 10% or more of the assets of the corporation;</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27" w:lineRule="exact"/>
        <w:rPr>
          <w:rFonts w:ascii="MS PGothic" w:cs="MS PGothic" w:eastAsia="MS PGothic" w:hAnsi="MS PGothic"/>
          <w:sz w:val="25"/>
          <w:szCs w:val="25"/>
          <w:color w:val="auto"/>
          <w:vertAlign w:val="superscript"/>
        </w:rPr>
      </w:pPr>
    </w:p>
    <w:p>
      <w:pPr>
        <w:ind w:left="960" w:right="240" w:hanging="432"/>
        <w:spacing w:after="0" w:line="218"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27" w:lineRule="exact"/>
        <w:rPr>
          <w:rFonts w:ascii="MS PGothic" w:cs="MS PGothic" w:eastAsia="MS PGothic" w:hAnsi="MS PGothic"/>
          <w:sz w:val="25"/>
          <w:szCs w:val="25"/>
          <w:color w:val="auto"/>
          <w:vertAlign w:val="superscript"/>
        </w:rPr>
      </w:pPr>
    </w:p>
    <w:p>
      <w:pPr>
        <w:ind w:left="960" w:right="240" w:hanging="432"/>
        <w:spacing w:after="0" w:line="218"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203"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Nasdaq Global Select Market Listing</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common stock is listed on The Nasdaq Global Select Market under the trading symbol “AVRO.”</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85"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250 Royall Street, Canton, Massachusetts 02021, and its telephone number is (800) 962-4284.</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60"/>
          </w:cols>
          <w:pgMar w:left="240" w:top="459"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DEBT SECURITIES</w:t>
      </w:r>
    </w:p>
    <w:p>
      <w:pPr>
        <w:spacing w:after="0" w:line="342"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We may offer debt securities which may be senior or subordinated. We refer to senior debt securities and subordinated debt securities collectively as debt securities. Each series of debt securities may have different terms.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w:t>
      </w:r>
    </w:p>
    <w:p>
      <w:pPr>
        <w:spacing w:after="0" w:line="203" w:lineRule="exact"/>
        <w:rPr>
          <w:sz w:val="20"/>
          <w:szCs w:val="20"/>
          <w:color w:val="auto"/>
        </w:rPr>
      </w:pPr>
    </w:p>
    <w:p>
      <w:pPr>
        <w:ind w:left="200" w:right="160" w:firstLine="331"/>
        <w:spacing w:after="0" w:line="236" w:lineRule="auto"/>
        <w:rPr>
          <w:sz w:val="20"/>
          <w:szCs w:val="20"/>
          <w:color w:val="auto"/>
        </w:rPr>
      </w:pPr>
      <w:r>
        <w:rPr>
          <w:rFonts w:ascii="Arial" w:cs="Arial" w:eastAsia="Arial" w:hAnsi="Arial"/>
          <w:sz w:val="18"/>
          <w:szCs w:val="18"/>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indentures:</w:t>
      </w:r>
    </w:p>
    <w:p>
      <w:pPr>
        <w:spacing w:after="0" w:line="203" w:lineRule="exact"/>
        <w:rPr>
          <w:sz w:val="20"/>
          <w:szCs w:val="20"/>
          <w:color w:val="auto"/>
        </w:rPr>
      </w:pPr>
    </w:p>
    <w:p>
      <w:pPr>
        <w:ind w:left="960" w:hanging="432"/>
        <w:spacing w:after="0"/>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do not limit the amount of debt securities that we may issue;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allow us to issue debt securities in one or more series;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do not require us to issue all of the debt securities of a series at the same time; and</w:t>
      </w:r>
    </w:p>
    <w:p>
      <w:pPr>
        <w:spacing w:after="0" w:line="26" w:lineRule="exact"/>
        <w:rPr>
          <w:rFonts w:ascii="MS PGothic" w:cs="MS PGothic" w:eastAsia="MS PGothic" w:hAnsi="MS PGothic"/>
          <w:sz w:val="25"/>
          <w:szCs w:val="25"/>
          <w:color w:val="auto"/>
          <w:vertAlign w:val="superscript"/>
        </w:rPr>
      </w:pPr>
    </w:p>
    <w:p>
      <w:pPr>
        <w:ind w:left="960" w:right="340" w:hanging="432"/>
        <w:spacing w:after="0" w:line="218"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allow us to reopen a series to issue additional debt securities without the consent of the holders of the debt securities of such series.</w:t>
      </w:r>
    </w:p>
    <w:p>
      <w:pPr>
        <w:spacing w:after="0" w:line="203"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20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203" w:lineRule="exact"/>
        <w:rPr>
          <w:sz w:val="20"/>
          <w:szCs w:val="20"/>
          <w:color w:val="auto"/>
        </w:rPr>
      </w:pPr>
    </w:p>
    <w:p>
      <w:pPr>
        <w:ind w:left="960" w:hanging="432"/>
        <w:spacing w:after="0"/>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title of the debt securities and whether they are senior or subordinated;</w:t>
      </w:r>
    </w:p>
    <w:p>
      <w:pPr>
        <w:spacing w:after="0" w:line="26" w:lineRule="exact"/>
        <w:rPr>
          <w:rFonts w:ascii="MS PGothic" w:cs="MS PGothic" w:eastAsia="MS PGothic" w:hAnsi="MS PGothic"/>
          <w:sz w:val="25"/>
          <w:szCs w:val="25"/>
          <w:color w:val="auto"/>
          <w:vertAlign w:val="superscript"/>
        </w:rPr>
      </w:pPr>
    </w:p>
    <w:p>
      <w:pPr>
        <w:ind w:left="960" w:right="340" w:hanging="432"/>
        <w:spacing w:after="0" w:line="223"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28" w:lineRule="exact"/>
        <w:rPr>
          <w:rFonts w:ascii="MS PGothic" w:cs="MS PGothic" w:eastAsia="MS PGothic" w:hAnsi="MS PGothic"/>
          <w:sz w:val="25"/>
          <w:szCs w:val="25"/>
          <w:color w:val="auto"/>
          <w:vertAlign w:val="superscript"/>
        </w:rPr>
      </w:pPr>
    </w:p>
    <w:p>
      <w:pPr>
        <w:ind w:left="960" w:right="80" w:hanging="432"/>
        <w:spacing w:after="0" w:line="226"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w:t>
      </w:r>
    </w:p>
    <w:p>
      <w:pPr>
        <w:spacing w:after="0" w:line="27" w:lineRule="exact"/>
        <w:rPr>
          <w:rFonts w:ascii="MS PGothic" w:cs="MS PGothic" w:eastAsia="MS PGothic" w:hAnsi="MS PGothic"/>
          <w:sz w:val="25"/>
          <w:szCs w:val="25"/>
          <w:color w:val="auto"/>
          <w:vertAlign w:val="superscript"/>
        </w:rPr>
      </w:pPr>
    </w:p>
    <w:p>
      <w:pPr>
        <w:ind w:left="960" w:right="180" w:hanging="432"/>
        <w:spacing w:after="0" w:line="223"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convertible, the terms on which such debt securities are convertible, including the initial conversion price or rate and the conversion period and any applicable limitations on the ownership or transferability of common stock or other securities of ours received on conversion;</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date or dates, or the method for determining the date or dates, on which the principal of the debt securities will be payable;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fixed or variable interest rate or rates of the debt securities, or the method by which the interest rate or rates is determined;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date or dates, or the method for determining the date or dates, from which interest will accrue;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dates on which interest will be payable;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record dates for interest payment dates, or the method by which such dates will be determined;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persons to whom interest will be payable;</w:t>
      </w:r>
    </w:p>
    <w:p>
      <w:pPr>
        <w:spacing w:after="0" w:line="26"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place or places where the principal of, and any premium or make-whole amount, and interest on, the debt securities will be payable;</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debt securities may be surrendered for registration of transfer or conversion or exchange;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times, prices and other terms and conditions upon which we may redeem the debt securities;</w:t>
      </w:r>
    </w:p>
    <w:p>
      <w:pPr>
        <w:spacing w:after="0" w:line="26" w:lineRule="exact"/>
        <w:rPr>
          <w:rFonts w:ascii="MS PGothic" w:cs="MS PGothic" w:eastAsia="MS PGothic" w:hAnsi="MS PGothic"/>
          <w:sz w:val="25"/>
          <w:szCs w:val="25"/>
          <w:color w:val="auto"/>
          <w:vertAlign w:val="superscript"/>
        </w:rPr>
      </w:pPr>
    </w:p>
    <w:p>
      <w:pPr>
        <w:ind w:left="960" w:right="160" w:hanging="432"/>
        <w:spacing w:after="0" w:line="223"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obligation we have to redeem, repay or repurchase the debt securities pursuant to any sinking fund or analogous provision or at the option of holders of the debt securities, and the times and prices at which we must redeem, repay or repurchase the debt securities as a result of such obligation;</w:t>
      </w:r>
    </w:p>
    <w:p>
      <w:pPr>
        <w:spacing w:after="0" w:line="28" w:lineRule="exact"/>
        <w:rPr>
          <w:rFonts w:ascii="MS PGothic" w:cs="MS PGothic" w:eastAsia="MS PGothic" w:hAnsi="MS PGothic"/>
          <w:sz w:val="25"/>
          <w:szCs w:val="25"/>
          <w:color w:val="auto"/>
          <w:vertAlign w:val="superscript"/>
        </w:rPr>
      </w:pPr>
    </w:p>
    <w:p>
      <w:pPr>
        <w:jc w:val="both"/>
        <w:ind w:left="960" w:right="240" w:hanging="432"/>
        <w:spacing w:after="0" w:line="223"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28" w:lineRule="exact"/>
        <w:rPr>
          <w:rFonts w:ascii="MS PGothic" w:cs="MS PGothic" w:eastAsia="MS PGothic" w:hAnsi="MS PGothic"/>
          <w:sz w:val="25"/>
          <w:szCs w:val="25"/>
          <w:color w:val="auto"/>
          <w:vertAlign w:val="superscript"/>
        </w:rPr>
      </w:pPr>
    </w:p>
    <w:p>
      <w:pPr>
        <w:ind w:left="960" w:right="160" w:hanging="432"/>
        <w:spacing w:after="0" w:line="223"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28" w:lineRule="exact"/>
        <w:rPr>
          <w:rFonts w:ascii="MS PGothic" w:cs="MS PGothic" w:eastAsia="MS PGothic" w:hAnsi="MS PGothic"/>
          <w:sz w:val="25"/>
          <w:szCs w:val="25"/>
          <w:color w:val="auto"/>
          <w:vertAlign w:val="superscript"/>
        </w:rPr>
      </w:pPr>
    </w:p>
    <w:p>
      <w:pPr>
        <w:ind w:left="960" w:hanging="432"/>
        <w:spacing w:after="0" w:line="226"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 (ii) if in bearer form, the manner in which, or the person to whom, any interest on the security shall be payable if otherwise than upon presentation and surrender upon maturity;</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40" w:hanging="432"/>
        <w:spacing w:after="0" w:line="223" w:lineRule="auto"/>
        <w:tabs>
          <w:tab w:leader="none" w:pos="9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28" w:lineRule="exact"/>
        <w:rPr>
          <w:rFonts w:ascii="MS PGothic" w:cs="MS PGothic" w:eastAsia="MS PGothic" w:hAnsi="MS PGothic"/>
          <w:sz w:val="25"/>
          <w:szCs w:val="25"/>
          <w:color w:val="auto"/>
          <w:vertAlign w:val="superscript"/>
        </w:rPr>
      </w:pPr>
    </w:p>
    <w:p>
      <w:pPr>
        <w:ind w:left="960" w:hanging="432"/>
        <w:spacing w:after="0" w:line="226" w:lineRule="auto"/>
        <w:tabs>
          <w:tab w:leader="none" w:pos="9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identity of the depositary for securities in registered form, if such series are to be issuable as a global security;</w:t>
      </w:r>
    </w:p>
    <w:p>
      <w:pPr>
        <w:spacing w:after="0" w:line="26"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applicability, if any, of the defeasance and covenant defeasance provisions described in this prospectus or in the applicable indenture;</w:t>
      </w:r>
    </w:p>
    <w:p>
      <w:pPr>
        <w:spacing w:after="0" w:line="27" w:lineRule="exact"/>
        <w:rPr>
          <w:rFonts w:ascii="MS PGothic" w:cs="MS PGothic" w:eastAsia="MS PGothic" w:hAnsi="MS PGothic"/>
          <w:sz w:val="25"/>
          <w:szCs w:val="25"/>
          <w:color w:val="auto"/>
          <w:vertAlign w:val="superscript"/>
        </w:rPr>
      </w:pPr>
    </w:p>
    <w:p>
      <w:pPr>
        <w:ind w:left="960" w:right="840" w:hanging="432"/>
        <w:spacing w:after="0" w:line="218" w:lineRule="auto"/>
        <w:tabs>
          <w:tab w:leader="none" w:pos="9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whether and under what circumstances we will pay any additional amounts on the debt securities in respect of any tax, assessment or governmental charge;</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whether and under what circumstances the debt securities being offered are convertible into common stock or other securities of ours, as the case may be, including the conversion price or rate and the manner or calculation thereof;</w:t>
      </w:r>
    </w:p>
    <w:p>
      <w:pPr>
        <w:spacing w:after="0" w:line="27" w:lineRule="exact"/>
        <w:rPr>
          <w:rFonts w:ascii="MS PGothic" w:cs="MS PGothic" w:eastAsia="MS PGothic" w:hAnsi="MS PGothic"/>
          <w:sz w:val="25"/>
          <w:szCs w:val="25"/>
          <w:color w:val="auto"/>
          <w:vertAlign w:val="superscript"/>
        </w:rPr>
      </w:pPr>
    </w:p>
    <w:p>
      <w:pPr>
        <w:ind w:left="960" w:right="100" w:hanging="432"/>
        <w:spacing w:after="0" w:line="218" w:lineRule="auto"/>
        <w:tabs>
          <w:tab w:leader="none" w:pos="9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name of the applicable trustee and the nature of any material relationship with us or any of our affiliates, and the percentage of debt securities of the class necessary to require the trustee to take action;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other terms of such debt securities not inconsistent with the provisions of the applicable indenture.</w:t>
      </w:r>
    </w:p>
    <w:p>
      <w:pPr>
        <w:spacing w:after="0" w:line="202" w:lineRule="exact"/>
        <w:rPr>
          <w:sz w:val="20"/>
          <w:szCs w:val="20"/>
          <w:color w:val="auto"/>
        </w:rPr>
      </w:pPr>
    </w:p>
    <w:p>
      <w:pPr>
        <w:ind w:left="200" w:right="300" w:firstLine="331"/>
        <w:spacing w:after="0" w:line="239" w:lineRule="auto"/>
        <w:rPr>
          <w:sz w:val="20"/>
          <w:szCs w:val="20"/>
          <w:color w:val="auto"/>
        </w:rPr>
      </w:pPr>
      <w:r>
        <w:rPr>
          <w:rFonts w:ascii="Arial" w:cs="Arial" w:eastAsia="Arial" w:hAnsi="Arial"/>
          <w:sz w:val="18"/>
          <w:szCs w:val="18"/>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202"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Except as described under “—Merger, Consolidation or Sale of Assets”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203"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202"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w:t>
      </w:r>
    </w:p>
    <w:p>
      <w:pPr>
        <w:spacing w:after="0" w:line="99"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Unless otherwise provided in the applicable prospectus supplement, the principal of, and any premium or make-whole amount, and interest on, any series of the debt securities will be payable by mailing a check to the address of the person entitled to it as it appears in the applicable register for the debt securities or by wire transfer of funds to that person at an account maintained within the United States.</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Denomination, Interest, Registration and Transfer</w:t>
      </w:r>
    </w:p>
    <w:p>
      <w:pPr>
        <w:spacing w:after="0" w:line="85"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Unless otherwise provided in the applicable prospectus supplement, the debt securities of any series will be issuable in denominations of $1,000 and integral multiples of $1,000.</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Interest on the debt securities shall be computed on the basis of a 360-day year composed of twelve 30-day months.</w:t>
      </w:r>
    </w:p>
    <w:p>
      <w:pPr>
        <w:spacing w:after="0" w:line="212" w:lineRule="exact"/>
        <w:rPr>
          <w:sz w:val="20"/>
          <w:szCs w:val="20"/>
          <w:color w:val="auto"/>
        </w:rPr>
      </w:pPr>
    </w:p>
    <w:p>
      <w:pPr>
        <w:ind w:left="200" w:right="460" w:firstLine="331"/>
        <w:spacing w:after="0" w:line="246" w:lineRule="auto"/>
        <w:rPr>
          <w:sz w:val="20"/>
          <w:szCs w:val="20"/>
          <w:color w:val="auto"/>
        </w:rPr>
      </w:pPr>
      <w:r>
        <w:rPr>
          <w:rFonts w:ascii="Arial" w:cs="Arial" w:eastAsia="Arial" w:hAnsi="Arial"/>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224" w:lineRule="exact"/>
        <w:rPr>
          <w:sz w:val="20"/>
          <w:szCs w:val="20"/>
          <w:color w:val="auto"/>
        </w:rPr>
      </w:pPr>
    </w:p>
    <w:p>
      <w:pPr>
        <w:ind w:left="960" w:right="280" w:hanging="432"/>
        <w:spacing w:after="0" w:line="223" w:lineRule="auto"/>
        <w:tabs>
          <w:tab w:leader="none" w:pos="9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28"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203" w:lineRule="exact"/>
        <w:rPr>
          <w:sz w:val="20"/>
          <w:szCs w:val="20"/>
          <w:color w:val="auto"/>
        </w:rPr>
      </w:pPr>
    </w:p>
    <w:p>
      <w:pPr>
        <w:ind w:left="200" w:right="220" w:firstLine="331"/>
        <w:spacing w:after="0" w:line="239" w:lineRule="auto"/>
        <w:rPr>
          <w:sz w:val="20"/>
          <w:szCs w:val="20"/>
          <w:color w:val="auto"/>
        </w:rPr>
      </w:pPr>
      <w:r>
        <w:rPr>
          <w:rFonts w:ascii="Arial" w:cs="Arial" w:eastAsia="Arial" w:hAnsi="Arial"/>
          <w:sz w:val="18"/>
          <w:szCs w:val="18"/>
          <w:color w:val="auto"/>
        </w:rPr>
        <w:t>Every debt security surrendered for registration of transfer or exchange must be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We may at any time designate additional transfer agents for any series of debt securities.</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Neither we, nor any trustee, will be required to:</w:t>
      </w:r>
    </w:p>
    <w:p>
      <w:pPr>
        <w:spacing w:after="0" w:line="188" w:lineRule="exact"/>
        <w:rPr>
          <w:sz w:val="20"/>
          <w:szCs w:val="20"/>
          <w:color w:val="auto"/>
        </w:rPr>
      </w:pPr>
    </w:p>
    <w:p>
      <w:pPr>
        <w:ind w:left="960" w:hanging="432"/>
        <w:spacing w:after="0"/>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issue, register the transfer of or exchange debt securities of any series during a period beginning at the opening of business</w:t>
      </w:r>
    </w:p>
    <w:p>
      <w:pPr>
        <w:ind w:left="960" w:right="220"/>
        <w:spacing w:after="0" w:line="244"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15 days before the day that the notice of redemption of any debt securities selected for redemption is mailed and ending at the close of business on the day of such mailing;</w:t>
      </w:r>
    </w:p>
    <w:p>
      <w:pPr>
        <w:spacing w:after="0" w:line="24" w:lineRule="exact"/>
        <w:rPr>
          <w:rFonts w:ascii="MS PGothic" w:cs="MS PGothic" w:eastAsia="MS PGothic" w:hAnsi="MS PGothic"/>
          <w:sz w:val="25"/>
          <w:szCs w:val="25"/>
          <w:color w:val="auto"/>
          <w:vertAlign w:val="superscript"/>
        </w:rPr>
      </w:pPr>
    </w:p>
    <w:p>
      <w:pPr>
        <w:ind w:left="960" w:right="220" w:hanging="432"/>
        <w:spacing w:after="0" w:line="218"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27" w:lineRule="exact"/>
        <w:rPr>
          <w:rFonts w:ascii="MS PGothic" w:cs="MS PGothic" w:eastAsia="MS PGothic" w:hAnsi="MS PGothic"/>
          <w:sz w:val="25"/>
          <w:szCs w:val="25"/>
          <w:color w:val="auto"/>
          <w:vertAlign w:val="superscript"/>
        </w:rPr>
      </w:pPr>
    </w:p>
    <w:p>
      <w:pPr>
        <w:ind w:left="960" w:right="80" w:hanging="432"/>
        <w:spacing w:after="0" w:line="218"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99"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224" w:lineRule="exact"/>
        <w:rPr>
          <w:sz w:val="20"/>
          <w:szCs w:val="20"/>
          <w:color w:val="auto"/>
        </w:rPr>
      </w:pPr>
    </w:p>
    <w:p>
      <w:pPr>
        <w:ind w:left="960" w:right="60" w:hanging="432"/>
        <w:spacing w:after="0" w:line="223"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the applicable indenture;</w:t>
      </w:r>
    </w:p>
    <w:p>
      <w:pPr>
        <w:spacing w:after="0" w:line="28" w:lineRule="exact"/>
        <w:rPr>
          <w:rFonts w:ascii="MS PGothic" w:cs="MS PGothic" w:eastAsia="MS PGothic" w:hAnsi="MS PGothic"/>
          <w:sz w:val="25"/>
          <w:szCs w:val="25"/>
          <w:color w:val="auto"/>
          <w:vertAlign w:val="superscript"/>
        </w:rPr>
      </w:pPr>
    </w:p>
    <w:p>
      <w:pPr>
        <w:ind w:left="960" w:right="80" w:hanging="432"/>
        <w:spacing w:after="0" w:line="218"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after giving effect to the transaction, there is no event of default under the applicable indentures and no event which, after notice or the lapse of time, or both, would become such an event of default, occurs and continues;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officers’ certificate and legal opinion covering such conditions are delivered to each applicable trustee.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 Notice and Waiver</w:t>
      </w:r>
    </w:p>
    <w:p>
      <w:pPr>
        <w:spacing w:after="0" w:line="85"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224" w:lineRule="exact"/>
        <w:rPr>
          <w:sz w:val="20"/>
          <w:szCs w:val="20"/>
          <w:color w:val="auto"/>
        </w:rPr>
      </w:pPr>
    </w:p>
    <w:p>
      <w:pPr>
        <w:ind w:left="960" w:right="160" w:hanging="432"/>
        <w:spacing w:after="0" w:line="218" w:lineRule="auto"/>
        <w:tabs>
          <w:tab w:leader="none" w:pos="9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default in the payment of any installment of interest on any debt security of such series continuing for 90 days unless such date has been extended or deferred;</w:t>
      </w:r>
    </w:p>
    <w:p>
      <w:pPr>
        <w:spacing w:after="0" w:line="27" w:lineRule="exact"/>
        <w:rPr>
          <w:rFonts w:ascii="MS PGothic" w:cs="MS PGothic" w:eastAsia="MS PGothic" w:hAnsi="MS PGothic"/>
          <w:sz w:val="25"/>
          <w:szCs w:val="25"/>
          <w:color w:val="auto"/>
          <w:vertAlign w:val="superscript"/>
        </w:rPr>
      </w:pPr>
    </w:p>
    <w:p>
      <w:pPr>
        <w:ind w:left="960" w:right="80" w:hanging="432"/>
        <w:spacing w:after="0" w:line="218" w:lineRule="auto"/>
        <w:tabs>
          <w:tab w:leader="none" w:pos="9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default in the payment of principal of, or any premium or make-whole amount on, any debt security of such series when due and payable unless such date has been extended or deferred;</w:t>
      </w:r>
    </w:p>
    <w:p>
      <w:pPr>
        <w:spacing w:after="0" w:line="27" w:lineRule="exact"/>
        <w:rPr>
          <w:rFonts w:ascii="MS PGothic" w:cs="MS PGothic" w:eastAsia="MS PGothic" w:hAnsi="MS PGothic"/>
          <w:sz w:val="25"/>
          <w:szCs w:val="25"/>
          <w:color w:val="auto"/>
          <w:vertAlign w:val="superscript"/>
        </w:rPr>
      </w:pPr>
    </w:p>
    <w:p>
      <w:pPr>
        <w:ind w:left="960" w:right="280" w:hanging="432"/>
        <w:spacing w:after="0" w:line="218" w:lineRule="auto"/>
        <w:tabs>
          <w:tab w:leader="none" w:pos="9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default in the performance or breach of any covenant or warranty in the debt securities or in the indenture by us continuing for 90 days after written notice described below;</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bankruptcy, insolvency or reorganization, or court appointment of a receiver, liquidator or trustee of us;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other event of default provided with respect to a particular series of debt securities.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235" w:lineRule="exact"/>
        <w:rPr>
          <w:sz w:val="20"/>
          <w:szCs w:val="20"/>
          <w:color w:val="auto"/>
        </w:rPr>
      </w:pPr>
    </w:p>
    <w:p>
      <w:pPr>
        <w:ind w:left="960" w:right="560" w:hanging="432"/>
        <w:spacing w:after="0" w:line="223" w:lineRule="auto"/>
        <w:tabs>
          <w:tab w:leader="none" w:pos="9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28" w:lineRule="exact"/>
        <w:rPr>
          <w:rFonts w:ascii="MS PGothic" w:cs="MS PGothic" w:eastAsia="MS PGothic" w:hAnsi="MS PGothic"/>
          <w:sz w:val="25"/>
          <w:szCs w:val="25"/>
          <w:color w:val="auto"/>
          <w:vertAlign w:val="superscript"/>
        </w:rPr>
      </w:pPr>
    </w:p>
    <w:p>
      <w:pPr>
        <w:ind w:left="960" w:right="420" w:hanging="432"/>
        <w:spacing w:after="0" w:line="218" w:lineRule="auto"/>
        <w:tabs>
          <w:tab w:leader="none" w:pos="9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203" w:lineRule="exact"/>
        <w:rPr>
          <w:sz w:val="20"/>
          <w:szCs w:val="20"/>
          <w:color w:val="auto"/>
        </w:rPr>
      </w:pPr>
    </w:p>
    <w:p>
      <w:pPr>
        <w:ind w:left="200" w:right="140" w:firstLine="331"/>
        <w:spacing w:after="0" w:line="246" w:lineRule="auto"/>
        <w:rPr>
          <w:sz w:val="20"/>
          <w:szCs w:val="20"/>
          <w:color w:val="auto"/>
        </w:rPr>
      </w:pPr>
      <w:r>
        <w:rPr>
          <w:rFonts w:ascii="Arial" w:cs="Arial" w:eastAsia="Arial" w:hAnsi="Arial"/>
          <w:sz w:val="18"/>
          <w:szCs w:val="18"/>
          <w:color w:val="auto"/>
        </w:rPr>
        <w:t>The indentures require each trustee to give notice to the holders of debt securities within the later of 90 days after an event of default and 30 days after the event of default is actually known to a</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60"/>
        <w:spacing w:after="0" w:line="246" w:lineRule="auto"/>
        <w:rPr>
          <w:sz w:val="20"/>
          <w:szCs w:val="20"/>
          <w:color w:val="auto"/>
        </w:rPr>
      </w:pPr>
      <w:r>
        <w:rPr>
          <w:rFonts w:ascii="Arial" w:cs="Arial" w:eastAsia="Arial" w:hAnsi="Arial"/>
          <w:sz w:val="18"/>
          <w:szCs w:val="18"/>
          <w:color w:val="auto"/>
        </w:rPr>
        <w:t>responsible officer of such trustee, unless such default has been cured or waived. However, the trustee may withhold notice if specified persons of such trustee consider such withholding to be in the interest of the holders of debt securities.</w:t>
      </w:r>
    </w:p>
    <w:p>
      <w:pPr>
        <w:spacing w:after="0" w:line="19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indentures provide that holders of debt securities of any series may not institute any proceedings, judicial or otherwise, with respect to such indenture or for any remedy under the indenture, unless the trustee fails to act for a period of 90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205"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196" w:lineRule="exact"/>
        <w:rPr>
          <w:sz w:val="20"/>
          <w:szCs w:val="20"/>
          <w:color w:val="auto"/>
        </w:rPr>
      </w:pPr>
    </w:p>
    <w:p>
      <w:pPr>
        <w:ind w:left="960" w:hanging="432"/>
        <w:spacing w:after="0"/>
        <w:tabs>
          <w:tab w:leader="none" w:pos="96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is in conflict with any law or the applicable indenture;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may involve the trustee in personal liability;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may be unduly prejudicial to the holders of debt securities of the series not joining the proceeding.</w:t>
      </w:r>
    </w:p>
    <w:p>
      <w:pPr>
        <w:spacing w:after="0" w:line="203"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of the Indentures</w:t>
      </w:r>
    </w:p>
    <w:p>
      <w:pPr>
        <w:spacing w:after="0" w:line="99"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indentures provide that modifications and amendments may be made only with the consent of the affected holders of a majority in principal amount of all outstanding debt securities issued under that indenture:</w:t>
      </w:r>
    </w:p>
    <w:p>
      <w:pPr>
        <w:spacing w:after="0" w:line="197"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188" w:lineRule="exact"/>
        <w:rPr>
          <w:sz w:val="20"/>
          <w:szCs w:val="20"/>
          <w:color w:val="auto"/>
        </w:rPr>
      </w:pPr>
    </w:p>
    <w:p>
      <w:pPr>
        <w:ind w:left="960" w:hanging="432"/>
        <w:spacing w:after="0"/>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evidence the succession of another person to us as obligor under such indenture;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provide for uncertificated debt securities in addition to or in place of certificated debt securities;</w:t>
      </w:r>
    </w:p>
    <w:p>
      <w:pPr>
        <w:spacing w:after="0" w:line="26" w:lineRule="exact"/>
        <w:rPr>
          <w:rFonts w:ascii="MS PGothic" w:cs="MS PGothic" w:eastAsia="MS PGothic" w:hAnsi="MS PGothic"/>
          <w:sz w:val="25"/>
          <w:szCs w:val="25"/>
          <w:color w:val="auto"/>
          <w:vertAlign w:val="superscript"/>
        </w:rPr>
      </w:pPr>
    </w:p>
    <w:p>
      <w:pPr>
        <w:ind w:left="960" w:right="400" w:hanging="432"/>
        <w:spacing w:after="0" w:line="218" w:lineRule="auto"/>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add events of default for the benefit of the holders of all or any series of debt securities;</w:t>
      </w:r>
    </w:p>
    <w:p>
      <w:pPr>
        <w:spacing w:after="0" w:line="26" w:lineRule="exact"/>
        <w:rPr>
          <w:rFonts w:ascii="MS PGothic" w:cs="MS PGothic" w:eastAsia="MS PGothic" w:hAnsi="MS PGothic"/>
          <w:sz w:val="25"/>
          <w:szCs w:val="25"/>
          <w:color w:val="auto"/>
          <w:vertAlign w:val="superscript"/>
        </w:rPr>
      </w:pPr>
    </w:p>
    <w:p>
      <w:pPr>
        <w:ind w:left="960" w:right="460" w:hanging="432"/>
        <w:spacing w:after="0" w:line="218" w:lineRule="auto"/>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make any change that does not adversely affect the rights of any securityholder in any material respect;</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establish the form or terms of debt securities of any series;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24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700" w:hanging="432"/>
        <w:spacing w:after="0" w:line="218" w:lineRule="auto"/>
        <w:tabs>
          <w:tab w:leader="none" w:pos="9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 or</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cure any ambiguity, defect or inconsistency in an indenture, provided that such action shall not adversely affect the interests of holders of debt securities of any series issued under such indenture.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w:t>
      </w:r>
    </w:p>
    <w:p>
      <w:pPr>
        <w:spacing w:after="0" w:line="99" w:lineRule="exact"/>
        <w:rPr>
          <w:sz w:val="20"/>
          <w:szCs w:val="20"/>
          <w:color w:val="auto"/>
        </w:rPr>
      </w:pPr>
    </w:p>
    <w:p>
      <w:pPr>
        <w:ind w:left="200" w:right="280" w:firstLine="331"/>
        <w:spacing w:after="0" w:line="238" w:lineRule="auto"/>
        <w:rPr>
          <w:sz w:val="20"/>
          <w:szCs w:val="20"/>
          <w:color w:val="auto"/>
        </w:rPr>
      </w:pPr>
      <w:r>
        <w:rPr>
          <w:rFonts w:ascii="Arial" w:cs="Arial" w:eastAsia="Arial" w:hAnsi="Arial"/>
          <w:sz w:val="18"/>
          <w:szCs w:val="18"/>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 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Subordination</w:t>
      </w:r>
    </w:p>
    <w:p>
      <w:pPr>
        <w:spacing w:after="0" w:line="85" w:lineRule="exact"/>
        <w:rPr>
          <w:sz w:val="20"/>
          <w:szCs w:val="20"/>
          <w:color w:val="auto"/>
        </w:rPr>
      </w:pPr>
    </w:p>
    <w:p>
      <w:pPr>
        <w:ind w:left="200" w:right="540" w:firstLine="331"/>
        <w:spacing w:after="0" w:line="246" w:lineRule="auto"/>
        <w:rPr>
          <w:sz w:val="20"/>
          <w:szCs w:val="20"/>
          <w:color w:val="auto"/>
        </w:rPr>
      </w:pPr>
      <w:r>
        <w:rPr>
          <w:rFonts w:ascii="Arial" w:cs="Arial" w:eastAsia="Arial" w:hAnsi="Arial"/>
          <w:sz w:val="18"/>
          <w:szCs w:val="18"/>
          <w:color w:val="auto"/>
        </w:rPr>
        <w:t>Unless otherwise provided in the applicable prospectus supplement, subordinated debt securities will be subject to the following subordination provisions.</w:t>
      </w:r>
    </w:p>
    <w:p>
      <w:pPr>
        <w:spacing w:after="0" w:line="19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As a result of these subordination provisions, in the event of a distribution of assets upon insolvency, holders of subordinated debt securities may recover less, ratably, than our general creditors.</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 restrictions will be included in any indenture relating to subordinated debt securities upon the creation of additional senior debt.</w:t>
      </w:r>
    </w:p>
    <w:p>
      <w:pPr>
        <w:spacing w:after="0" w:line="212"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85"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Unless otherwise provided in the applicable prospectus supplement, the indentures allow us to discharge our obligations to holders of any series of debt securities issued under any indenture when:</w:t>
      </w:r>
    </w:p>
    <w:p>
      <w:pPr>
        <w:spacing w:after="0" w:line="224" w:lineRule="exact"/>
        <w:rPr>
          <w:sz w:val="20"/>
          <w:szCs w:val="20"/>
          <w:color w:val="auto"/>
        </w:rPr>
      </w:pPr>
    </w:p>
    <w:p>
      <w:pPr>
        <w:ind w:left="960" w:right="120" w:hanging="432"/>
        <w:spacing w:after="0" w:line="211"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w:t>
      </w:r>
    </w:p>
    <w:p>
      <w:pPr>
        <w:ind w:left="960" w:right="100"/>
        <w:spacing w:after="0"/>
        <w:tabs>
          <w:tab w:leader="none" w:pos="123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40"/>
        <w:spacing w:after="0"/>
        <w:rPr>
          <w:sz w:val="20"/>
          <w:szCs w:val="20"/>
          <w:color w:val="auto"/>
        </w:rPr>
      </w:pPr>
      <w:r>
        <w:rPr>
          <w:rFonts w:ascii="Arial" w:cs="Arial" w:eastAsia="Arial" w:hAnsi="Arial"/>
          <w:sz w:val="18"/>
          <w:szCs w:val="18"/>
          <w:color w:val="auto"/>
        </w:rPr>
        <w:t>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ind w:left="960" w:hanging="432"/>
        <w:spacing w:after="0" w:line="231"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have paid or caused to be paid all other sums payable; and</w:t>
      </w:r>
    </w:p>
    <w:p>
      <w:pPr>
        <w:spacing w:after="0" w:line="26" w:lineRule="exact"/>
        <w:rPr>
          <w:rFonts w:ascii="MS PGothic" w:cs="MS PGothic" w:eastAsia="MS PGothic" w:hAnsi="MS PGothic"/>
          <w:sz w:val="25"/>
          <w:szCs w:val="25"/>
          <w:color w:val="auto"/>
          <w:vertAlign w:val="superscript"/>
        </w:rPr>
      </w:pPr>
    </w:p>
    <w:p>
      <w:pPr>
        <w:ind w:left="960" w:right="100" w:hanging="432"/>
        <w:spacing w:after="0" w:line="218"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officers’ certificate and an opinion of counsel stating the conditions to discharging the debt securities have been satisfied has been delivered to the trustee.</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Unless otherwise provided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shall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207" w:lineRule="exact"/>
        <w:rPr>
          <w:sz w:val="20"/>
          <w:szCs w:val="20"/>
          <w:color w:val="auto"/>
        </w:rPr>
      </w:pPr>
    </w:p>
    <w:p>
      <w:pPr>
        <w:ind w:left="200" w:right="180" w:firstLine="331"/>
        <w:spacing w:after="0" w:line="239" w:lineRule="auto"/>
        <w:rPr>
          <w:sz w:val="20"/>
          <w:szCs w:val="20"/>
          <w:color w:val="auto"/>
        </w:rPr>
      </w:pPr>
      <w:r>
        <w:rPr>
          <w:rFonts w:ascii="Arial" w:cs="Arial" w:eastAsia="Arial" w:hAnsi="Arial"/>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202" w:lineRule="exact"/>
        <w:rPr>
          <w:sz w:val="20"/>
          <w:szCs w:val="20"/>
          <w:color w:val="auto"/>
        </w:rPr>
      </w:pPr>
    </w:p>
    <w:p>
      <w:pPr>
        <w:ind w:left="200" w:right="480" w:firstLine="331"/>
        <w:spacing w:after="0"/>
        <w:rPr>
          <w:sz w:val="20"/>
          <w:szCs w:val="20"/>
          <w:color w:val="auto"/>
        </w:rPr>
      </w:pPr>
      <w:r>
        <w:rPr>
          <w:rFonts w:ascii="Arial" w:cs="Arial" w:eastAsia="Arial" w:hAnsi="Arial"/>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Rights</w:t>
      </w:r>
    </w:p>
    <w:p>
      <w:pPr>
        <w:spacing w:after="0" w:line="99" w:lineRule="exact"/>
        <w:rPr>
          <w:sz w:val="20"/>
          <w:szCs w:val="20"/>
          <w:color w:val="auto"/>
        </w:rPr>
      </w:pPr>
    </w:p>
    <w:p>
      <w:pPr>
        <w:ind w:left="200" w:right="220" w:firstLine="331"/>
        <w:spacing w:after="0" w:line="237" w:lineRule="auto"/>
        <w:rPr>
          <w:sz w:val="20"/>
          <w:szCs w:val="20"/>
          <w:color w:val="auto"/>
        </w:rPr>
      </w:pPr>
      <w:r>
        <w:rPr>
          <w:rFonts w:ascii="Arial" w:cs="Arial" w:eastAsia="Arial" w:hAnsi="Arial"/>
          <w:sz w:val="18"/>
          <w:szCs w:val="18"/>
          <w:color w:val="auto"/>
        </w:rPr>
        <w:t>The terms and conditions, if any, upon which the debt securities are convertible into common stock or other securities of ours will be set forth in the applicable prospectus supplement. The terms will include whether the 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Recourse</w:t>
      </w:r>
    </w:p>
    <w:p>
      <w:pPr>
        <w:spacing w:after="0" w:line="85" w:lineRule="exact"/>
        <w:rPr>
          <w:sz w:val="20"/>
          <w:szCs w:val="20"/>
          <w:color w:val="auto"/>
        </w:rPr>
      </w:pPr>
    </w:p>
    <w:p>
      <w:pPr>
        <w:ind w:left="200" w:right="100" w:firstLine="331"/>
        <w:spacing w:after="0" w:line="238" w:lineRule="auto"/>
        <w:rPr>
          <w:sz w:val="20"/>
          <w:szCs w:val="20"/>
          <w:color w:val="auto"/>
        </w:rPr>
      </w:pPr>
      <w:r>
        <w:rPr>
          <w:rFonts w:ascii="Arial" w:cs="Arial" w:eastAsia="Arial" w:hAnsi="Arial"/>
          <w:sz w:val="18"/>
          <w:szCs w:val="18"/>
          <w:color w:val="auto"/>
        </w:rPr>
        <w:t>No recourse shall be had under any obligation, covenant or agreement of ours in the senior indenture or any supplemental indenture, or in any of the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debt securities, waives and releases all such liability.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85" w:lineRule="exact"/>
        <w:rPr>
          <w:sz w:val="20"/>
          <w:szCs w:val="20"/>
          <w:color w:val="auto"/>
        </w:rPr>
      </w:pPr>
    </w:p>
    <w:p>
      <w:pPr>
        <w:ind w:left="200" w:right="560" w:firstLine="331"/>
        <w:spacing w:after="0" w:line="246"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WARRANTS</w:t>
      </w:r>
    </w:p>
    <w:p>
      <w:pPr>
        <w:spacing w:after="0" w:line="34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203" w:lineRule="exact"/>
        <w:rPr>
          <w:sz w:val="20"/>
          <w:szCs w:val="20"/>
          <w:color w:val="auto"/>
        </w:rPr>
      </w:pPr>
    </w:p>
    <w:p>
      <w:pPr>
        <w:jc w:val="both"/>
        <w:ind w:left="200" w:right="80" w:firstLine="331"/>
        <w:spacing w:after="0"/>
        <w:rPr>
          <w:sz w:val="20"/>
          <w:szCs w:val="20"/>
          <w:color w:val="auto"/>
        </w:rPr>
      </w:pPr>
      <w:r>
        <w:rPr>
          <w:rFonts w:ascii="Arial" w:cs="Arial" w:eastAsia="Arial" w:hAnsi="Arial"/>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will describe in the applicable prospectus supplement the terms of the series of warrants, including:</w:t>
      </w:r>
    </w:p>
    <w:p>
      <w:pPr>
        <w:spacing w:after="0" w:line="203" w:lineRule="exact"/>
        <w:rPr>
          <w:sz w:val="20"/>
          <w:szCs w:val="20"/>
          <w:color w:val="auto"/>
        </w:rPr>
      </w:pPr>
    </w:p>
    <w:p>
      <w:pPr>
        <w:ind w:left="960" w:hanging="432"/>
        <w:spacing w:after="0"/>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offering price and aggregate number of warrants offered;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currency for which the warrants may be purchased;</w:t>
      </w:r>
    </w:p>
    <w:p>
      <w:pPr>
        <w:spacing w:after="0" w:line="26"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applicable, the date on and after which the warrants and the related securities will be separately transferable;</w:t>
      </w:r>
    </w:p>
    <w:p>
      <w:pPr>
        <w:spacing w:after="0" w:line="26"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27" w:lineRule="exact"/>
        <w:rPr>
          <w:rFonts w:ascii="MS PGothic" w:cs="MS PGothic" w:eastAsia="MS PGothic" w:hAnsi="MS PGothic"/>
          <w:sz w:val="25"/>
          <w:szCs w:val="25"/>
          <w:color w:val="auto"/>
          <w:vertAlign w:val="superscript"/>
        </w:rPr>
      </w:pPr>
    </w:p>
    <w:p>
      <w:pPr>
        <w:jc w:val="both"/>
        <w:ind w:left="960" w:right="60" w:hanging="432"/>
        <w:spacing w:after="0" w:line="223"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 of any merger, consolidation, sale or other disposition of our business on the warrant agreement and the warrants;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terms of any rights to redeem or call the warrants;</w:t>
      </w:r>
    </w:p>
    <w:p>
      <w:pPr>
        <w:spacing w:after="0" w:line="26" w:lineRule="exact"/>
        <w:rPr>
          <w:rFonts w:ascii="MS PGothic" w:cs="MS PGothic" w:eastAsia="MS PGothic" w:hAnsi="MS PGothic"/>
          <w:sz w:val="25"/>
          <w:szCs w:val="25"/>
          <w:color w:val="auto"/>
          <w:vertAlign w:val="superscript"/>
        </w:rPr>
      </w:pPr>
    </w:p>
    <w:p>
      <w:pPr>
        <w:ind w:left="960" w:right="780" w:hanging="432"/>
        <w:spacing w:after="0" w:line="218"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provisions for changes to or adjustments in the exercise price or number of securities issuable upon exercise of the warrants;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periods during which, and places at which, the warrants are exercisable;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manner of exercise;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dates on which the right to exercise the warrants will commence and expire;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manner in which the warrant agreement and warrants may be modified;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federal income tax consequences of holding or exercising the warrants;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terms of the securities issuable upon exercise of the warrants;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other specific terms, preferences, rights or limitations of or restrictions on the warrants.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UNITS</w:t>
      </w:r>
    </w:p>
    <w:p>
      <w:pPr>
        <w:spacing w:after="0" w:line="34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207" w:lineRule="exact"/>
        <w:rPr>
          <w:sz w:val="20"/>
          <w:szCs w:val="20"/>
          <w:color w:val="auto"/>
        </w:rPr>
      </w:pPr>
    </w:p>
    <w:p>
      <w:pPr>
        <w:ind w:left="200" w:right="220" w:firstLine="331"/>
        <w:spacing w:after="0" w:line="239" w:lineRule="auto"/>
        <w:rPr>
          <w:sz w:val="20"/>
          <w:szCs w:val="20"/>
          <w:color w:val="auto"/>
        </w:rPr>
      </w:pPr>
      <w:r>
        <w:rPr>
          <w:rFonts w:ascii="Arial" w:cs="Arial" w:eastAsia="Arial" w:hAnsi="Arial"/>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229" w:lineRule="exact"/>
        <w:rPr>
          <w:sz w:val="20"/>
          <w:szCs w:val="20"/>
          <w:color w:val="auto"/>
        </w:rPr>
      </w:pPr>
    </w:p>
    <w:p>
      <w:pPr>
        <w:ind w:left="960" w:right="1160" w:hanging="432"/>
        <w:spacing w:after="0" w:line="218" w:lineRule="auto"/>
        <w:tabs>
          <w:tab w:leader="none" w:pos="9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provisions of the governing unit agreement;</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price or prices at which such units will be issued;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United States federal income tax considerations relating to the units;</w:t>
      </w:r>
    </w:p>
    <w:p>
      <w:pPr>
        <w:spacing w:after="0" w:line="26"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provisions for the issuance, payment, settlement, transfer or exchange of the units or of the securities comprising the units;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other terms of the units and of the securities comprising the units.</w:t>
      </w:r>
    </w:p>
    <w:p>
      <w:pPr>
        <w:spacing w:after="0" w:line="202"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Issuance in Series</w:t>
      </w:r>
    </w:p>
    <w:p>
      <w:pPr>
        <w:spacing w:after="0" w:line="126"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Unit Agreements</w:t>
      </w:r>
    </w:p>
    <w:p>
      <w:pPr>
        <w:spacing w:after="0" w:line="126"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provisions will generally apply to all unit agreements unless otherwise stated in the applicable prospectus supplement:</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Modification without Consent</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and the applicable unit agent may amend any unit or unit agreement without the consent of any holder:</w:t>
      </w:r>
    </w:p>
    <w:p>
      <w:pPr>
        <w:spacing w:after="0" w:line="203" w:lineRule="exact"/>
        <w:rPr>
          <w:sz w:val="20"/>
          <w:szCs w:val="20"/>
          <w:color w:val="auto"/>
        </w:rPr>
      </w:pPr>
    </w:p>
    <w:p>
      <w:pPr>
        <w:ind w:left="960" w:hanging="432"/>
        <w:spacing w:after="0"/>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cure any ambiguity, including modifying any provisions of the governing unit agreement that differ from those described below;</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correct or supplement any defective or inconsistent provision; or</w:t>
      </w:r>
    </w:p>
    <w:p>
      <w:pPr>
        <w:spacing w:after="0" w:line="26" w:lineRule="exact"/>
        <w:rPr>
          <w:rFonts w:ascii="MS PGothic" w:cs="MS PGothic" w:eastAsia="MS PGothic" w:hAnsi="MS PGothic"/>
          <w:sz w:val="25"/>
          <w:szCs w:val="25"/>
          <w:color w:val="auto"/>
          <w:vertAlign w:val="superscript"/>
        </w:rPr>
      </w:pPr>
    </w:p>
    <w:p>
      <w:pPr>
        <w:ind w:left="960" w:right="420" w:hanging="432"/>
        <w:spacing w:after="0" w:line="218"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make any other change that we believe is necessary or desirable and will not adversely affect the interests of the affected holders in any material respect.</w:t>
      </w:r>
    </w:p>
    <w:p>
      <w:pPr>
        <w:spacing w:after="0" w:line="203"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Modification with Consent</w:t>
      </w:r>
    </w:p>
    <w:p>
      <w:pPr>
        <w:spacing w:after="0" w:line="85" w:lineRule="exact"/>
        <w:rPr>
          <w:sz w:val="20"/>
          <w:szCs w:val="20"/>
          <w:color w:val="auto"/>
        </w:rPr>
      </w:pPr>
    </w:p>
    <w:p>
      <w:pPr>
        <w:ind w:left="200" w:right="500" w:firstLine="331"/>
        <w:spacing w:after="0" w:line="246" w:lineRule="auto"/>
        <w:rPr>
          <w:sz w:val="20"/>
          <w:szCs w:val="20"/>
          <w:color w:val="auto"/>
        </w:rPr>
      </w:pPr>
      <w:r>
        <w:rPr>
          <w:rFonts w:ascii="Arial" w:cs="Arial" w:eastAsia="Arial" w:hAnsi="Arial"/>
          <w:sz w:val="18"/>
          <w:szCs w:val="18"/>
          <w:color w:val="auto"/>
        </w:rPr>
        <w:t>We may not amend any particular unit or a unit agreement with respect to any particular unit unless we obtain the consent of the holder of that unit, if the amendment would:</w:t>
      </w:r>
    </w:p>
    <w:p>
      <w:pPr>
        <w:spacing w:after="0" w:line="224" w:lineRule="exact"/>
        <w:rPr>
          <w:sz w:val="20"/>
          <w:szCs w:val="20"/>
          <w:color w:val="auto"/>
        </w:rPr>
      </w:pPr>
    </w:p>
    <w:p>
      <w:pPr>
        <w:ind w:left="960" w:right="420" w:hanging="432"/>
        <w:spacing w:after="0" w:line="218" w:lineRule="auto"/>
        <w:tabs>
          <w:tab w:leader="none" w:pos="9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27" w:lineRule="exact"/>
        <w:rPr>
          <w:rFonts w:ascii="MS PGothic" w:cs="MS PGothic" w:eastAsia="MS PGothic" w:hAnsi="MS PGothic"/>
          <w:sz w:val="25"/>
          <w:szCs w:val="25"/>
          <w:color w:val="auto"/>
          <w:vertAlign w:val="superscript"/>
        </w:rPr>
      </w:pPr>
    </w:p>
    <w:p>
      <w:pPr>
        <w:ind w:left="960" w:right="140" w:hanging="432"/>
        <w:spacing w:after="0" w:line="218" w:lineRule="auto"/>
        <w:tabs>
          <w:tab w:leader="none" w:pos="9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Any other change to a particular unit agreement and the units issued under that agreement would require the following approval:</w:t>
      </w:r>
    </w:p>
    <w:p>
      <w:pPr>
        <w:spacing w:after="0" w:line="239" w:lineRule="exact"/>
        <w:rPr>
          <w:sz w:val="20"/>
          <w:szCs w:val="20"/>
          <w:color w:val="auto"/>
        </w:rPr>
      </w:pPr>
    </w:p>
    <w:p>
      <w:pPr>
        <w:ind w:left="960" w:right="500" w:hanging="432"/>
        <w:spacing w:after="0" w:line="218" w:lineRule="auto"/>
        <w:tabs>
          <w:tab w:leader="none" w:pos="96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the change affects only the units of a particular series issued under that agreement, the change must be approved by the holders of a majority of the outstanding units of that series; or</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23" w:lineRule="auto"/>
        <w:tabs>
          <w:tab w:leader="none" w:pos="96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204" w:lineRule="exact"/>
        <w:rPr>
          <w:sz w:val="20"/>
          <w:szCs w:val="20"/>
          <w:color w:val="auto"/>
        </w:rPr>
      </w:pPr>
    </w:p>
    <w:p>
      <w:pPr>
        <w:ind w:left="200" w:right="760" w:firstLine="331"/>
        <w:spacing w:after="0" w:line="246" w:lineRule="auto"/>
        <w:rPr>
          <w:sz w:val="20"/>
          <w:szCs w:val="20"/>
          <w:color w:val="auto"/>
        </w:rPr>
      </w:pPr>
      <w:r>
        <w:rPr>
          <w:rFonts w:ascii="Arial" w:cs="Arial" w:eastAsia="Arial" w:hAnsi="Arial"/>
          <w:sz w:val="18"/>
          <w:szCs w:val="18"/>
          <w:color w:val="auto"/>
        </w:rPr>
        <w:t>These provisions regarding changes with majority approval also apply to changes affecting any securities issued under a unit agreement, as the governing document.</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 Agreements Will Not Be Qualified under Trust Indenture Act</w:t>
      </w:r>
    </w:p>
    <w:p>
      <w:pPr>
        <w:spacing w:after="0" w:line="8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Mergers and Similar Transactions Permitted; No Restrictive Covenants or Events of Default</w:t>
      </w:r>
    </w:p>
    <w:p>
      <w:pPr>
        <w:spacing w:after="0" w:line="99"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The unit agreements will not restrict our ability to merge or consolidate with, or sell our assets to, another corporation or other entity or to engage in any other transactions. If at any time we merge or</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spacing w:after="0" w:line="246" w:lineRule="auto"/>
        <w:rPr>
          <w:sz w:val="20"/>
          <w:szCs w:val="20"/>
          <w:color w:val="auto"/>
        </w:rPr>
      </w:pPr>
      <w:r>
        <w:rPr>
          <w:rFonts w:ascii="Arial" w:cs="Arial" w:eastAsia="Arial" w:hAnsi="Arial"/>
          <w:sz w:val="18"/>
          <w:szCs w:val="18"/>
          <w:color w:val="auto"/>
        </w:rPr>
        <w:t>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97" w:lineRule="exact"/>
        <w:rPr>
          <w:sz w:val="20"/>
          <w:szCs w:val="20"/>
          <w:color w:val="auto"/>
        </w:rPr>
      </w:pPr>
    </w:p>
    <w:p>
      <w:pPr>
        <w:ind w:left="200" w:right="140" w:firstLine="331"/>
        <w:spacing w:after="0" w:line="246" w:lineRule="auto"/>
        <w:rPr>
          <w:sz w:val="20"/>
          <w:szCs w:val="20"/>
          <w:color w:val="auto"/>
        </w:rPr>
      </w:pPr>
      <w:r>
        <w:rPr>
          <w:rFonts w:ascii="Arial" w:cs="Arial" w:eastAsia="Arial" w:hAnsi="Arial"/>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Governing Law</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unit agreements and the units will be governed by Delaware law.</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Form, Exchange and Transfer</w:t>
      </w:r>
    </w:p>
    <w:p>
      <w:pPr>
        <w:spacing w:after="0" w:line="8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Each unit and all securities comprising the unit will be issued in the same form.</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we issue any units in registered, non-global form, the following will apply to them.</w:t>
      </w:r>
    </w:p>
    <w:p>
      <w:pPr>
        <w:spacing w:after="0" w:line="212"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224" w:lineRule="exact"/>
        <w:rPr>
          <w:sz w:val="20"/>
          <w:szCs w:val="20"/>
          <w:color w:val="auto"/>
        </w:rPr>
      </w:pPr>
    </w:p>
    <w:p>
      <w:pPr>
        <w:ind w:left="960" w:right="260" w:hanging="432"/>
        <w:spacing w:after="0" w:line="218" w:lineRule="auto"/>
        <w:tabs>
          <w:tab w:leader="none" w:pos="96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27" w:lineRule="exact"/>
        <w:rPr>
          <w:rFonts w:ascii="MS PGothic" w:cs="MS PGothic" w:eastAsia="MS PGothic" w:hAnsi="MS PGothic"/>
          <w:sz w:val="25"/>
          <w:szCs w:val="25"/>
          <w:color w:val="auto"/>
          <w:vertAlign w:val="superscript"/>
        </w:rPr>
      </w:pPr>
    </w:p>
    <w:p>
      <w:pPr>
        <w:ind w:left="960" w:right="80" w:hanging="432"/>
        <w:spacing w:after="0" w:line="226" w:lineRule="auto"/>
        <w:tabs>
          <w:tab w:leader="none" w:pos="96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27" w:lineRule="exact"/>
        <w:rPr>
          <w:rFonts w:ascii="MS PGothic" w:cs="MS PGothic" w:eastAsia="MS PGothic" w:hAnsi="MS PGothic"/>
          <w:sz w:val="25"/>
          <w:szCs w:val="25"/>
          <w:color w:val="auto"/>
          <w:vertAlign w:val="superscript"/>
        </w:rPr>
      </w:pPr>
    </w:p>
    <w:p>
      <w:pPr>
        <w:ind w:left="960" w:right="120" w:hanging="432"/>
        <w:spacing w:after="0" w:line="229" w:lineRule="auto"/>
        <w:tabs>
          <w:tab w:leader="none" w:pos="96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Only the depositary will be entitled to transfer or exchange a unit in global form, since it will be the sole holder of the unit.</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Payments and Notices</w:t>
      </w:r>
    </w:p>
    <w:p>
      <w:pPr>
        <w:spacing w:after="0" w:line="85" w:lineRule="exact"/>
        <w:rPr>
          <w:sz w:val="20"/>
          <w:szCs w:val="20"/>
          <w:color w:val="auto"/>
        </w:rPr>
      </w:pPr>
    </w:p>
    <w:p>
      <w:pPr>
        <w:ind w:left="200" w:right="820" w:firstLine="331"/>
        <w:spacing w:after="0" w:line="246" w:lineRule="auto"/>
        <w:rPr>
          <w:sz w:val="20"/>
          <w:szCs w:val="20"/>
          <w:color w:val="auto"/>
        </w:rPr>
      </w:pPr>
      <w:r>
        <w:rPr>
          <w:rFonts w:ascii="Arial" w:cs="Arial" w:eastAsia="Arial" w:hAnsi="Arial"/>
          <w:sz w:val="18"/>
          <w:szCs w:val="18"/>
          <w:color w:val="auto"/>
        </w:rPr>
        <w:t>In making payments and giving notices with respect to our units, we will follow the procedures as described in the applicable prospectus supplement.</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PLAN OF DISTRIBUTION</w:t>
      </w:r>
    </w:p>
    <w:p>
      <w:pPr>
        <w:spacing w:after="0" w:line="342" w:lineRule="exact"/>
        <w:rPr>
          <w:sz w:val="20"/>
          <w:szCs w:val="20"/>
          <w:color w:val="auto"/>
        </w:rPr>
      </w:pPr>
    </w:p>
    <w:p>
      <w:pPr>
        <w:ind w:left="200" w:right="240" w:firstLine="331"/>
        <w:spacing w:after="0" w:line="234" w:lineRule="auto"/>
        <w:rPr>
          <w:sz w:val="20"/>
          <w:szCs w:val="20"/>
          <w:color w:val="auto"/>
        </w:rPr>
      </w:pPr>
      <w:r>
        <w:rPr>
          <w:rFonts w:ascii="Arial" w:cs="Arial" w:eastAsia="Arial" w:hAnsi="Arial"/>
          <w:sz w:val="18"/>
          <w:szCs w:val="18"/>
          <w:color w:val="auto"/>
        </w:rPr>
        <w:t>We may sell the securities offered through this prospectus and any accompanying prospectus supplement, if required, in any of the following ways: (1) to or through underwriters or dealers, (2) directly to purchasers, including our affiliates, or to a single purchaser</w:t>
      </w:r>
    </w:p>
    <w:p>
      <w:pPr>
        <w:spacing w:after="0" w:line="2" w:lineRule="exact"/>
        <w:rPr>
          <w:sz w:val="20"/>
          <w:szCs w:val="20"/>
          <w:color w:val="auto"/>
        </w:rPr>
      </w:pPr>
    </w:p>
    <w:p>
      <w:pPr>
        <w:ind w:left="200" w:right="120" w:firstLine="4"/>
        <w:spacing w:after="0" w:line="275" w:lineRule="auto"/>
        <w:tabs>
          <w:tab w:leader="none" w:pos="47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through agents, or (4) through a combination of any these methods. The securities may be distributed at a fixed price or prices, which may be changed, market prices prevailing at the time of sale, prices related to the prevailing market prices, or negotiated prices, either:</w:t>
      </w:r>
    </w:p>
    <w:p>
      <w:pPr>
        <w:spacing w:after="0" w:line="200" w:lineRule="exact"/>
        <w:rPr>
          <w:rFonts w:ascii="Arial" w:cs="Arial" w:eastAsia="Arial" w:hAnsi="Arial"/>
          <w:sz w:val="17"/>
          <w:szCs w:val="17"/>
          <w:color w:val="auto"/>
        </w:rPr>
      </w:pPr>
    </w:p>
    <w:p>
      <w:pPr>
        <w:ind w:left="960" w:right="120" w:hanging="432"/>
        <w:spacing w:after="0" w:line="218" w:lineRule="auto"/>
        <w:tabs>
          <w:tab w:leader="none" w:pos="960" w:val="left"/>
        </w:tabs>
        <w:numPr>
          <w:ilvl w:val="1"/>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or through the facilities of The Nasdaq Global Select Market or any other securities exchange or quotation or trading service on which such securities may be listed, quoted or traded at the time of sale; and/or</w:t>
      </w:r>
    </w:p>
    <w:p>
      <w:pPr>
        <w:spacing w:after="0" w:line="27" w:lineRule="exact"/>
        <w:rPr>
          <w:rFonts w:ascii="MS PGothic" w:cs="MS PGothic" w:eastAsia="MS PGothic" w:hAnsi="MS PGothic"/>
          <w:sz w:val="25"/>
          <w:szCs w:val="25"/>
          <w:color w:val="auto"/>
          <w:vertAlign w:val="superscript"/>
        </w:rPr>
      </w:pPr>
    </w:p>
    <w:p>
      <w:pPr>
        <w:ind w:left="960" w:right="640" w:hanging="432"/>
        <w:spacing w:after="0" w:line="218" w:lineRule="auto"/>
        <w:tabs>
          <w:tab w:leader="none" w:pos="960" w:val="left"/>
        </w:tabs>
        <w:numPr>
          <w:ilvl w:val="1"/>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or through a market maker otherwise than on The Nasdaq Global Select Market or such other securities exchanges or quotation or trading services.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w:t>
      </w:r>
    </w:p>
    <w:p>
      <w:pPr>
        <w:spacing w:after="0" w:line="212"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12"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188" w:lineRule="exact"/>
        <w:rPr>
          <w:sz w:val="20"/>
          <w:szCs w:val="20"/>
          <w:color w:val="auto"/>
        </w:rPr>
      </w:pPr>
    </w:p>
    <w:p>
      <w:pPr>
        <w:ind w:left="960" w:hanging="432"/>
        <w:spacing w:after="0"/>
        <w:tabs>
          <w:tab w:leader="none" w:pos="9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type and amount of securities we are offering;</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name of the agent or any underwriters;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public offering or purchase price;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discounts and commissions to be allowed or paid to the agent or underwriters;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 other items constituting underwriting compensation;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discounts and commissions to be allowed or paid to dealers;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exchanges on which the securities will be listed.</w:t>
      </w:r>
    </w:p>
    <w:p>
      <w:pPr>
        <w:spacing w:after="0" w:line="203" w:lineRule="exact"/>
        <w:rPr>
          <w:sz w:val="20"/>
          <w:szCs w:val="20"/>
          <w:color w:val="auto"/>
        </w:rPr>
      </w:pPr>
    </w:p>
    <w:p>
      <w:pPr>
        <w:jc w:val="both"/>
        <w:ind w:left="200" w:firstLine="331"/>
        <w:spacing w:after="0" w:line="261" w:lineRule="auto"/>
        <w:rPr>
          <w:sz w:val="20"/>
          <w:szCs w:val="20"/>
          <w:color w:val="auto"/>
        </w:rPr>
      </w:pPr>
      <w:r>
        <w:rPr>
          <w:rFonts w:ascii="Arial" w:cs="Arial" w:eastAsia="Arial" w:hAnsi="Arial"/>
          <w:sz w:val="17"/>
          <w:szCs w:val="17"/>
          <w:color w:val="auto"/>
        </w:rPr>
        <w:t>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w:t>
      </w:r>
    </w:p>
    <w:p>
      <w:pPr>
        <w:spacing w:after="0" w:line="186" w:lineRule="exact"/>
        <w:rPr>
          <w:sz w:val="20"/>
          <w:szCs w:val="20"/>
          <w:color w:val="auto"/>
        </w:rPr>
      </w:pPr>
    </w:p>
    <w:p>
      <w:pPr>
        <w:ind w:left="200" w:right="340" w:firstLine="331"/>
        <w:spacing w:after="0"/>
        <w:rPr>
          <w:sz w:val="20"/>
          <w:szCs w:val="20"/>
          <w:color w:val="auto"/>
        </w:rPr>
      </w:pPr>
      <w:r>
        <w:rPr>
          <w:rFonts w:ascii="Arial" w:cs="Arial" w:eastAsia="Arial" w:hAnsi="Arial"/>
          <w:sz w:val="18"/>
          <w:szCs w:val="18"/>
          <w:color w:val="auto"/>
        </w:rPr>
        <w:t>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80"/>
          </w:cols>
          <w:pgMar w:left="24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203"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202" w:lineRule="exact"/>
        <w:rPr>
          <w:sz w:val="20"/>
          <w:szCs w:val="20"/>
          <w:color w:val="auto"/>
        </w:rPr>
      </w:pPr>
    </w:p>
    <w:p>
      <w:pPr>
        <w:ind w:left="200" w:right="440" w:firstLine="331"/>
        <w:spacing w:after="0"/>
        <w:rPr>
          <w:sz w:val="20"/>
          <w:szCs w:val="20"/>
          <w:color w:val="auto"/>
        </w:rPr>
      </w:pPr>
      <w:r>
        <w:rPr>
          <w:rFonts w:ascii="Arial" w:cs="Arial" w:eastAsia="Arial" w:hAnsi="Arial"/>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203"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230" w:lineRule="exact"/>
        <w:rPr>
          <w:sz w:val="20"/>
          <w:szCs w:val="20"/>
          <w:color w:val="auto"/>
        </w:rPr>
      </w:pPr>
    </w:p>
    <w:p>
      <w:pPr>
        <w:ind w:left="960" w:right="200" w:hanging="432"/>
        <w:spacing w:after="0" w:line="218" w:lineRule="auto"/>
        <w:tabs>
          <w:tab w:leader="none" w:pos="960" w:val="left"/>
        </w:tabs>
        <w:numPr>
          <w:ilvl w:val="0"/>
          <w:numId w:val="6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27" w:lineRule="exact"/>
        <w:rPr>
          <w:rFonts w:ascii="MS PGothic" w:cs="MS PGothic" w:eastAsia="MS PGothic" w:hAnsi="MS PGothic"/>
          <w:sz w:val="25"/>
          <w:szCs w:val="25"/>
          <w:color w:val="auto"/>
          <w:vertAlign w:val="superscript"/>
        </w:rPr>
      </w:pPr>
    </w:p>
    <w:p>
      <w:pPr>
        <w:ind w:left="960" w:right="160" w:hanging="432"/>
        <w:spacing w:after="0" w:line="223" w:lineRule="auto"/>
        <w:tabs>
          <w:tab w:leader="none" w:pos="960" w:val="left"/>
        </w:tabs>
        <w:numPr>
          <w:ilvl w:val="0"/>
          <w:numId w:val="63"/>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204" w:lineRule="exact"/>
        <w:rPr>
          <w:sz w:val="20"/>
          <w:szCs w:val="20"/>
          <w:color w:val="auto"/>
        </w:rPr>
      </w:pPr>
    </w:p>
    <w:p>
      <w:pPr>
        <w:ind w:left="200" w:right="100" w:firstLine="331"/>
        <w:spacing w:after="0" w:line="238" w:lineRule="auto"/>
        <w:rPr>
          <w:sz w:val="20"/>
          <w:szCs w:val="20"/>
          <w:color w:val="auto"/>
        </w:rPr>
      </w:pPr>
      <w:r>
        <w:rPr>
          <w:rFonts w:ascii="Arial" w:cs="Arial" w:eastAsia="Arial" w:hAnsi="Arial"/>
          <w:sz w:val="18"/>
          <w:szCs w:val="18"/>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203"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203" w:lineRule="exact"/>
        <w:rPr>
          <w:sz w:val="20"/>
          <w:szCs w:val="20"/>
          <w:color w:val="auto"/>
        </w:rPr>
      </w:pPr>
    </w:p>
    <w:p>
      <w:pPr>
        <w:ind w:left="200" w:right="20" w:firstLine="331"/>
        <w:spacing w:after="0" w:line="261" w:lineRule="auto"/>
        <w:rPr>
          <w:sz w:val="20"/>
          <w:szCs w:val="20"/>
          <w:color w:val="auto"/>
        </w:rPr>
      </w:pPr>
      <w:r>
        <w:rPr>
          <w:rFonts w:ascii="Arial" w:cs="Arial" w:eastAsia="Arial" w:hAnsi="Arial"/>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 allot in connection with the offering, creating a short position for their own accounts. In addition, to</w:t>
      </w:r>
    </w:p>
    <w:p>
      <w:pPr>
        <w:spacing w:after="0" w:line="1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240" w:top="459" w:right="5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53" w:lineRule="auto"/>
        <w:rPr>
          <w:sz w:val="20"/>
          <w:szCs w:val="20"/>
          <w:color w:val="auto"/>
        </w:rPr>
      </w:pPr>
      <w:r>
        <w:rPr>
          <w:rFonts w:ascii="Arial" w:cs="Arial" w:eastAsia="Arial" w:hAnsi="Arial"/>
          <w:sz w:val="17"/>
          <w:szCs w:val="17"/>
          <w:color w:val="auto"/>
        </w:rPr>
        <w:t>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9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206"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205"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 for any of the securities.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specific terms of any lock-up provisions in respect of any given offering will be described in the applicable prospectus supplement.</w:t>
      </w:r>
    </w:p>
    <w:p>
      <w:pPr>
        <w:spacing w:after="0" w:line="223" w:lineRule="exact"/>
        <w:rPr>
          <w:sz w:val="20"/>
          <w:szCs w:val="20"/>
          <w:color w:val="auto"/>
        </w:rPr>
      </w:pPr>
    </w:p>
    <w:p>
      <w:pPr>
        <w:ind w:left="200" w:right="680" w:firstLine="331"/>
        <w:spacing w:after="0" w:line="246"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97" w:lineRule="exact"/>
        <w:rPr>
          <w:sz w:val="20"/>
          <w:szCs w:val="20"/>
          <w:color w:val="auto"/>
        </w:rPr>
      </w:pPr>
    </w:p>
    <w:p>
      <w:pPr>
        <w:jc w:val="center"/>
        <w:ind w:left="460" w:right="320"/>
        <w:spacing w:after="0" w:line="418" w:lineRule="auto"/>
        <w:rPr>
          <w:sz w:val="20"/>
          <w:szCs w:val="20"/>
          <w:color w:val="auto"/>
        </w:rPr>
      </w:pPr>
      <w:r>
        <w:rPr>
          <w:rFonts w:ascii="Arial" w:cs="Arial" w:eastAsia="Arial" w:hAnsi="Arial"/>
          <w:sz w:val="18"/>
          <w:szCs w:val="18"/>
          <w:color w:val="auto"/>
        </w:rPr>
        <w:t>The anticipated date of delivery of offered securities will be set forth in the applicable prospectus supplement relating to each offer. 30</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342"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Certain legal matters in connection with this offering will be passed upon for us by Goodwin Procter LLP, Boston, Massachusetts. Any underwriters will also be advised about the validity of the securities and other legal matters by their own counsel, which will be named in the prospectus supplement.</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342"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The consolidated financial statements of AVROBIO, Inc. appearing in AVROBIO, Inc.’s Annual Report (Form 10-K) for the year ended December 31, 2018,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(to the extent covered by consents filed with the Securities and Exchange Commission) given on the authority of such firm as experts in accounting and auditing.</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42" w:lineRule="exact"/>
        <w:rPr>
          <w:sz w:val="20"/>
          <w:szCs w:val="20"/>
          <w:color w:val="auto"/>
        </w:rPr>
      </w:pPr>
    </w:p>
    <w:p>
      <w:pPr>
        <w:ind w:left="200" w:right="300" w:firstLine="331"/>
        <w:spacing w:after="0" w:line="238" w:lineRule="auto"/>
        <w:rPr>
          <w:sz w:val="20"/>
          <w:szCs w:val="20"/>
          <w:color w:val="auto"/>
        </w:rPr>
      </w:pPr>
      <w:r>
        <w:rPr>
          <w:rFonts w:ascii="Arial" w:cs="Arial" w:eastAsia="Arial" w:hAnsi="Arial"/>
          <w:sz w:val="18"/>
          <w:szCs w:val="18"/>
          <w:color w:val="auto"/>
        </w:rPr>
        <w:t>This prospectus is part of a registration statement that we have filed with the SEC. Certain information in the registration statement has been omitted from this prospectus in accordance with the rules of the SEC. We are subject to the information requirements of the Exchange Act and, in accordance therewith, file annual, quarterly and special reports, proxy statements and other information with the SEC. These documents may be accessed through the SEC’s electronic data gathering, analysis and retrieval system, or EDGAR, via electronic means, including the SEC’s home page on the Internet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shareholder upon request and without charge. Written requests for such copies should be directed to Investor Relations, AVROBIO, Inc., One Kendall Square, Building 300, Suite 201, Cambridge, Massachusetts 02139, and our website is located at </w:t>
      </w:r>
      <w:r>
        <w:rPr>
          <w:rFonts w:ascii="Arial" w:cs="Arial" w:eastAsia="Arial" w:hAnsi="Arial"/>
          <w:sz w:val="18"/>
          <w:szCs w:val="18"/>
          <w:i w:val="1"/>
          <w:iCs w:val="1"/>
          <w:color w:val="auto"/>
        </w:rPr>
        <w:t>www.avrobio.com.</w:t>
      </w:r>
      <w:r>
        <w:rPr>
          <w:rFonts w:ascii="Arial" w:cs="Arial" w:eastAsia="Arial" w:hAnsi="Arial"/>
          <w:sz w:val="18"/>
          <w:szCs w:val="18"/>
          <w:color w:val="auto"/>
        </w:rPr>
        <w:t xml:space="preserve"> Information contained on our website is not incorporated by reference into this prospectus and, therefore, is not part of this prospectus or any accompanying prospectus supplement.</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INCORPORATION BY REFERENCE</w:t>
      </w:r>
    </w:p>
    <w:p>
      <w:pPr>
        <w:spacing w:after="0" w:line="342"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The SEC allows us to incorporate by reference the information and reports we file with it,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and any future filings we make with the SEC under Sections 13(a), 13(c), 14 or 15(d) of the Exchange Act, including all filings made after the date of the filing of this registration statement and prior to the effectiveness of this registration statement, except as to any portion of any future report or document that is not deemed filed under such provisions, until we sell all of the securities:</w:t>
      </w:r>
    </w:p>
    <w:p>
      <w:pPr>
        <w:spacing w:after="0" w:line="194" w:lineRule="exact"/>
        <w:rPr>
          <w:sz w:val="20"/>
          <w:szCs w:val="20"/>
          <w:color w:val="auto"/>
        </w:rPr>
      </w:pPr>
    </w:p>
    <w:p>
      <w:pPr>
        <w:ind w:left="960" w:hanging="432"/>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6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 filed with the SEC on March 25, 2019;</w:t>
      </w:r>
    </w:p>
    <w:p>
      <w:pPr>
        <w:spacing w:after="0" w:line="26" w:lineRule="exact"/>
        <w:rPr>
          <w:rFonts w:ascii="Arial" w:cs="Arial" w:eastAsia="Arial" w:hAnsi="Arial"/>
          <w:sz w:val="18"/>
          <w:szCs w:val="18"/>
          <w:color w:val="auto"/>
        </w:rPr>
      </w:pPr>
    </w:p>
    <w:p>
      <w:pPr>
        <w:jc w:val="both"/>
        <w:ind w:left="960" w:right="280" w:hanging="432"/>
        <w:spacing w:after="0" w:line="223"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2018 from our </w:t>
      </w:r>
      <w:hyperlink r:id="rId68">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on Schedule 14A (other than information furnished rather than filed), which was filed with the SEC on April 26, 2019;</w:t>
      </w:r>
    </w:p>
    <w:p>
      <w:pPr>
        <w:spacing w:after="0" w:line="2" w:lineRule="exact"/>
        <w:rPr>
          <w:rFonts w:ascii="Arial" w:cs="Arial" w:eastAsia="Arial" w:hAnsi="Arial"/>
          <w:sz w:val="18"/>
          <w:szCs w:val="18"/>
          <w:color w:val="auto"/>
        </w:rPr>
      </w:pPr>
    </w:p>
    <w:p>
      <w:pPr>
        <w:ind w:left="960" w:hanging="432"/>
        <w:spacing w:after="0" w:line="230"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69">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2019, filed with the SEC on May 13, 2019;</w:t>
      </w:r>
    </w:p>
    <w:p>
      <w:pPr>
        <w:spacing w:after="0" w:line="26" w:lineRule="exact"/>
        <w:rPr>
          <w:rFonts w:ascii="Arial" w:cs="Arial" w:eastAsia="Arial" w:hAnsi="Arial"/>
          <w:sz w:val="18"/>
          <w:szCs w:val="18"/>
          <w:color w:val="auto"/>
        </w:rPr>
      </w:pPr>
    </w:p>
    <w:p>
      <w:pPr>
        <w:ind w:left="960" w:right="80" w:hanging="432"/>
        <w:spacing w:after="0" w:line="223" w:lineRule="auto"/>
        <w:tabs>
          <w:tab w:leader="none" w:pos="960" w:val="left"/>
        </w:tabs>
        <w:numPr>
          <w:ilvl w:val="0"/>
          <w:numId w:val="64"/>
        </w:numPr>
        <w:rPr>
          <w:rFonts w:ascii="Arial" w:cs="Arial" w:eastAsia="Arial" w:hAnsi="Arial"/>
          <w:sz w:val="18"/>
          <w:szCs w:val="18"/>
          <w:color w:val="0000EE"/>
        </w:rPr>
      </w:pPr>
      <w:r>
        <w:rPr>
          <w:rFonts w:ascii="Arial" w:cs="Arial" w:eastAsia="Arial" w:hAnsi="Arial"/>
          <w:sz w:val="18"/>
          <w:szCs w:val="18"/>
          <w:color w:val="auto"/>
        </w:rPr>
        <w:t xml:space="preserve">our Current Report on Form 8-K filed with the SEC on </w:t>
      </w:r>
      <w:hyperlink r:id="rId70">
        <w:r>
          <w:rPr>
            <w:rFonts w:ascii="Arial" w:cs="Arial" w:eastAsia="Arial" w:hAnsi="Arial"/>
            <w:sz w:val="18"/>
            <w:szCs w:val="18"/>
            <w:u w:val="single" w:color="auto"/>
            <w:color w:val="0000EE"/>
          </w:rPr>
          <w:t>January 7,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our Current Report on Form 8-K/A filed with the SEC on </w:t>
      </w:r>
      <w:hyperlink r:id="rId111">
        <w:r>
          <w:rPr>
            <w:rFonts w:ascii="Arial" w:cs="Arial" w:eastAsia="Arial" w:hAnsi="Arial"/>
            <w:sz w:val="18"/>
            <w:szCs w:val="18"/>
            <w:u w:val="single" w:color="auto"/>
            <w:color w:val="0000EE"/>
          </w:rPr>
          <w:t>January 11, 2019</w:t>
        </w:r>
        <w:r>
          <w:rPr>
            <w:rFonts w:ascii="Arial" w:cs="Arial" w:eastAsia="Arial" w:hAnsi="Arial"/>
            <w:sz w:val="18"/>
            <w:szCs w:val="18"/>
            <w:color w:val="0000EE"/>
          </w:rPr>
          <w:t xml:space="preserve"> </w:t>
        </w:r>
        <w:r>
          <w:rPr>
            <w:rFonts w:ascii="Arial" w:cs="Arial" w:eastAsia="Arial" w:hAnsi="Arial"/>
            <w:sz w:val="18"/>
            <w:szCs w:val="18"/>
            <w:color w:val="000000"/>
          </w:rPr>
          <w:t>and our Current Reports on Form 8-K filed with the SEC on</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January 22, 2019, February 6, 2019, April 29,</w:t>
        </w:r>
      </w:hyperlink>
      <w:r>
        <w:rPr>
          <w:rFonts w:ascii="Arial" w:cs="Arial" w:eastAsia="Arial" w:hAnsi="Arial"/>
          <w:sz w:val="18"/>
          <w:szCs w:val="18"/>
          <w:color w:val="0000EE"/>
        </w:rPr>
        <w:t xml:space="preserve"> </w:t>
      </w:r>
      <w:hyperlink r:id="rId111">
        <w:r>
          <w:rPr>
            <w:rFonts w:ascii="Arial" w:cs="Arial" w:eastAsia="Arial" w:hAnsi="Arial"/>
            <w:sz w:val="18"/>
            <w:szCs w:val="18"/>
            <w:u w:val="single" w:color="auto"/>
            <w:color w:val="0000EE"/>
          </w:rPr>
          <w:t>2019</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71">
        <w:r>
          <w:rPr>
            <w:rFonts w:ascii="Arial" w:cs="Arial" w:eastAsia="Arial" w:hAnsi="Arial"/>
            <w:sz w:val="18"/>
            <w:szCs w:val="18"/>
            <w:u w:val="single" w:color="auto"/>
            <w:color w:val="0000EE"/>
          </w:rPr>
          <w:t xml:space="preserve">June 12, 2019 </w:t>
        </w:r>
      </w:hyperlink>
      <w:hyperlink r:id="rId111">
        <w:r>
          <w:rPr>
            <w:rFonts w:ascii="Arial" w:cs="Arial" w:eastAsia="Arial" w:hAnsi="Arial"/>
            <w:sz w:val="18"/>
            <w:szCs w:val="18"/>
            <w:color w:val="000000"/>
          </w:rPr>
          <w:t>(in each case, except for information contained therein which is furnished rather than filed); and</w:t>
        </w:r>
      </w:hyperlink>
    </w:p>
    <w:p>
      <w:pPr>
        <w:spacing w:after="0" w:line="28" w:lineRule="exact"/>
        <w:rPr>
          <w:rFonts w:ascii="Arial" w:cs="Arial" w:eastAsia="Arial" w:hAnsi="Arial"/>
          <w:sz w:val="18"/>
          <w:szCs w:val="18"/>
          <w:color w:val="0000EE"/>
        </w:rPr>
      </w:pPr>
    </w:p>
    <w:p>
      <w:pPr>
        <w:ind w:left="960" w:right="220" w:hanging="432"/>
        <w:spacing w:after="0" w:line="218"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73">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June 18, 2018, including any amendments or reports filed for the purposes of updating this description.</w:t>
      </w:r>
    </w:p>
    <w:p>
      <w:pPr>
        <w:spacing w:after="0" w:line="203" w:lineRule="exact"/>
        <w:rPr>
          <w:rFonts w:ascii="Arial" w:cs="Arial" w:eastAsia="Arial" w:hAnsi="Arial"/>
          <w:sz w:val="18"/>
          <w:szCs w:val="18"/>
          <w:color w:val="0000EE"/>
        </w:rPr>
      </w:pPr>
    </w:p>
    <w:p>
      <w:pPr>
        <w:ind w:left="200" w:right="80" w:firstLine="331"/>
        <w:spacing w:after="0" w:line="238" w:lineRule="auto"/>
        <w:rPr>
          <w:sz w:val="20"/>
          <w:szCs w:val="20"/>
          <w:color w:val="auto"/>
        </w:rPr>
      </w:pPr>
      <w:r>
        <w:rPr>
          <w:rFonts w:ascii="Arial" w:cs="Arial" w:eastAsia="Arial" w:hAnsi="Arial"/>
          <w:sz w:val="18"/>
          <w:szCs w:val="18"/>
          <w:color w:val="auto"/>
        </w:rPr>
        <w:t>Upon request, either orally or in writing, we will provide, without charge, to each person, including any beneficial owner, to whom a copy of this prospectus is delivered, a copy of the documents incorporated by reference into this prospectus but not delivered with the prospectus. You may request a copy of these filings, and any exhibits we have specifically incorporated by reference as an exhibit in this prospectus, at no cost by writing us at the following address: Investor Relations, AVROBIO, Inc., One Kendall Square, Building 300, Suite 201, Cambridge, Massachusetts 02139, or via telephone at (617) 914-8420.</w:t>
      </w:r>
    </w:p>
    <w:p>
      <w:pPr>
        <w:spacing w:after="0" w:line="203" w:lineRule="exact"/>
        <w:rPr>
          <w:rFonts w:ascii="Arial" w:cs="Arial" w:eastAsia="Arial" w:hAnsi="Arial"/>
          <w:sz w:val="18"/>
          <w:szCs w:val="18"/>
          <w:color w:val="0000EE"/>
        </w:rPr>
      </w:pPr>
    </w:p>
    <w:p>
      <w:pPr>
        <w:ind w:left="200" w:right="840" w:firstLine="331"/>
        <w:spacing w:after="0" w:line="246" w:lineRule="auto"/>
        <w:rPr>
          <w:sz w:val="20"/>
          <w:szCs w:val="20"/>
          <w:color w:val="auto"/>
        </w:rPr>
      </w:pPr>
      <w:r>
        <w:rPr>
          <w:rFonts w:ascii="Arial" w:cs="Arial" w:eastAsia="Arial" w:hAnsi="Arial"/>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97" w:lineRule="exact"/>
        <w:rPr>
          <w:rFonts w:ascii="Arial" w:cs="Arial" w:eastAsia="Arial" w:hAnsi="Arial"/>
          <w:sz w:val="18"/>
          <w:szCs w:val="18"/>
          <w:color w:val="0000EE"/>
        </w:rPr>
      </w:pPr>
    </w:p>
    <w:p>
      <w:pPr>
        <w:ind w:left="200" w:firstLine="331"/>
        <w:spacing w:after="0" w:line="239"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34" w:lineRule="exact"/>
        <w:rPr>
          <w:rFonts w:ascii="Arial" w:cs="Arial" w:eastAsia="Arial" w:hAnsi="Arial"/>
          <w:sz w:val="18"/>
          <w:szCs w:val="18"/>
          <w:color w:val="0000EE"/>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820"/>
        <w:spacing w:after="0"/>
        <w:rPr>
          <w:sz w:val="20"/>
          <w:szCs w:val="20"/>
          <w:color w:val="auto"/>
        </w:rPr>
      </w:pPr>
      <w:r>
        <w:rPr>
          <w:rFonts w:ascii="Arial" w:cs="Arial" w:eastAsia="Arial" w:hAnsi="Arial"/>
          <w:sz w:val="32"/>
          <w:szCs w:val="32"/>
          <w:i w:val="1"/>
          <w:i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1090930</wp:posOffset>
            </wp:positionV>
            <wp:extent cx="2229485" cy="5314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222948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060"/>
        <w:spacing w:after="0"/>
        <w:rPr>
          <w:sz w:val="20"/>
          <w:szCs w:val="20"/>
          <w:color w:val="auto"/>
        </w:rPr>
      </w:pPr>
      <w:r>
        <w:rPr>
          <w:rFonts w:ascii="Arial" w:cs="Arial" w:eastAsia="Arial" w:hAnsi="Arial"/>
          <w:sz w:val="22"/>
          <w:szCs w:val="22"/>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220"/>
        <w:spacing w:after="0"/>
        <w:rPr>
          <w:sz w:val="20"/>
          <w:szCs w:val="20"/>
          <w:color w:val="auto"/>
        </w:rPr>
      </w:pPr>
      <w:r>
        <w:rPr>
          <w:rFonts w:ascii="Arial" w:cs="Arial" w:eastAsia="Arial" w:hAnsi="Arial"/>
          <w:sz w:val="29"/>
          <w:szCs w:val="29"/>
          <w:i w:val="1"/>
          <w:iCs w:val="1"/>
          <w:color w:val="auto"/>
        </w:rPr>
        <w:t>MORGAN STANLEY</w:t>
      </w:r>
    </w:p>
    <w:p>
      <w:pPr>
        <w:spacing w:after="0" w:line="139" w:lineRule="exact"/>
        <w:rPr>
          <w:sz w:val="20"/>
          <w:szCs w:val="20"/>
          <w:color w:val="auto"/>
        </w:rPr>
      </w:pPr>
    </w:p>
    <w:p>
      <w:pPr>
        <w:jc w:val="center"/>
        <w:ind w:right="-1220"/>
        <w:spacing w:after="0"/>
        <w:rPr>
          <w:sz w:val="20"/>
          <w:szCs w:val="20"/>
          <w:color w:val="auto"/>
        </w:rPr>
      </w:pPr>
      <w:r>
        <w:rPr>
          <w:rFonts w:ascii="Arial" w:cs="Arial" w:eastAsia="Arial" w:hAnsi="Arial"/>
          <w:sz w:val="32"/>
          <w:szCs w:val="32"/>
          <w:i w:val="1"/>
          <w:iCs w:val="1"/>
          <w:color w:val="auto"/>
        </w:rPr>
        <w:t>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 2019</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1)"/>
      <w:numFmt w:val="decimal"/>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1)"/>
      <w:numFmt w:val="lowerRoman"/>
      <w:start w:val="3"/>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1)"/>
      <w:numFmt w:val="decimal"/>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1)"/>
      <w:numFmt w:val="lowerLetter"/>
      <w:start w:val="1"/>
    </w:lvl>
  </w:abstractNum>
  <w:abstractNum w:abstractNumId="26">
    <w:nsid w:val="7A6D8D3C"/>
    <w:multiLevelType w:val="hybridMultilevel"/>
    <w:lvl w:ilvl="0">
      <w:lvlJc w:val="left"/>
      <w:lvlText w:val="(%1)"/>
      <w:numFmt w:val="lowerLetter"/>
      <w:start w:val="1"/>
    </w:lvl>
  </w:abstractNum>
  <w:abstractNum w:abstractNumId="27">
    <w:nsid w:val="4B588F54"/>
    <w:multiLevelType w:val="hybridMultilevel"/>
    <w:lvl w:ilvl="0">
      <w:lvlJc w:val="left"/>
      <w:lvlText w:val="(%1)"/>
      <w:numFmt w:val="lowerLetter"/>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1)"/>
      <w:numFmt w:val="decimal"/>
      <w:start w:val="2"/>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
      <w:numFmt w:val="bullet"/>
      <w:start w:val="1"/>
    </w:lvl>
    <w:lvl w:ilvl="1">
      <w:lvlJc w:val="left"/>
      <w:lvlText w:val="(%2)"/>
      <w:numFmt w:val="lowerLetter"/>
      <w:start w:val="2"/>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1)"/>
      <w:numFmt w:val="decimal"/>
      <w:start w:val="3"/>
    </w:lvl>
    <w:lvl w:ilvl="1">
      <w:lvlJc w:val="left"/>
      <w:lvlText w:val="∎"/>
      <w:numFmt w:val="bullet"/>
      <w:start w:val="1"/>
    </w:lvl>
  </w:abstractNum>
  <w:abstractNum w:abstractNumId="61">
    <w:nsid w:val="77AE35EB"/>
    <w:multiLevelType w:val="hybridMultilevel"/>
    <w:lvl w:ilvl="0">
      <w:lvlJc w:val="left"/>
      <w:lvlText w:val="∎"/>
      <w:numFmt w:val="bullet"/>
      <w:start w:val="1"/>
    </w:lvl>
  </w:abstractNum>
  <w:abstractNum w:abstractNumId="62">
    <w:nsid w:val="579BE4F1"/>
    <w:multiLevelType w:val="hybridMultilevel"/>
    <w:lvl w:ilvl="0">
      <w:lvlJc w:val="left"/>
      <w:lvlText w:val="∎"/>
      <w:numFmt w:val="bullet"/>
      <w:start w:val="1"/>
    </w:lvl>
  </w:abstractNum>
  <w:abstractNum w:abstractNumId="63">
    <w:nsid w:val="310C50B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jpeg"/><Relationship Id="rId67" Type="http://schemas.openxmlformats.org/officeDocument/2006/relationships/hyperlink" Target="http://www.sec.gov/Archives/edgar/data/1681087/000119312519085321/d677215d10k.htm" TargetMode="External"/><Relationship Id="rId68" Type="http://schemas.openxmlformats.org/officeDocument/2006/relationships/hyperlink" Target="http://www.sec.gov/Archives/edgar/data/1681087/000119312519120864/d677210ddef14a.htm" TargetMode="External"/><Relationship Id="rId69" Type="http://schemas.openxmlformats.org/officeDocument/2006/relationships/hyperlink" Target="http://www.sec.gov/Archives/edgar/data/1681087/000119312519145337/d704561d10q.htm" TargetMode="External"/><Relationship Id="rId70" Type="http://schemas.openxmlformats.org/officeDocument/2006/relationships/hyperlink" Target="http://www.sec.gov/Archives/edgar/data/1681087/000119312519003876/d667521d8k.htm" TargetMode="External"/><Relationship Id="rId71" Type="http://schemas.openxmlformats.org/officeDocument/2006/relationships/hyperlink" Target="http://www.sec.gov/Archives/edgar/data/1681087/000119312519170745/d766114d8k.htm" TargetMode="External"/><Relationship Id="rId72" Type="http://schemas.openxmlformats.org/officeDocument/2006/relationships/hyperlink" Target="http://www.sec.gov/Archives/edgar/data/1681087/000119312519193574/d753129d8k.htm" TargetMode="External"/><Relationship Id="rId73" Type="http://schemas.openxmlformats.org/officeDocument/2006/relationships/hyperlink" Target="http://www.sec.gov/Archives/edgar/data/1681087/000119312518195637/d562006d8a12b.htm" TargetMode="External"/><Relationship Id="rId111" Type="http://schemas.openxmlformats.org/officeDocument/2006/relationships/hyperlink" Target="http://www.sec.gov/Archives/edgar/data/1681087/000119312519123672/d668056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2019-11-30T23:57:39Z</dcterms:created>
  <dcterms:modified xsi:type="dcterms:W3CDTF">2019-11-30T23:57:39Z</dcterms:modified>
</cp:coreProperties>
</file>