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70053d424b3.htm"/>
        <w:bookmarkStart w:id="1" w:name="ksd770053d424b3"/>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333-277048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pPr>
            <w:r>
              <w:rPr/>
              <w:drawing>
                <wp:inline distT="0" distB="0" distL="0" distR="0">
                  <wp:extent cx="229870" cy="546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870" cy="54610"/>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drawing>
                <wp:inline distT="0" distB="0" distL="0" distR="0">
                  <wp:extent cx="183515" cy="4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515" cy="4762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AVROBIO, Inc. and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a Delaware corporation (AVROBIO), and Tectonic Therapeutic, Inc., a Delaware corporation (Tectonic), entered into an Agreement and Plan of Merger and Reorganization (the Merger Agreement) on January 30, 2024, pursuant to which, among other matters, Alpine Merger Subsidiary, Inc., a direct, wholly owned subsidiary of AVROBIO (Merger Sub), will merge with and into Tectonic, with Tectonic surviving as a wholly owned subsidiary of AVROBIO (such transaction, the merger). After the completion of the merger, AVROBIO will change its corporate name to Tectonic Therapeutic, Inc. The surviving corporation following the merger is referred to herein as the combined company. </w:t>
      </w:r>
    </w:p>
    <w:p>
      <w:pPr>
        <w:pStyle w:val="TextBody"/>
        <w:bidi w:val="0"/>
        <w:spacing w:before="240" w:after="0"/>
        <w:jc w:val="left"/>
        <w:rPr>
          <w:rFonts w:ascii="Times New Roman" w:hAnsi="Times New Roman"/>
          <w:sz w:val="20"/>
        </w:rPr>
      </w:pPr>
      <w:r>
        <w:rPr>
          <w:rFonts w:ascii="Times New Roman" w:hAnsi="Times New Roman"/>
          <w:sz w:val="20"/>
        </w:rPr>
        <w:t>At the effective time of the merger (the effective time), each share of Tectonic common stock, par value $0.0001 per share (Tectonic common stock), after giving effect to the conversion of each share of Tectonic preferred stock, par value $0.0001 per share (Tectonic preferred stock), into Tectonic common stock as well as the issuance of the private financing shares (as defined below) and of Company SAFEs (as defined below) will be converted into the right to receive a number of shares of AVROBIO common stock, par value $0.0001 per share (AVROBIO common stock), equal to the exchange ratio described in more detail in the section titled </w:t>
      </w:r>
      <w:r>
        <w:rPr>
          <w:rFonts w:ascii="Times New Roman" w:hAnsi="Times New Roman"/>
          <w:i/>
          <w:sz w:val="20"/>
        </w:rPr>
        <w:t>The Merger AgreementExchange Ratio</w:t>
      </w:r>
      <w:r>
        <w:rPr>
          <w:rFonts w:ascii="Times New Roman" w:hAnsi="Times New Roman"/>
          <w:sz w:val="20"/>
        </w:rPr>
        <w:t xml:space="preserve"> beginning on page 240 of this proxy statement/prospectus. The final exchange ratio is subject to adjustment prior to the closing of the merger (the closing) based upon AVROBIOs net cash (as defined in the Merger Agreement) (AVROBIOs net cash) at closing. As a result, AVROBIO securityholders could own more, and Tectonic securityholders could own less, or vice versa, of the combined company. Based on AVROBIOs and Tectonics capitalization as of January 30, 2024, the date the Merger Agreement was executed, and taking into account AVROBIOs anticipated closing cash position, giving effect to the proposed AVROBIO reverse stock split (the reverse stock split) and based on certain other assumptions, the exchange ratio (the exchange ratio) is currently estimated to be equal to approximately 0.74458326 shares of AVROBIO common stock for each share of Tectonic capital stock. The exchange ratio is subject to adjustment as described below, including if AVROBIOs net cash as of closing is lower than $64.5 million or greater than $65.5 million. AVROBIO management currently anticipates that AVROBIOs net cash as of closing will be approximately $65.0 million to $75.0 million, and the exchange ratio is currently estimated to be equal to approximately 0.74458326 (assuming (i) $65.0 million in AVROBIO net cash as of closing, (ii) a one-for-ten reverse stock split, and (iii) the private financings (as defined below) in Tectonic being in the amount of $130.7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AVROBIO will assume Tectonics Equity Incentive Plan (as defined below). Each outstanding and unexercised option to purchase shares of Tectonic common stock immediately prior to the effective time will be assumed by AVROBIO and will be converted into an option to purchase shares of AVROBIO common stock, with necessary adjustments to the number of shares and exercise price to reflect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certain investors have agreed to purchase shares of Tectonic common stock at a purchase price of $12.39908 per share subject to and immediately prior to the closing, pursuant to the terms of a subscription agreement entered into by such investors and Tectonic (the Subscription Agreement), and certain investors have consummated or will consummate certain additional purchases of Tectonic common stock pursuant to the conversion of certain simple agreements for future equity (SAFEs) entered into by such investors and Tectonic (the Company SAFEs), for an aggregate purchase price among the transactions contemplated by the Subscription Agreement and such Company SAFEs of approximately $130.7 million (collectively, the private financings and such shares of Tectonic common stock issued pursuant thereto, the private financing shares). The closing of the private financing contemplated by the Subscription Agreement is conditioned upon the satisfaction or waiver of the conditions to the closing as well as certain other conditions.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closing of the merger is conditioned upon the satisfaction or waiver of the receipt of cash proceeds not less than $114.5 million in connection with the consummation of the transactions contemplated by the private financings. The private financings are more fully described in the section titled </w:t>
      </w:r>
      <w:r>
        <w:rPr>
          <w:rFonts w:ascii="Times New Roman" w:hAnsi="Times New Roman"/>
          <w:i/>
          <w:sz w:val="20"/>
        </w:rPr>
        <w:t xml:space="preserve">Agreements Related to the MergerSubscription Agreement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share of AVROBIO common stock, each option to purchase AVROBIO common stock (each, an AVROBIO option) and each award of restricted stock units convertible into AVROBIO common stock (each, an AVROBIO RSU) that is issued and outstanding at the effective time will remain issued and outstanding in accordance with its terms and such shares, options and RSUs, subject to the proposed reverse stock split and any extension to the expiration time provided for in connection with the merger, will be unaffected by the merger (subject to, in the case of options and RSUs, the terms of AVROBIOs existing equity incentive plans and the award agreements thereunder).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$65.0 million in AVROBIOs net cash as of closing. </w:t>
      </w:r>
    </w:p>
    <w:p>
      <w:pPr>
        <w:pStyle w:val="TextBody"/>
        <w:bidi w:val="0"/>
        <w:spacing w:before="240" w:after="0"/>
        <w:jc w:val="left"/>
        <w:rPr>
          <w:rFonts w:ascii="Times New Roman" w:hAnsi="Times New Roman"/>
          <w:sz w:val="20"/>
        </w:rPr>
      </w:pPr>
      <w:r>
        <w:rPr>
          <w:rFonts w:ascii="Times New Roman" w:hAnsi="Times New Roman"/>
          <w:sz w:val="20"/>
        </w:rPr>
        <w:t>Shares of AVROBIO common stock are currently listed on The Nasdaq Global Select (Nasdaq) under the symbol AVRO. AVROBIO intends to file an initial listing application for the combined company with Nasdaq. After completion of the merger, AVROBIO will be renamed Tectonic Therapeutic, Inc. and it is expected that the common stock of the combined company will trade on Nasdaq under the symbol TECX. It is a condition to the consummation of the merger in favor of each of AVROBIO, Tectonic and Merger Sub that the approval of the listing on Nasdaq of the additional shares of AVROBIO common stock will have been obtained and the shares of AVROBIO common stock to be issued in the transactions contemplated by the Merger Agreement pursuant to the Merger Agreement will have been approved for listing (subject to official notice of issuance) on Nasdaq.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Nasdaq has not yet made a determination with respect to this approval, and the status of such approval may not yet be known at the time that AVROBIO stockholders are expected to vote at the special meeting. For additional information, please see the sections titled </w:t>
      </w:r>
      <w:r>
        <w:rPr>
          <w:rFonts w:ascii="Times New Roman" w:hAnsi="Times New Roman"/>
          <w:i/>
          <w:sz w:val="20"/>
        </w:rPr>
        <w:t>Risk FactorsRisks Related to MergerAVROBIO or Tectonic may waive one or more of the conditions to the merger without recirculation of this proxy statement/prospectus or resoliciting stockholder approval</w:t>
      </w:r>
      <w:r>
        <w:rPr>
          <w:rFonts w:ascii="Times New Roman" w:hAnsi="Times New Roman"/>
          <w:sz w:val="20"/>
        </w:rPr>
        <w:t> on page 37 of this proxy statement/prospectus and </w:t>
      </w:r>
      <w:r>
        <w:rPr>
          <w:rFonts w:ascii="Times New Roman" w:hAnsi="Times New Roman"/>
          <w:i/>
          <w:sz w:val="20"/>
        </w:rPr>
        <w:t>Risk FactorsRisks Related to the Proposed Reverse Stock SplitThe reverse stock split may not increase the combined companys stock price over the short- or long-term, which may further impact the combined companys ability to obtain or maintain listing on Nasdaq</w:t>
      </w:r>
      <w:r>
        <w:rPr>
          <w:rFonts w:ascii="Times New Roman" w:hAnsi="Times New Roman"/>
          <w:sz w:val="20"/>
        </w:rPr>
        <w:t xml:space="preserve"> on page 43 of this proxy statement/prospectus. On May 2, 2024, the last trading day before the date of this proxy statement/prospectus, the closing sale price of AVROBIO common stock as reported on Nasdaq was $1.23 per share.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stockholders (AVROBIO stockholders) are cordially invited to attend the special meeting of AVROBIO stockholders (the special meeting) on June 11, 2024, at 9:00 a.m. Eastern Time, unless postponed or adjourned to a later date, in order to obtain the stockholder approvals necessary to complete the merger and related matters. The special meeting will be held entirely online. AVROBIO stockholders will be able to attend and participate in the special meeting online by visiting </w:t>
      </w:r>
      <w:r>
        <w:rPr>
          <w:rFonts w:ascii="Times New Roman" w:hAnsi="Times New Roman"/>
          <w:i/>
          <w:sz w:val="20"/>
        </w:rPr>
        <w:t>www.proxydocs.com/AVRO</w:t>
      </w:r>
      <w:r>
        <w:rPr>
          <w:rFonts w:ascii="Times New Roman" w:hAnsi="Times New Roman"/>
          <w:sz w:val="20"/>
        </w:rPr>
        <w:t xml:space="preserve">, where they will be able to listen to the meeting live, submit questions and vote. At the special meeting, AVROBIO will ask its stockholders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AVROBIO common stock, which will represent more than 20% of the shares of AVROBIO common stock outstanding immediately prior to such transaction, to stockholders of Tectonic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AVROBIOs fourth amended and restated certificate of incorporation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of directors (the AVROBIO Board) and the Tectonic board of directors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(the Reverse Stock Split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(the Officer Exculpation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Tectonic Therapeutic, Inc. 2024 Equity Incentive Plan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which will become effective as of and contingent on the completion of the merger (the Incentive Plan Proposal or Proposal No.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Tectonic Therapeutic, Inc. 2024 Employee Stock Purchase Plan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which will become effective as of and contingent on the completion of the merger (the ESPP Proposal or Proposal No.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on a non-binding advisory vote basis, compensation that will or may become payable by AVROBIO to its named executive officers in connection with the merger, each as described in the accompanying proxy statement/prospectus (the Executive Compensation Arrangements Proposal or Proposal No. 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special meeting, if necessary, to solicit additional proxies if there are not sufficient votes in favor of the Nasdaq Stock Issuance Proposal and/or the Reverse Stock Split Proposal (the Adjournment Proposal or Proposal No. 7).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this proxy statement/prospectus, certain AVROBIO stockholders holding shares of AVROBIO capital stock representing approximately 10.8% of the outstanding shares of AVROBIO capital stock of AVROBIO as of January 30, 2024, and certain Tectonic stockholders holding shares of Tectonic capital stock representing approximately 88.0% of the voting power of Tectonic as of January 30, 2024, are parties to stockholder support agreements with AVROBIO and Tectonic, respectively, whereby AVROBIO stockholders have agreed to vote in favor of the Proposals herein and against any alternative acquisition proposals and the Tectonic stockholders have agreed to vote in favor of the adoption of the Merger Agreement and the approval of the merger and related transactions contemplated by the Merger Agreement, subject to the terms of their respective support agreements. Following the effectiveness of the Registration Statement on Form S-4 of which this proxy statement/prospectus is a part and pursuant to the Merger Agreement, Tectonic stockholders holding shares of Tectonic capital stock representing approximately 88.0% of the voting power of Tectonic will be asked to execute a written consent to adopt the Merger Agreement and approve the merger and related transactions.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After careful consideration, each of the AVROBIO Board and Tectonic Board have unanimously approved the Merger Agreement and have determined that it is advisable to consummate the merger. The AVROBIO Board has approved the Proposals described in this proxy statement/prospectus and unanimously recommends that AVROBIO stockholders vote </w:t>
      </w:r>
      <w:r>
        <w:rPr>
          <w:rFonts w:ascii="Times New Roman" w:hAnsi="Times New Roman"/>
          <w:b/>
          <w:sz w:val="20"/>
        </w:rPr>
        <w:t>FOR</w:t>
      </w:r>
      <w:r>
        <w:rPr>
          <w:rFonts w:ascii="Times New Roman" w:hAnsi="Times New Roman"/>
          <w:sz w:val="20"/>
        </w:rPr>
        <w:t xml:space="preserve"> the Proposals described in this proxy statement/prospectus. </w:t>
      </w:r>
    </w:p>
    <w:p>
      <w:pPr>
        <w:pStyle w:val="TextBody"/>
        <w:bidi w:val="0"/>
        <w:spacing w:before="240" w:after="0"/>
        <w:jc w:val="left"/>
        <w:rPr/>
      </w:pPr>
      <w:r>
        <w:rPr>
          <w:rFonts w:ascii="Times New Roman" w:hAnsi="Times New Roman"/>
          <w:b/>
          <w:sz w:val="24"/>
        </w:rPr>
        <w:t>More information about AVROBIO, Tectonic, the Merger Agreement and transactions contemplated thereby and the foregoing Proposals is contained in this proxy statement/prospectus. AVROBIO urges you to read this proxy statement/prospectus carefully and in its entirety. IN PARTICULAR, YOU SHOULD CAREFULLY CONSIDER THE MATTERS DISCUSSED UNDER </w:t>
      </w:r>
      <w:hyperlink w:anchor="toc770053_20">
        <w:r>
          <w:rPr>
            <w:rStyle w:val="InternetLink"/>
            <w:rFonts w:ascii="Times New Roman" w:hAnsi="Times New Roman"/>
            <w:b/>
            <w:i/>
            <w:sz w:val="24"/>
          </w:rPr>
          <w:t>RISK FACTORS</w:t>
        </w:r>
      </w:hyperlink>
      <w:r>
        <w:rPr>
          <w:rFonts w:ascii="Times New Roman" w:hAnsi="Times New Roman"/>
          <w:b/>
          <w:sz w:val="24"/>
        </w:rPr>
        <w:t xml:space="preserve"> BEGINNING ON PAGE 36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and Tectonic are excited about the opportunities that the merger brings to our respective stockholders and thank you for your consideration and continued support.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pPr>
            <w:r>
              <w:rPr/>
              <w:drawing>
                <wp:inline distT="0" distB="0" distL="0" distR="0">
                  <wp:extent cx="156845" cy="41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6845" cy="4127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drawing>
                <wp:inline distT="0" distB="0" distL="0" distR="0">
                  <wp:extent cx="161290" cy="41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1290" cy="41275"/>
                          </a:xfrm>
                          <a:prstGeom prst="rect">
                            <a:avLst/>
                          </a:prstGeom>
                        </pic:spPr>
                      </pic:pic>
                    </a:graphicData>
                  </a:graphic>
                </wp:inline>
              </w:drawing>
            </w:r>
            <w:r>
              <w:rPr/>
              <w:t xml:space="preserve"> </w:t>
            </w:r>
          </w:p>
        </w:tc>
      </w:tr>
      <w:tr>
        <w:trPr/>
        <w:tc>
          <w:tcPr>
            <w:tcW w:w="5204" w:type="dxa"/>
            <w:tcBorders/>
          </w:tcPr>
          <w:p>
            <w:pPr>
              <w:pStyle w:val="TableContents"/>
              <w:bidi w:val="0"/>
              <w:spacing w:before="0" w:after="283"/>
              <w:jc w:val="center"/>
              <w:rPr/>
            </w:pPr>
            <w:r>
              <w:rPr/>
              <w:t>Erik Ostrowski</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Alise Reicin, M.D.</w:t>
            </w:r>
          </w:p>
        </w:tc>
      </w:tr>
      <w:tr>
        <w:trPr/>
        <w:tc>
          <w:tcPr>
            <w:tcW w:w="5204" w:type="dxa"/>
            <w:tcBorders/>
          </w:tcPr>
          <w:p>
            <w:pPr>
              <w:pStyle w:val="TableContents"/>
              <w:bidi w:val="0"/>
              <w:spacing w:before="0" w:after="283"/>
              <w:jc w:val="center"/>
              <w:rPr>
                <w:i/>
              </w:rPr>
            </w:pPr>
            <w:r>
              <w:rPr>
                <w:i/>
              </w:rPr>
              <w:t>President, Interim Chief Executive Officer, Chief Financial Officer and Treasurer</w:t>
            </w:r>
          </w:p>
        </w:tc>
        <w:tc>
          <w:tcPr>
            <w:tcW w:w="203" w:type="dxa"/>
            <w:vMerge w:val="restart"/>
            <w:tcBorders/>
            <w:vAlign w:val="bottom"/>
          </w:tcPr>
          <w:p>
            <w:pPr>
              <w:pStyle w:val="TableContents"/>
              <w:bidi w:val="0"/>
              <w:spacing w:before="0" w:after="283"/>
              <w:jc w:val="left"/>
              <w:rPr/>
            </w:pPr>
            <w:r>
              <w:rPr/>
              <w:t>  </w:t>
            </w:r>
          </w:p>
        </w:tc>
        <w:tc>
          <w:tcPr>
            <w:tcW w:w="4798" w:type="dxa"/>
            <w:vMerge w:val="restart"/>
            <w:tcBorders/>
          </w:tcPr>
          <w:p>
            <w:pPr>
              <w:pStyle w:val="TableContents"/>
              <w:bidi w:val="0"/>
              <w:spacing w:before="0" w:after="0"/>
              <w:jc w:val="center"/>
              <w:rPr>
                <w:rFonts w:ascii="Times New Roman" w:hAnsi="Times New Roman"/>
                <w:i/>
                <w:sz w:val="20"/>
              </w:rPr>
            </w:pPr>
            <w:r>
              <w:rPr>
                <w:rFonts w:ascii="Times New Roman" w:hAnsi="Times New Roman"/>
                <w:i/>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Tectonic Therapeutic, Inc.</w:t>
            </w:r>
          </w:p>
        </w:tc>
      </w:tr>
      <w:tr>
        <w:trPr/>
        <w:tc>
          <w:tcPr>
            <w:tcW w:w="5204" w:type="dxa"/>
            <w:tcBorders/>
          </w:tcPr>
          <w:p>
            <w:pPr>
              <w:pStyle w:val="TableContents"/>
              <w:bidi w:val="0"/>
              <w:spacing w:before="0" w:after="283"/>
              <w:jc w:val="center"/>
              <w:rPr/>
            </w:pPr>
            <w:r>
              <w:rPr/>
              <w:t>AVROBIO, Inc.</w:t>
            </w:r>
          </w:p>
        </w:tc>
        <w:tc>
          <w:tcPr>
            <w:tcW w:w="203" w:type="dxa"/>
            <w:vMerge w:val="continue"/>
            <w:tcBorders/>
            <w:vAlign w:val="bottom"/>
          </w:tcPr>
          <w:p>
            <w:pPr>
              <w:pStyle w:val="Normal"/>
              <w:bidi w:val="0"/>
              <w:jc w:val="left"/>
              <w:rPr/>
            </w:pPr>
            <w:r>
              <w:rPr/>
            </w:r>
          </w:p>
        </w:tc>
        <w:tc>
          <w:tcPr>
            <w:tcW w:w="4798" w:type="dxa"/>
            <w:vMerge w:val="continue"/>
            <w:tcBorders/>
          </w:tcPr>
          <w:p>
            <w:pPr>
              <w:pStyle w:val="Normal"/>
              <w:bidi w:val="0"/>
              <w:jc w:val="left"/>
              <w:rPr/>
            </w:pPr>
            <w:r>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proxy statement/prospectus.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statement/prospectus is dated May 3, 2024, and is first being mailed to AVROBIO stockholders on or about May 3,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0" w:after="0"/>
        <w:jc w:val="center"/>
        <w:rPr>
          <w:rFonts w:ascii="Times New Roman" w:hAnsi="Times New Roman"/>
          <w:b/>
          <w:sz w:val="20"/>
        </w:rPr>
      </w:pPr>
      <w:r>
        <w:rPr>
          <w:rFonts w:ascii="Times New Roman" w:hAnsi="Times New Roman"/>
          <w:b/>
          <w:sz w:val="20"/>
        </w:rPr>
        <w:t xml:space="preserve">One Broadway, 14th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AVROBIO stockholders: </w:t>
      </w:r>
    </w:p>
    <w:p>
      <w:pPr>
        <w:pStyle w:val="TextBody"/>
        <w:bidi w:val="0"/>
        <w:spacing w:before="24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the special meeting will be held on June 11, 2024 at 9:00 a.m. Eastern Time, unless postponed or adjourned to a later date. The special meeting will be held entirely online. You will be able to attend and participate in the special meeting online by visiting </w:t>
      </w:r>
      <w:r>
        <w:rPr>
          <w:rFonts w:ascii="Times New Roman" w:hAnsi="Times New Roman"/>
          <w:i/>
          <w:sz w:val="20"/>
        </w:rPr>
        <w:t>www.proxydocs.com/AVRO</w:t>
      </w:r>
      <w:r>
        <w:rPr>
          <w:rFonts w:ascii="Times New Roman" w:hAnsi="Times New Roman"/>
          <w:sz w:val="20"/>
        </w:rPr>
        <w:t xml:space="preserve">, where you will be able to listen to the meeting live, submit questions and vote. </w:t>
      </w:r>
    </w:p>
    <w:p>
      <w:pPr>
        <w:pStyle w:val="TextBody"/>
        <w:bidi w:val="0"/>
        <w:spacing w:before="240" w:after="0"/>
        <w:jc w:val="left"/>
        <w:rPr>
          <w:rFonts w:ascii="Times New Roman" w:hAnsi="Times New Roman"/>
          <w:b/>
          <w:sz w:val="20"/>
        </w:rPr>
      </w:pPr>
      <w:r>
        <w:rPr>
          <w:rFonts w:ascii="Times New Roman" w:hAnsi="Times New Roman"/>
          <w:b/>
          <w:sz w:val="20"/>
        </w:rPr>
        <w:t xml:space="preserve">The special meeting will be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The Nasdaq Stock Issuance Proposal or Proposal No.</w:t>
            </w:r>
            <w:r>
              <w:rPr>
                <w:rFonts w:ascii="Times New Roman" w:hAnsi="Times New Roman"/>
                <w:sz w:val="20"/>
                <w:u w:val="single"/>
              </w:rPr>
              <w:t> </w:t>
            </w:r>
            <w:r>
              <w:rPr>
                <w:rFonts w:ascii="Times New Roman" w:hAnsi="Times New Roman"/>
                <w:b/>
                <w:sz w:val="20"/>
                <w:u w:val="single"/>
              </w:rPr>
              <w:t>1</w:t>
            </w:r>
            <w:r>
              <w:rPr>
                <w:rFonts w:ascii="Times New Roman" w:hAnsi="Times New Roman"/>
                <w:sz w:val="20"/>
              </w:rPr>
              <w:t xml:space="preserve">: To approve (i) the issuance of shares of AVROBIO common stock, which will represent more than 20% of the shares of AVROBIO common stock outstanding immediately prior to the merger,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the merger, pursuant to Nasdaq Listing Rules 5635(a) and 5635(b),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The Reverse Stock Split Proposal or Proposal No.</w:t>
            </w:r>
            <w:r>
              <w:rPr>
                <w:rFonts w:ascii="Times New Roman" w:hAnsi="Times New Roman"/>
                <w:sz w:val="20"/>
                <w:u w:val="single"/>
              </w:rPr>
              <w:t> </w:t>
            </w:r>
            <w:r>
              <w:rPr>
                <w:rFonts w:ascii="Times New Roman" w:hAnsi="Times New Roman"/>
                <w:b/>
                <w:sz w:val="20"/>
                <w:u w:val="single"/>
              </w:rPr>
              <w:t>2</w:t>
            </w:r>
            <w:r>
              <w:rPr>
                <w:rFonts w:ascii="Times New Roman" w:hAnsi="Times New Roman"/>
                <w:sz w:val="20"/>
              </w:rPr>
              <w:t xml:space="preserve">: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The Officer Exculpation Proposal or Proposal No.</w:t>
            </w:r>
            <w:r>
              <w:rPr>
                <w:rFonts w:ascii="Times New Roman" w:hAnsi="Times New Roman"/>
                <w:sz w:val="20"/>
                <w:u w:val="single"/>
              </w:rPr>
              <w:t> </w:t>
            </w:r>
            <w:r>
              <w:rPr>
                <w:rFonts w:ascii="Times New Roman" w:hAnsi="Times New Roman"/>
                <w:b/>
                <w:sz w:val="20"/>
                <w:u w:val="single"/>
              </w:rPr>
              <w:t>3</w:t>
            </w:r>
            <w:r>
              <w:rPr>
                <w:rFonts w:ascii="Times New Roman" w:hAnsi="Times New Roman"/>
                <w:sz w:val="20"/>
              </w:rPr>
              <w:t xml:space="preserve">: 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The Incentive Plan Proposal or Proposal No.</w:t>
            </w:r>
            <w:r>
              <w:rPr>
                <w:rFonts w:ascii="Times New Roman" w:hAnsi="Times New Roman"/>
                <w:sz w:val="20"/>
                <w:u w:val="single"/>
              </w:rPr>
              <w:t> </w:t>
            </w:r>
            <w:r>
              <w:rPr>
                <w:rFonts w:ascii="Times New Roman" w:hAnsi="Times New Roman"/>
                <w:b/>
                <w:sz w:val="20"/>
                <w:u w:val="single"/>
              </w:rPr>
              <w:t>4</w:t>
            </w:r>
            <w:r>
              <w:rPr>
                <w:rFonts w:ascii="Times New Roman" w:hAnsi="Times New Roman"/>
                <w:sz w:val="20"/>
              </w:rPr>
              <w:t xml:space="preserve">: 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The ESPP Proposal or Proposal No.</w:t>
            </w:r>
            <w:r>
              <w:rPr>
                <w:rFonts w:ascii="Times New Roman" w:hAnsi="Times New Roman"/>
                <w:sz w:val="20"/>
                <w:u w:val="single"/>
              </w:rPr>
              <w:t> </w:t>
            </w:r>
            <w:r>
              <w:rPr>
                <w:rFonts w:ascii="Times New Roman" w:hAnsi="Times New Roman"/>
                <w:b/>
                <w:sz w:val="20"/>
                <w:u w:val="single"/>
              </w:rPr>
              <w:t>5</w:t>
            </w:r>
            <w:r>
              <w:rPr>
                <w:rFonts w:ascii="Times New Roman" w:hAnsi="Times New Roman"/>
                <w:sz w:val="20"/>
              </w:rPr>
              <w:t xml:space="preserve">: 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The Executive Compensation Arrangements Proposal or Proposal No.</w:t>
            </w:r>
            <w:r>
              <w:rPr>
                <w:rFonts w:ascii="Times New Roman" w:hAnsi="Times New Roman"/>
                <w:sz w:val="20"/>
                <w:u w:val="single"/>
              </w:rPr>
              <w:t> </w:t>
            </w:r>
            <w:r>
              <w:rPr>
                <w:rFonts w:ascii="Times New Roman" w:hAnsi="Times New Roman"/>
                <w:b/>
                <w:sz w:val="20"/>
                <w:u w:val="single"/>
              </w:rPr>
              <w:t>6</w:t>
            </w:r>
            <w:r>
              <w:rPr>
                <w:rFonts w:ascii="Times New Roman" w:hAnsi="Times New Roman"/>
                <w:sz w:val="20"/>
              </w:rPr>
              <w:t xml:space="preserve">: To approve, on a non-binding advisory vote basis, compensation that will or may become payable by AVROBIO to its named executive officers in connection with the merger, each as described in the accompanying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The Adjournment Proposal or Proposal No.</w:t>
            </w:r>
            <w:r>
              <w:rPr>
                <w:rFonts w:ascii="Times New Roman" w:hAnsi="Times New Roman"/>
                <w:sz w:val="20"/>
                <w:u w:val="single"/>
              </w:rPr>
              <w:t> </w:t>
            </w:r>
            <w:r>
              <w:rPr>
                <w:rFonts w:ascii="Times New Roman" w:hAnsi="Times New Roman"/>
                <w:b/>
                <w:sz w:val="20"/>
                <w:u w:val="single"/>
              </w:rPr>
              <w:t>7</w:t>
            </w:r>
            <w:r>
              <w:rPr>
                <w:rFonts w:ascii="Times New Roman" w:hAnsi="Times New Roman"/>
                <w:sz w:val="20"/>
              </w:rPr>
              <w:t xml:space="preserve">: To approve an adjournment of the special meeting, if necessary, to solicit additional proxies if there are not sufficient votes in favor of the Nasdaq Stock Issuance Proposal and/or the Reverse Stock Split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has fixed April 29, 2024 as the record date (the record date) for the determination of AVROBIO stockholders entitled to notice of, and to vote at, the special meeting and any adjournment or postponement thereof. Only holders of record of shares of AVROBIO common stock at the close of business on the record date are entitled to notice of, and to vote at, the special meeting. At the close of business on the record date, AVROBIO had 44,887,995 shares of common stock outstanding and entitled to vote.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by the holders of AVROBIO common stock at the special meeting, assuming a quorum is present, is required for approval of Proposal Nos. 1, 2, 4, 5, 6 and 7. The affirmative vote of a majority of the outstanding shares of AVROBIO common stock entitled to vote at the special meeting is required for approval of Proposal No. 3. Proposal Nos. 4 and 5 are conditioned upon the approval of Proposal No. 1. However, approval of each of Proposal Nos. 1 and 2 is a condition to the completion of the merger. Therefore, the merger cannot be consummated without the approval of Proposal Nos. 1 and 2.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virtually attend the special meeting, AVROBIO requests that you sign and return the enclosed proxy or vote by mail or online to ensure that your shares will be represented at the special meeting if you are unable to virtually attend. You may change or revoke your proxy at any time before it is voted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AVROBIO BOARD HAS UNANIMOUSLY DETERMINED AND BELIEVES THAT EACH OF THE PROPOSALS OUTLINED ABOVE IS FAIR TO, IN THE BEST INTERESTS OF, AND ADVISABLE TO AVROBIO AND ITS STOCKHOLDERS AND HAS APPROVED EACH SUCH PROPOSAL. THE AVROBIO BOARD UNANIMOUSLY RECOMMENDS THAT AVROBIO STOCKHOLDERS VOTE FOR EACH SUCH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June 11, 2024 at 9:00 a.m. Eastern Time via the Internet. </w:t>
      </w:r>
    </w:p>
    <w:p>
      <w:pPr>
        <w:pStyle w:val="TextBody"/>
        <w:bidi w:val="0"/>
        <w:spacing w:before="240" w:after="0"/>
        <w:jc w:val="center"/>
        <w:rPr>
          <w:rFonts w:ascii="Times New Roman" w:hAnsi="Times New Roman"/>
          <w:sz w:val="20"/>
        </w:rPr>
      </w:pPr>
      <w:r>
        <w:rPr>
          <w:rFonts w:ascii="Times New Roman" w:hAnsi="Times New Roman"/>
          <w:sz w:val="20"/>
        </w:rPr>
        <w:t xml:space="preserve">The proxy statement/prospectus and annual report to stockholders are available at </w:t>
      </w:r>
      <w:r>
        <w:rPr>
          <w:rFonts w:ascii="Times New Roman" w:hAnsi="Times New Roman"/>
          <w:i/>
          <w:sz w:val="20"/>
        </w:rPr>
        <w:t>www.proxydocs.com/AVRO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AVROBIO Board, </w:t>
      </w:r>
    </w:p>
    <w:p>
      <w:pPr>
        <w:pStyle w:val="TextBody"/>
        <w:bidi w:val="0"/>
        <w:spacing w:before="0" w:after="0"/>
        <w:jc w:val="left"/>
        <w:rPr/>
      </w:pPr>
      <w:r>
        <w:rPr/>
        <w:t> </w:t>
      </w:r>
    </w:p>
    <w:p>
      <w:pPr>
        <w:pStyle w:val="TextBody"/>
        <w:bidi w:val="0"/>
        <w:spacing w:before="0" w:after="0"/>
        <w:jc w:val="left"/>
        <w:rPr/>
      </w:pPr>
      <w:r>
        <w:rPr/>
        <w:drawing>
          <wp:inline distT="0" distB="0" distL="0" distR="0">
            <wp:extent cx="156845" cy="41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6845" cy="41275"/>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Erik Ostrowski </w:t>
      </w:r>
    </w:p>
    <w:p>
      <w:pPr>
        <w:pStyle w:val="TextBody"/>
        <w:bidi w:val="0"/>
        <w:spacing w:before="120" w:after="0"/>
        <w:jc w:val="left"/>
        <w:rPr>
          <w:rFonts w:ascii="Times New Roman" w:hAnsi="Times New Roman"/>
          <w:sz w:val="20"/>
        </w:rPr>
      </w:pPr>
      <w:r>
        <w:rPr>
          <w:rFonts w:ascii="Times New Roman" w:hAnsi="Times New Roman"/>
          <w:sz w:val="20"/>
        </w:rPr>
        <w:t xml:space="preserve">President, Interim Chief Executive Officer, Chief Financial Officer and Treasurer </w:t>
      </w:r>
    </w:p>
    <w:p>
      <w:pPr>
        <w:pStyle w:val="TextBody"/>
        <w:bidi w:val="0"/>
        <w:spacing w:before="120" w:after="0"/>
        <w:jc w:val="left"/>
        <w:rPr>
          <w:rFonts w:ascii="Times New Roman" w:hAnsi="Times New Roman"/>
          <w:sz w:val="20"/>
        </w:rPr>
      </w:pPr>
      <w:r>
        <w:rPr>
          <w:rFonts w:ascii="Times New Roman" w:hAnsi="Times New Roman"/>
          <w:sz w:val="20"/>
        </w:rPr>
        <w:t xml:space="preserve">May 3, 2024 </w:t>
      </w:r>
    </w:p>
    <w:p>
      <w:pPr>
        <w:pStyle w:val="TextBody"/>
        <w:bidi w:val="0"/>
        <w:spacing w:before="480" w:after="0"/>
        <w:jc w:val="center"/>
        <w:rPr>
          <w:rFonts w:ascii="Times New Roman" w:hAnsi="Times New Roman"/>
          <w:b/>
          <w:sz w:val="20"/>
        </w:rPr>
      </w:pPr>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AVROBIO that is not included in or delivered with this document. You may obtain this information without charge through the Securities and Exchange Commission (SEC)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AVROBIO, Inc. by calling (617) 752-7011 or via email to CorporateSecretary@AVROBIO.com.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timely delivery of these documents, any request should be made no later than June 3, 2024 to receive them before the special meeting.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AVROBIO,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
        <w:gridCol w:w="118"/>
        <w:gridCol w:w="9410"/>
        <w:gridCol w:w="151"/>
        <w:gridCol w:w="60"/>
        <w:gridCol w:w="381"/>
        <w:gridCol w:w="63"/>
      </w:tblGrid>
      <w:tr>
        <w:trPr/>
        <w:tc>
          <w:tcPr>
            <w:tcW w:w="22"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941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Pr>
          <w:p>
            <w:pPr>
              <w:pStyle w:val="TableContents"/>
              <w:bidi w:val="0"/>
              <w:spacing w:before="0" w:after="283"/>
              <w:jc w:val="left"/>
              <w:rPr/>
            </w:pPr>
            <w:hyperlink w:anchor="toc770053_1">
              <w:r>
                <w:rPr>
                  <w:rStyle w:val="InternetLink"/>
                </w:rPr>
                <w:t xml:space="preserve">QUESTIONS AND ANSWERS ABOUT THE MERGER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50" w:type="dxa"/>
            <w:gridSpan w:val="3"/>
            <w:tcBorders/>
          </w:tcPr>
          <w:p>
            <w:pPr>
              <w:pStyle w:val="TableContents"/>
              <w:bidi w:val="0"/>
              <w:spacing w:before="0" w:after="283"/>
              <w:jc w:val="left"/>
              <w:rPr/>
            </w:pPr>
            <w:hyperlink w:anchor="toc770053_2">
              <w:r>
                <w:rPr>
                  <w:rStyle w:val="InternetLink"/>
                </w:rPr>
                <w:t xml:space="preserve">PROSPECTUS SUMMARY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3">
              <w:r>
                <w:rPr>
                  <w:rStyle w:val="InternetLink"/>
                  <w:rFonts w:ascii="Times New Roman" w:hAnsi="Times New Roman"/>
                  <w:sz w:val="20"/>
                </w:rPr>
                <w:t>The Companies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
              <w:r>
                <w:rPr>
                  <w:rStyle w:val="InternetLink"/>
                  <w:rFonts w:ascii="Times New Roman" w:hAnsi="Times New Roman"/>
                  <w:sz w:val="20"/>
                </w:rPr>
                <w:t>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
              <w:r>
                <w:rPr>
                  <w:rStyle w:val="InternetLink"/>
                  <w:rFonts w:ascii="Times New Roman" w:hAnsi="Times New Roman"/>
                  <w:sz w:val="20"/>
                </w:rPr>
                <w:t>AVROBIOs Reasons for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6">
              <w:r>
                <w:rPr>
                  <w:rStyle w:val="InternetLink"/>
                  <w:rFonts w:ascii="Times New Roman" w:hAnsi="Times New Roman"/>
                  <w:sz w:val="20"/>
                </w:rPr>
                <w:t>Recommendation of the AVROBIO Board</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7">
              <w:r>
                <w:rPr>
                  <w:rStyle w:val="InternetLink"/>
                  <w:rFonts w:ascii="Times New Roman" w:hAnsi="Times New Roman"/>
                  <w:sz w:val="20"/>
                </w:rPr>
                <w:t>Interests of AVROBIOs Directors and Executive Officers in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8">
              <w:r>
                <w:rPr>
                  <w:rStyle w:val="InternetLink"/>
                  <w:rFonts w:ascii="Times New Roman" w:hAnsi="Times New Roman"/>
                  <w:sz w:val="20"/>
                </w:rPr>
                <w:t>Interests of Tectonics Directors and Executive Officers in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9">
              <w:r>
                <w:rPr>
                  <w:rStyle w:val="InternetLink"/>
                  <w:rFonts w:ascii="Times New Roman" w:hAnsi="Times New Roman"/>
                  <w:sz w:val="20"/>
                </w:rPr>
                <w:t>Opinion of Houlihan Lokey to the AVROBIO Board</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0">
              <w:r>
                <w:rPr>
                  <w:rStyle w:val="InternetLink"/>
                  <w:rFonts w:ascii="Times New Roman" w:hAnsi="Times New Roman"/>
                  <w:sz w:val="20"/>
                </w:rPr>
                <w:t>Management Following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1">
              <w:r>
                <w:rPr>
                  <w:rStyle w:val="InternetLink"/>
                  <w:rFonts w:ascii="Times New Roman" w:hAnsi="Times New Roman"/>
                  <w:sz w:val="20"/>
                </w:rPr>
                <w:t>Material U.S. Federal Income Tax Consequences of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2">
              <w:r>
                <w:rPr>
                  <w:rStyle w:val="InternetLink"/>
                  <w:rFonts w:ascii="Times New Roman" w:hAnsi="Times New Roman"/>
                  <w:sz w:val="20"/>
                </w:rPr>
                <w:t>Risk Factors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3">
              <w:r>
                <w:rPr>
                  <w:rStyle w:val="InternetLink"/>
                  <w:rFonts w:ascii="Times New Roman" w:hAnsi="Times New Roman"/>
                  <w:sz w:val="20"/>
                </w:rPr>
                <w:t>Regulatory Approvals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4">
              <w:r>
                <w:rPr>
                  <w:rStyle w:val="InternetLink"/>
                  <w:rFonts w:ascii="Times New Roman" w:hAnsi="Times New Roman"/>
                  <w:sz w:val="20"/>
                </w:rPr>
                <w:t>Nasdaq Stock Market Listing</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5">
              <w:r>
                <w:rPr>
                  <w:rStyle w:val="InternetLink"/>
                  <w:rFonts w:ascii="Times New Roman" w:hAnsi="Times New Roman"/>
                  <w:sz w:val="20"/>
                </w:rPr>
                <w:t>Anticipated Accounting Treatment</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6">
              <w:r>
                <w:rPr>
                  <w:rStyle w:val="InternetLink"/>
                  <w:rFonts w:ascii="Times New Roman" w:hAnsi="Times New Roman"/>
                  <w:sz w:val="20"/>
                </w:rPr>
                <w:t>Appraisal Rights and Dissenters Rights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7">
              <w:r>
                <w:rPr>
                  <w:rStyle w:val="InternetLink"/>
                  <w:rFonts w:ascii="Times New Roman" w:hAnsi="Times New Roman"/>
                  <w:sz w:val="20"/>
                </w:rPr>
                <w:t>Comparison of Stockholder Rights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50" w:type="dxa"/>
            <w:gridSpan w:val="3"/>
            <w:tcBorders/>
          </w:tcPr>
          <w:p>
            <w:pPr>
              <w:pStyle w:val="TableContents"/>
              <w:bidi w:val="0"/>
              <w:spacing w:before="0" w:after="283"/>
              <w:jc w:val="left"/>
              <w:rPr/>
            </w:pPr>
            <w:hyperlink w:anchor="toc770053_18">
              <w:r>
                <w:rPr>
                  <w:rStyle w:val="InternetLink"/>
                </w:rPr>
                <w:t xml:space="preserve">MARKET PRICE AND DIVIDEND INFORMATION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19">
              <w:r>
                <w:rPr>
                  <w:rStyle w:val="InternetLink"/>
                  <w:rFonts w:ascii="Times New Roman" w:hAnsi="Times New Roman"/>
                  <w:sz w:val="20"/>
                </w:rPr>
                <w:t xml:space="preserve">Dividends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50" w:type="dxa"/>
            <w:gridSpan w:val="3"/>
            <w:tcBorders/>
          </w:tcPr>
          <w:p>
            <w:pPr>
              <w:pStyle w:val="TableContents"/>
              <w:bidi w:val="0"/>
              <w:spacing w:before="0" w:after="283"/>
              <w:jc w:val="left"/>
              <w:rPr/>
            </w:pPr>
            <w:hyperlink w:anchor="toc770053_20">
              <w:r>
                <w:rPr>
                  <w:rStyle w:val="InternetLink"/>
                </w:rPr>
                <w:t xml:space="preserve">RISK FACTORS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21">
              <w:r>
                <w:rPr>
                  <w:rStyle w:val="InternetLink"/>
                  <w:rFonts w:ascii="Times New Roman" w:hAnsi="Times New Roman"/>
                  <w:sz w:val="20"/>
                </w:rPr>
                <w:t>Risks Related to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22">
              <w:r>
                <w:rPr>
                  <w:rStyle w:val="InternetLink"/>
                  <w:rFonts w:ascii="Times New Roman" w:hAnsi="Times New Roman"/>
                  <w:sz w:val="20"/>
                </w:rPr>
                <w:t>Risks Related to the Proposed Reverse Stock Split</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24">
              <w:r>
                <w:rPr>
                  <w:rStyle w:val="InternetLink"/>
                  <w:rFonts w:ascii="Times New Roman" w:hAnsi="Times New Roman"/>
                  <w:sz w:val="20"/>
                </w:rPr>
                <w:t>Risks Related to AVROBIO</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33">
              <w:r>
                <w:rPr>
                  <w:rStyle w:val="InternetLink"/>
                  <w:rFonts w:ascii="Times New Roman" w:hAnsi="Times New Roman"/>
                  <w:sz w:val="20"/>
                </w:rPr>
                <w:t>Risks Related to Tectonic</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34">
              <w:r>
                <w:rPr>
                  <w:rStyle w:val="InternetLink"/>
                  <w:rFonts w:ascii="Times New Roman" w:hAnsi="Times New Roman"/>
                  <w:sz w:val="20"/>
                </w:rPr>
                <w:t>Risks Related to the Combined Company</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159</w:t>
            </w:r>
          </w:p>
        </w:tc>
        <w:tc>
          <w:tcPr>
            <w:tcW w:w="63" w:type="dxa"/>
            <w:tcBorders/>
            <w:vAlign w:val="bottom"/>
          </w:tcPr>
          <w:p>
            <w:pPr>
              <w:pStyle w:val="TableContents"/>
              <w:bidi w:val="0"/>
              <w:spacing w:before="0" w:after="283"/>
              <w:jc w:val="left"/>
              <w:rPr/>
            </w:pPr>
            <w:r>
              <w:rPr/>
              <w:t> </w:t>
            </w:r>
          </w:p>
        </w:tc>
      </w:tr>
      <w:tr>
        <w:trPr/>
        <w:tc>
          <w:tcPr>
            <w:tcW w:w="9550" w:type="dxa"/>
            <w:gridSpan w:val="3"/>
            <w:tcBorders/>
          </w:tcPr>
          <w:p>
            <w:pPr>
              <w:pStyle w:val="TableContents"/>
              <w:bidi w:val="0"/>
              <w:spacing w:before="0" w:after="283"/>
              <w:jc w:val="left"/>
              <w:rPr/>
            </w:pPr>
            <w:hyperlink w:anchor="toc770053_35">
              <w:r>
                <w:rPr>
                  <w:rStyle w:val="InternetLink"/>
                </w:rPr>
                <w:t xml:space="preserve">CAUTIONARY NOTE REGARDING FORWARD-LOOKING STATEMENTS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9550" w:type="dxa"/>
            <w:gridSpan w:val="3"/>
            <w:tcBorders/>
          </w:tcPr>
          <w:p>
            <w:pPr>
              <w:pStyle w:val="TableContents"/>
              <w:bidi w:val="0"/>
              <w:spacing w:before="0" w:after="283"/>
              <w:jc w:val="left"/>
              <w:rPr/>
            </w:pPr>
            <w:hyperlink w:anchor="toc770053_36">
              <w:r>
                <w:rPr>
                  <w:rStyle w:val="InternetLink"/>
                </w:rPr>
                <w:t xml:space="preserve">THE SPECIAL MEETING OF AVROBIO STOCKHOLDERS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37">
              <w:r>
                <w:rPr>
                  <w:rStyle w:val="InternetLink"/>
                  <w:rFonts w:ascii="Times New Roman" w:hAnsi="Times New Roman"/>
                  <w:sz w:val="20"/>
                </w:rPr>
                <w:t>Date, Time and Place</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38">
              <w:r>
                <w:rPr>
                  <w:rStyle w:val="InternetLink"/>
                  <w:rFonts w:ascii="Times New Roman" w:hAnsi="Times New Roman"/>
                  <w:sz w:val="20"/>
                </w:rPr>
                <w:t>Purposes of the Special Meeting</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39">
              <w:r>
                <w:rPr>
                  <w:rStyle w:val="InternetLink"/>
                  <w:rFonts w:ascii="Times New Roman" w:hAnsi="Times New Roman"/>
                  <w:sz w:val="20"/>
                </w:rPr>
                <w:t>Recommendation of the AVROBIO Board</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0">
              <w:r>
                <w:rPr>
                  <w:rStyle w:val="InternetLink"/>
                  <w:rFonts w:ascii="Times New Roman" w:hAnsi="Times New Roman"/>
                  <w:sz w:val="20"/>
                </w:rPr>
                <w:t>Record Date and Voting Power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1">
              <w:r>
                <w:rPr>
                  <w:rStyle w:val="InternetLink"/>
                  <w:rFonts w:ascii="Times New Roman" w:hAnsi="Times New Roman"/>
                  <w:sz w:val="20"/>
                </w:rPr>
                <w:t>Voting and Revocation of Proxies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2">
              <w:r>
                <w:rPr>
                  <w:rStyle w:val="InternetLink"/>
                  <w:rFonts w:ascii="Times New Roman" w:hAnsi="Times New Roman"/>
                  <w:sz w:val="20"/>
                </w:rPr>
                <w:t>Required Vote</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177</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3">
              <w:r>
                <w:rPr>
                  <w:rStyle w:val="InternetLink"/>
                  <w:rFonts w:ascii="Times New Roman" w:hAnsi="Times New Roman"/>
                  <w:sz w:val="20"/>
                </w:rPr>
                <w:t>Solicitation of Proxies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178</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4">
              <w:r>
                <w:rPr>
                  <w:rStyle w:val="InternetLink"/>
                  <w:rFonts w:ascii="Times New Roman" w:hAnsi="Times New Roman"/>
                  <w:sz w:val="20"/>
                </w:rPr>
                <w:t>Other Matters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178</w:t>
            </w:r>
          </w:p>
        </w:tc>
        <w:tc>
          <w:tcPr>
            <w:tcW w:w="63" w:type="dxa"/>
            <w:tcBorders/>
            <w:vAlign w:val="bottom"/>
          </w:tcPr>
          <w:p>
            <w:pPr>
              <w:pStyle w:val="TableContents"/>
              <w:bidi w:val="0"/>
              <w:spacing w:before="0" w:after="283"/>
              <w:jc w:val="left"/>
              <w:rPr/>
            </w:pPr>
            <w:r>
              <w:rPr/>
              <w:t> </w:t>
            </w:r>
          </w:p>
        </w:tc>
      </w:tr>
      <w:tr>
        <w:trPr/>
        <w:tc>
          <w:tcPr>
            <w:tcW w:w="9550" w:type="dxa"/>
            <w:gridSpan w:val="3"/>
            <w:tcBorders/>
          </w:tcPr>
          <w:p>
            <w:pPr>
              <w:pStyle w:val="TableContents"/>
              <w:bidi w:val="0"/>
              <w:spacing w:before="0" w:after="283"/>
              <w:jc w:val="left"/>
              <w:rPr/>
            </w:pPr>
            <w:hyperlink w:anchor="toc770053_45">
              <w:r>
                <w:rPr>
                  <w:rStyle w:val="InternetLink"/>
                </w:rPr>
                <w:t xml:space="preserve">THE MERGER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179</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6">
              <w:r>
                <w:rPr>
                  <w:rStyle w:val="InternetLink"/>
                  <w:rFonts w:ascii="Times New Roman" w:hAnsi="Times New Roman"/>
                  <w:sz w:val="20"/>
                </w:rPr>
                <w:t>Background of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179</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7">
              <w:r>
                <w:rPr>
                  <w:rStyle w:val="InternetLink"/>
                  <w:rFonts w:ascii="Times New Roman" w:hAnsi="Times New Roman"/>
                  <w:sz w:val="20"/>
                </w:rPr>
                <w:t>AVROBIOs Reasons for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197</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8">
              <w:r>
                <w:rPr>
                  <w:rStyle w:val="InternetLink"/>
                  <w:rFonts w:ascii="Times New Roman" w:hAnsi="Times New Roman"/>
                  <w:sz w:val="20"/>
                </w:rPr>
                <w:t>Opinion of Houlihan Lokey to the AVROBIO Board</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9">
              <w:r>
                <w:rPr>
                  <w:rStyle w:val="InternetLink"/>
                  <w:rFonts w:ascii="Times New Roman" w:hAnsi="Times New Roman"/>
                  <w:sz w:val="20"/>
                </w:rPr>
                <w:t>Interests of AVROBIOs Directors and Executive Officers in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221</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49a">
              <w:r>
                <w:rPr>
                  <w:rStyle w:val="InternetLink"/>
                  <w:rFonts w:ascii="Times New Roman" w:hAnsi="Times New Roman"/>
                  <w:sz w:val="20"/>
                </w:rPr>
                <w:t xml:space="preserve">Interests of Tectonics Directors and Executive Officers in the Merger </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227</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0">
              <w:r>
                <w:rPr>
                  <w:rStyle w:val="InternetLink"/>
                  <w:rFonts w:ascii="Times New Roman" w:hAnsi="Times New Roman"/>
                  <w:sz w:val="20"/>
                </w:rPr>
                <w:t>Form of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228</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1">
              <w:r>
                <w:rPr>
                  <w:rStyle w:val="InternetLink"/>
                  <w:rFonts w:ascii="Times New Roman" w:hAnsi="Times New Roman"/>
                  <w:sz w:val="20"/>
                </w:rPr>
                <w:t>Merger Consideration and Adjustment</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228</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2">
              <w:r>
                <w:rPr>
                  <w:rStyle w:val="InternetLink"/>
                  <w:rFonts w:ascii="Times New Roman" w:hAnsi="Times New Roman"/>
                  <w:sz w:val="20"/>
                </w:rPr>
                <w:t>Calculation of AVROBIOs Net Cash</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228</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3">
              <w:r>
                <w:rPr>
                  <w:rStyle w:val="InternetLink"/>
                  <w:rFonts w:ascii="Times New Roman" w:hAnsi="Times New Roman"/>
                  <w:sz w:val="20"/>
                </w:rPr>
                <w:t>Procedures for Exchanging Stock Certificates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230</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4">
              <w:r>
                <w:rPr>
                  <w:rStyle w:val="InternetLink"/>
                  <w:rFonts w:ascii="Times New Roman" w:hAnsi="Times New Roman"/>
                  <w:sz w:val="20"/>
                </w:rPr>
                <w:t>Effective Time</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231</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5">
              <w:r>
                <w:rPr>
                  <w:rStyle w:val="InternetLink"/>
                  <w:rFonts w:ascii="Times New Roman" w:hAnsi="Times New Roman"/>
                  <w:sz w:val="20"/>
                </w:rPr>
                <w:t>Regulatory Approvals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231</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6">
              <w:r>
                <w:rPr>
                  <w:rStyle w:val="InternetLink"/>
                  <w:rFonts w:ascii="Times New Roman" w:hAnsi="Times New Roman"/>
                  <w:sz w:val="20"/>
                </w:rPr>
                <w:t>Material U.S. Federal Income Tax Consequences of the Merger</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231</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7">
              <w:r>
                <w:rPr>
                  <w:rStyle w:val="InternetLink"/>
                  <w:rFonts w:ascii="Times New Roman" w:hAnsi="Times New Roman"/>
                  <w:sz w:val="20"/>
                </w:rPr>
                <w:t>Nasdaq Stock Market Listing</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234</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8">
              <w:r>
                <w:rPr>
                  <w:rStyle w:val="InternetLink"/>
                  <w:rFonts w:ascii="Times New Roman" w:hAnsi="Times New Roman"/>
                  <w:sz w:val="20"/>
                </w:rPr>
                <w:t>Anticipated Accounting Treatment</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235</w:t>
            </w:r>
          </w:p>
        </w:tc>
        <w:tc>
          <w:tcPr>
            <w:tcW w:w="63"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9410" w:type="dxa"/>
            <w:tcBorders/>
          </w:tcPr>
          <w:p>
            <w:pPr>
              <w:pStyle w:val="TableContents"/>
              <w:bidi w:val="0"/>
              <w:spacing w:before="0" w:after="0"/>
              <w:jc w:val="left"/>
              <w:rPr/>
            </w:pPr>
            <w:hyperlink w:anchor="toc770053_59">
              <w:r>
                <w:rPr>
                  <w:rStyle w:val="InternetLink"/>
                  <w:rFonts w:ascii="Times New Roman" w:hAnsi="Times New Roman"/>
                  <w:sz w:val="20"/>
                </w:rPr>
                <w:t>Appraisal Rights and Dissenters Rights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235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4"/>
        <w:gridCol w:w="125"/>
        <w:gridCol w:w="9392"/>
        <w:gridCol w:w="154"/>
        <w:gridCol w:w="60"/>
        <w:gridCol w:w="387"/>
        <w:gridCol w:w="63"/>
      </w:tblGrid>
      <w:tr>
        <w:trPr/>
        <w:tc>
          <w:tcPr>
            <w:tcW w:w="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392"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1" w:type="dxa"/>
            <w:gridSpan w:val="3"/>
            <w:tcBorders/>
          </w:tcPr>
          <w:p>
            <w:pPr>
              <w:pStyle w:val="TableContents"/>
              <w:bidi w:val="0"/>
              <w:spacing w:before="0" w:after="283"/>
              <w:jc w:val="left"/>
              <w:rPr/>
            </w:pPr>
            <w:hyperlink w:anchor="toc770053_60">
              <w:r>
                <w:rPr>
                  <w:rStyle w:val="InternetLink"/>
                </w:rPr>
                <w:t xml:space="preserve">THE MERGER AGREEMENT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239</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1">
              <w:r>
                <w:rPr>
                  <w:rStyle w:val="InternetLink"/>
                  <w:rFonts w:ascii="Times New Roman" w:hAnsi="Times New Roman"/>
                  <w:sz w:val="20"/>
                </w:rPr>
                <w:t>Structure</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239</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2">
              <w:r>
                <w:rPr>
                  <w:rStyle w:val="InternetLink"/>
                  <w:rFonts w:ascii="Times New Roman" w:hAnsi="Times New Roman"/>
                  <w:sz w:val="20"/>
                </w:rPr>
                <w:t>Completion and Effectiveness of the Merger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239</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3">
              <w:r>
                <w:rPr>
                  <w:rStyle w:val="InternetLink"/>
                  <w:rFonts w:ascii="Times New Roman" w:hAnsi="Times New Roman"/>
                  <w:sz w:val="20"/>
                </w:rPr>
                <w:t>Merger Consideration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239</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4">
              <w:r>
                <w:rPr>
                  <w:rStyle w:val="InternetLink"/>
                  <w:rFonts w:ascii="Times New Roman" w:hAnsi="Times New Roman"/>
                  <w:sz w:val="20"/>
                </w:rPr>
                <w:t>Exchange Ratio</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240</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5">
              <w:r>
                <w:rPr>
                  <w:rStyle w:val="InternetLink"/>
                  <w:rFonts w:ascii="Times New Roman" w:hAnsi="Times New Roman"/>
                  <w:sz w:val="20"/>
                </w:rPr>
                <w:t>Calculation of AVROBIOs Net Cash</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242</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6">
              <w:r>
                <w:rPr>
                  <w:rStyle w:val="InternetLink"/>
                  <w:rFonts w:ascii="Times New Roman" w:hAnsi="Times New Roman"/>
                  <w:sz w:val="20"/>
                </w:rPr>
                <w:t>Treatment of Tectonic Options and the Tectonic Equity Incentive Plan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243</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7">
              <w:r>
                <w:rPr>
                  <w:rStyle w:val="InternetLink"/>
                  <w:rFonts w:ascii="Times New Roman" w:hAnsi="Times New Roman"/>
                  <w:sz w:val="20"/>
                </w:rPr>
                <w:t>Treatment of AVROBIO Common Stock, AVROBIO Options and AVROBIO RSUs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244</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8">
              <w:r>
                <w:rPr>
                  <w:rStyle w:val="InternetLink"/>
                  <w:rFonts w:ascii="Times New Roman" w:hAnsi="Times New Roman"/>
                  <w:sz w:val="20"/>
                </w:rPr>
                <w:t>Procedures for Exchanging Tectonic Stock Certificates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244</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69">
              <w:r>
                <w:rPr>
                  <w:rStyle w:val="InternetLink"/>
                  <w:rFonts w:ascii="Times New Roman" w:hAnsi="Times New Roman"/>
                  <w:sz w:val="20"/>
                </w:rPr>
                <w:t xml:space="preserve">Amendment of the Amended and Restated Certificate of Incorporation of AVROBIO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245</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0">
              <w:r>
                <w:rPr>
                  <w:rStyle w:val="InternetLink"/>
                  <w:rFonts w:ascii="Times New Roman" w:hAnsi="Times New Roman"/>
                  <w:sz w:val="20"/>
                </w:rPr>
                <w:t>Representations and Warranties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246</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1">
              <w:r>
                <w:rPr>
                  <w:rStyle w:val="InternetLink"/>
                  <w:rFonts w:ascii="Times New Roman" w:hAnsi="Times New Roman"/>
                  <w:sz w:val="20"/>
                </w:rPr>
                <w:t>Covenants; Conduct of Business Pending the Merger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247</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2">
              <w:r>
                <w:rPr>
                  <w:rStyle w:val="InternetLink"/>
                  <w:rFonts w:ascii="Times New Roman" w:hAnsi="Times New Roman"/>
                  <w:sz w:val="20"/>
                </w:rPr>
                <w:t>CVRs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250</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3">
              <w:r>
                <w:rPr>
                  <w:rStyle w:val="InternetLink"/>
                  <w:rFonts w:ascii="Times New Roman" w:hAnsi="Times New Roman"/>
                  <w:sz w:val="20"/>
                </w:rPr>
                <w:t>Non-Solicitation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250</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4">
              <w:r>
                <w:rPr>
                  <w:rStyle w:val="InternetLink"/>
                  <w:rFonts w:ascii="Times New Roman" w:hAnsi="Times New Roman"/>
                  <w:sz w:val="20"/>
                </w:rPr>
                <w:t>Board Recommendation Change</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252</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5">
              <w:r>
                <w:rPr>
                  <w:rStyle w:val="InternetLink"/>
                  <w:rFonts w:ascii="Times New Roman" w:hAnsi="Times New Roman"/>
                  <w:sz w:val="20"/>
                </w:rPr>
                <w:t>Required Stockholder Approvals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254</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6">
              <w:r>
                <w:rPr>
                  <w:rStyle w:val="InternetLink"/>
                  <w:rFonts w:ascii="Times New Roman" w:hAnsi="Times New Roman"/>
                  <w:sz w:val="20"/>
                </w:rPr>
                <w:t>Regulatory Approvals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254</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7">
              <w:r>
                <w:rPr>
                  <w:rStyle w:val="InternetLink"/>
                  <w:rFonts w:ascii="Times New Roman" w:hAnsi="Times New Roman"/>
                  <w:sz w:val="20"/>
                </w:rPr>
                <w:t>Indemnification and Insurance for Directors and Officers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254</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8">
              <w:r>
                <w:rPr>
                  <w:rStyle w:val="InternetLink"/>
                  <w:rFonts w:ascii="Times New Roman" w:hAnsi="Times New Roman"/>
                  <w:sz w:val="20"/>
                </w:rPr>
                <w:t>Additional Agreements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255</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79">
              <w:r>
                <w:rPr>
                  <w:rStyle w:val="InternetLink"/>
                  <w:rFonts w:ascii="Times New Roman" w:hAnsi="Times New Roman"/>
                  <w:sz w:val="20"/>
                </w:rPr>
                <w:t>Conditions to the Completion of the Merger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256</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80">
              <w:r>
                <w:rPr>
                  <w:rStyle w:val="InternetLink"/>
                  <w:rFonts w:ascii="Times New Roman" w:hAnsi="Times New Roman"/>
                  <w:sz w:val="20"/>
                </w:rPr>
                <w:t>Termination and Termination Fees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259</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81">
              <w:r>
                <w:rPr>
                  <w:rStyle w:val="InternetLink"/>
                  <w:rFonts w:ascii="Times New Roman" w:hAnsi="Times New Roman"/>
                  <w:sz w:val="20"/>
                </w:rPr>
                <w:t>Amendment and Waiver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261</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82">
              <w:r>
                <w:rPr>
                  <w:rStyle w:val="InternetLink"/>
                  <w:rFonts w:ascii="Times New Roman" w:hAnsi="Times New Roman"/>
                  <w:sz w:val="20"/>
                </w:rPr>
                <w:t>Fees and Expenses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262</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83">
              <w:r>
                <w:rPr>
                  <w:rStyle w:val="InternetLink"/>
                </w:rPr>
                <w:t xml:space="preserve">AGREEMENTS RELATED TO THE MERGER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263</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84">
              <w:r>
                <w:rPr>
                  <w:rStyle w:val="InternetLink"/>
                  <w:rFonts w:ascii="Times New Roman" w:hAnsi="Times New Roman"/>
                  <w:sz w:val="20"/>
                </w:rPr>
                <w:t>Support Agreements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263</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85">
              <w:r>
                <w:rPr>
                  <w:rStyle w:val="InternetLink"/>
                  <w:rFonts w:ascii="Times New Roman" w:hAnsi="Times New Roman"/>
                  <w:sz w:val="20"/>
                </w:rPr>
                <w:t>Lock-Up Agreements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264</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86">
              <w:r>
                <w:rPr>
                  <w:rStyle w:val="InternetLink"/>
                  <w:rFonts w:ascii="Times New Roman" w:hAnsi="Times New Roman"/>
                  <w:sz w:val="20"/>
                </w:rPr>
                <w:t>Subscription Agreement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264</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87">
              <w:r>
                <w:rPr>
                  <w:rStyle w:val="InternetLink"/>
                  <w:rFonts w:ascii="Times New Roman" w:hAnsi="Times New Roman"/>
                  <w:sz w:val="20"/>
                </w:rPr>
                <w:t>CVR Agreement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266</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88">
              <w:r>
                <w:rPr>
                  <w:rStyle w:val="InternetLink"/>
                </w:rPr>
                <w:t xml:space="preserve">AVROBIO DIRECTORS, OFFICERS AND CORPORATE GOVERNANCE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273</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96">
              <w:r>
                <w:rPr>
                  <w:rStyle w:val="InternetLink"/>
                </w:rPr>
                <w:t xml:space="preserve">AVROBIO EXECUTIVE COMPENSATION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284</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98">
              <w:r>
                <w:rPr>
                  <w:rStyle w:val="InternetLink"/>
                </w:rPr>
                <w:t>AVROBIO DIRECTOR COMPENSATION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294</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99">
              <w:r>
                <w:rPr>
                  <w:rStyle w:val="InternetLink"/>
                </w:rPr>
                <w:t>AVROBIO EQUITY COMPENSATION PLAN INFORMATION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296</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00">
              <w:r>
                <w:rPr>
                  <w:rStyle w:val="InternetLink"/>
                </w:rPr>
                <w:t>TECTONIC EXECUTIVE AND DIRECTOR COMPENSATION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297</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08">
              <w:r>
                <w:rPr>
                  <w:rStyle w:val="InternetLink"/>
                </w:rPr>
                <w:t xml:space="preserve">MATTERS BEING SUBMITTED TO A VOTE OF AVROBIO STOCKHOLDERS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307</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109">
              <w:r>
                <w:rPr>
                  <w:rStyle w:val="InternetLink"/>
                  <w:rFonts w:ascii="Times New Roman" w:hAnsi="Times New Roman"/>
                  <w:sz w:val="20"/>
                </w:rPr>
                <w:t>PROPOSAL NO. 1THE NASDAQ STOCK ISSUANCE PROPOSAL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307</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110">
              <w:r>
                <w:rPr>
                  <w:rStyle w:val="InternetLink"/>
                  <w:rFonts w:ascii="Times New Roman" w:hAnsi="Times New Roman"/>
                  <w:sz w:val="20"/>
                </w:rPr>
                <w:t>PROPOSAL NO. 2THE REVERSE STOCK SPLIT PROPOSAL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309</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111">
              <w:r>
                <w:rPr>
                  <w:rStyle w:val="InternetLink"/>
                  <w:rFonts w:ascii="Times New Roman" w:hAnsi="Times New Roman"/>
                  <w:sz w:val="20"/>
                </w:rPr>
                <w:t>PROPOSAL NO. 3THE OFFICER EXCULPATION PROPOSAL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316</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112">
              <w:r>
                <w:rPr>
                  <w:rStyle w:val="InternetLink"/>
                  <w:rFonts w:ascii="Times New Roman" w:hAnsi="Times New Roman"/>
                  <w:sz w:val="20"/>
                </w:rPr>
                <w:t>PROPOSAL NO. 4THE INCENTIVE PLAN PROPOSAL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318</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113">
              <w:r>
                <w:rPr>
                  <w:rStyle w:val="InternetLink"/>
                  <w:rFonts w:ascii="Times New Roman" w:hAnsi="Times New Roman"/>
                  <w:sz w:val="20"/>
                </w:rPr>
                <w:t>PROPOSAL NO. 5THE ESPP PROPOSAL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328</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114">
              <w:r>
                <w:rPr>
                  <w:rStyle w:val="InternetLink"/>
                  <w:rFonts w:ascii="Times New Roman" w:hAnsi="Times New Roman"/>
                  <w:sz w:val="20"/>
                </w:rPr>
                <w:t>PROPOSAL NO. 6EXECUTIVE COMPENSATION ARRANGEMENTS PROPOSAL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332</w:t>
            </w:r>
          </w:p>
        </w:tc>
        <w:tc>
          <w:tcPr>
            <w:tcW w:w="63" w:type="dxa"/>
            <w:tcBorders/>
            <w:vAlign w:val="bottom"/>
          </w:tcPr>
          <w:p>
            <w:pPr>
              <w:pStyle w:val="TableContents"/>
              <w:bidi w:val="0"/>
              <w:spacing w:before="0" w:after="283"/>
              <w:jc w:val="left"/>
              <w:rPr/>
            </w:pPr>
            <w:r>
              <w:rPr/>
              <w:t> </w:t>
            </w:r>
          </w:p>
        </w:tc>
      </w:tr>
      <w:tr>
        <w:trPr/>
        <w:tc>
          <w:tcPr>
            <w:tcW w:w="2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9392" w:type="dxa"/>
            <w:tcBorders/>
          </w:tcPr>
          <w:p>
            <w:pPr>
              <w:pStyle w:val="TableContents"/>
              <w:bidi w:val="0"/>
              <w:spacing w:before="0" w:after="0"/>
              <w:jc w:val="left"/>
              <w:rPr/>
            </w:pPr>
            <w:hyperlink w:anchor="toc770053_115">
              <w:r>
                <w:rPr>
                  <w:rStyle w:val="InternetLink"/>
                  <w:rFonts w:ascii="Times New Roman" w:hAnsi="Times New Roman"/>
                  <w:sz w:val="20"/>
                </w:rPr>
                <w:t>PROPOSAL NO. 7THE ADJOURNMENT PROPOSAL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333</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16">
              <w:r>
                <w:rPr>
                  <w:rStyle w:val="InternetLink"/>
                </w:rPr>
                <w:t xml:space="preserve">AVROBIOS BUSINESS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334</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27">
              <w:r>
                <w:rPr>
                  <w:rStyle w:val="InternetLink"/>
                </w:rPr>
                <w:t xml:space="preserve">TECTONICS BUSINESS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358</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53">
              <w:r>
                <w:rPr>
                  <w:rStyle w:val="InternetLink"/>
                </w:rPr>
                <w:t xml:space="preserve">AVROBIOS MANAGEMENTS DISCUSSION AND ANALYSIS OF FINANCIAL CONDITION AND RESULTS OF OPERATIONS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397</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60">
              <w:r>
                <w:rPr>
                  <w:rStyle w:val="InternetLink"/>
                </w:rPr>
                <w:t xml:space="preserve">TECTONIC MANAGEMENTS DISCUSSION AND ANALYSIS OF FINANCIAL CONDITION AND RESULTS OF OPERATIONS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410</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70">
              <w:r>
                <w:rPr>
                  <w:rStyle w:val="InternetLink"/>
                </w:rPr>
                <w:t xml:space="preserve">MANAGEMENT FOLLOWING THE MERGER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427</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77">
              <w:r>
                <w:rPr>
                  <w:rStyle w:val="InternetLink"/>
                </w:rPr>
                <w:t xml:space="preserve">CERTAIN RELATIONSHIPS AND RELATED PARTY TRANSACTIONS OF THE COMBINED COMPANY </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434</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80">
              <w:r>
                <w:rPr>
                  <w:rStyle w:val="InternetLink"/>
                </w:rPr>
                <w:t>UNAUDITED PRO FORMA CONDENSED COMBINED FINANCIAL INFORMATION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440</w:t>
            </w:r>
          </w:p>
        </w:tc>
        <w:tc>
          <w:tcPr>
            <w:tcW w:w="63" w:type="dxa"/>
            <w:tcBorders/>
            <w:vAlign w:val="bottom"/>
          </w:tcPr>
          <w:p>
            <w:pPr>
              <w:pStyle w:val="TableContents"/>
              <w:bidi w:val="0"/>
              <w:spacing w:before="0" w:after="283"/>
              <w:jc w:val="left"/>
              <w:rPr/>
            </w:pPr>
            <w:r>
              <w:rPr/>
              <w:t> </w:t>
            </w:r>
          </w:p>
        </w:tc>
      </w:tr>
      <w:tr>
        <w:trPr/>
        <w:tc>
          <w:tcPr>
            <w:tcW w:w="9541" w:type="dxa"/>
            <w:gridSpan w:val="3"/>
            <w:tcBorders/>
          </w:tcPr>
          <w:p>
            <w:pPr>
              <w:pStyle w:val="TableContents"/>
              <w:bidi w:val="0"/>
              <w:spacing w:before="0" w:after="283"/>
              <w:jc w:val="left"/>
              <w:rPr/>
            </w:pPr>
            <w:hyperlink w:anchor="toc770053_181">
              <w:r>
                <w:rPr>
                  <w:rStyle w:val="InternetLink"/>
                </w:rPr>
                <w:t>NOTES TO UNAUDITED PRO FORMA CONDENSED COMBINED FINANCIAL INFORMATION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444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44"/>
        <w:gridCol w:w="550"/>
        <w:gridCol w:w="8009"/>
        <w:gridCol w:w="184"/>
        <w:gridCol w:w="60"/>
        <w:gridCol w:w="395"/>
        <w:gridCol w:w="63"/>
      </w:tblGrid>
      <w:tr>
        <w:trPr/>
        <w:tc>
          <w:tcPr>
            <w:tcW w:w="944"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8009"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03" w:type="dxa"/>
            <w:gridSpan w:val="3"/>
            <w:tcBorders/>
          </w:tcPr>
          <w:p>
            <w:pPr>
              <w:pStyle w:val="TableContents"/>
              <w:bidi w:val="0"/>
              <w:spacing w:before="0" w:after="283"/>
              <w:jc w:val="left"/>
              <w:rPr/>
            </w:pPr>
            <w:hyperlink w:anchor="toc770053_182">
              <w:r>
                <w:rPr>
                  <w:rStyle w:val="InternetLink"/>
                </w:rPr>
                <w:t>DESCRIPTION OF AVROBIO CAPITAL STOCK</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453</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82a">
              <w:r>
                <w:rPr>
                  <w:rStyle w:val="InternetLink"/>
                </w:rPr>
                <w:t>SECURITIES ACT RESTRICTIONS ON RESALE OF AVROBIO COMMON STOCK</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456</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87">
              <w:r>
                <w:rPr>
                  <w:rStyle w:val="InternetLink"/>
                </w:rPr>
                <w:t xml:space="preserve">COMPARISON OF RIGHTS OF HOLDERS OF AVROBIO CAPITAL STOCK AND TECTONIC CAPITAL STOCK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457</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88">
              <w:r>
                <w:rPr>
                  <w:rStyle w:val="InternetLink"/>
                </w:rPr>
                <w:t xml:space="preserve">PRINCIPAL AVROBIO STOCKHOLDERS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467</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89">
              <w:r>
                <w:rPr>
                  <w:rStyle w:val="InternetLink"/>
                </w:rPr>
                <w:t xml:space="preserve">PRINCIPAL TECTONIC STOCKHOLDERS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469</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90">
              <w:r>
                <w:rPr>
                  <w:rStyle w:val="InternetLink"/>
                </w:rPr>
                <w:t xml:space="preserve">PRINCIPAL STOCKHOLDERS OF THE COMBINED COMPANY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472</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91">
              <w:r>
                <w:rPr>
                  <w:rStyle w:val="InternetLink"/>
                </w:rPr>
                <w:t xml:space="preserve">LEGAL MATTERS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476</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92">
              <w:r>
                <w:rPr>
                  <w:rStyle w:val="InternetLink"/>
                </w:rPr>
                <w:t xml:space="preserve">EXPERTS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476</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93">
              <w:r>
                <w:rPr>
                  <w:rStyle w:val="InternetLink"/>
                </w:rPr>
                <w:t xml:space="preserve">WHERE YOU CAN FIND MORE INFORMATION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476</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94">
              <w:r>
                <w:rPr>
                  <w:rStyle w:val="InternetLink"/>
                </w:rPr>
                <w:t xml:space="preserve">STOCKHOLDER PROPOSALS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478</w:t>
            </w:r>
          </w:p>
        </w:tc>
        <w:tc>
          <w:tcPr>
            <w:tcW w:w="63" w:type="dxa"/>
            <w:tcBorders/>
            <w:vAlign w:val="bottom"/>
          </w:tcPr>
          <w:p>
            <w:pPr>
              <w:pStyle w:val="TableContents"/>
              <w:bidi w:val="0"/>
              <w:spacing w:before="0" w:after="283"/>
              <w:jc w:val="left"/>
              <w:rPr/>
            </w:pPr>
            <w:r>
              <w:rPr/>
              <w:t> </w:t>
            </w:r>
          </w:p>
        </w:tc>
      </w:tr>
      <w:tr>
        <w:trPr/>
        <w:tc>
          <w:tcPr>
            <w:tcW w:w="9503" w:type="dxa"/>
            <w:gridSpan w:val="3"/>
            <w:tcBorders/>
          </w:tcPr>
          <w:p>
            <w:pPr>
              <w:pStyle w:val="TableContents"/>
              <w:bidi w:val="0"/>
              <w:spacing w:before="0" w:after="283"/>
              <w:jc w:val="left"/>
              <w:rPr/>
            </w:pPr>
            <w:hyperlink w:anchor="toc770053_198">
              <w:r>
                <w:rPr>
                  <w:rStyle w:val="InternetLink"/>
                </w:rPr>
                <w:t xml:space="preserve">INDEX TO CONSOLIDATED FINANCIAL STATEMENTS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1">
              <w:r>
                <w:rPr>
                  <w:rStyle w:val="InternetLink"/>
                  <w:rFonts w:ascii="Times New Roman" w:hAnsi="Times New Roman"/>
                  <w:sz w:val="20"/>
                </w:rPr>
                <w:t>ANNEX A AGREEMENT AND PLAN OF MERGER AND REORGANIZATION</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2">
              <w:r>
                <w:rPr>
                  <w:rStyle w:val="InternetLink"/>
                  <w:rFonts w:ascii="Times New Roman" w:hAnsi="Times New Roman"/>
                  <w:sz w:val="20"/>
                </w:rPr>
                <w:t>ANNEX B OPINION OF HOULIHAN LOKEY</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3">
              <w:r>
                <w:rPr>
                  <w:rStyle w:val="InternetLink"/>
                  <w:rFonts w:ascii="Times New Roman" w:hAnsi="Times New Roman"/>
                  <w:sz w:val="20"/>
                </w:rPr>
                <w:t>ANNEX C FORM OF AVROBIO SUPPORT AGREEMENT</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C-1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4">
              <w:r>
                <w:rPr>
                  <w:rStyle w:val="InternetLink"/>
                  <w:rFonts w:ascii="Times New Roman" w:hAnsi="Times New Roman"/>
                  <w:sz w:val="20"/>
                </w:rPr>
                <w:t>ANNEX D FORM OF TECTONIC SUPPORT AGREEMENT</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D-1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5">
              <w:r>
                <w:rPr>
                  <w:rStyle w:val="InternetLink"/>
                  <w:rFonts w:ascii="Times New Roman" w:hAnsi="Times New Roman"/>
                  <w:sz w:val="20"/>
                </w:rPr>
                <w:t>ANNEX E FORM OF LOCK-UP AGREEMENT</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E-1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6">
              <w:r>
                <w:rPr>
                  <w:rStyle w:val="InternetLink"/>
                  <w:rFonts w:ascii="Times New Roman" w:hAnsi="Times New Roman"/>
                  <w:sz w:val="20"/>
                </w:rPr>
                <w:t>ANNEX F FORM OF CVR AGREEMENT</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7">
              <w:r>
                <w:rPr>
                  <w:rStyle w:val="InternetLink"/>
                  <w:rFonts w:ascii="Times New Roman" w:hAnsi="Times New Roman"/>
                  <w:sz w:val="20"/>
                </w:rPr>
                <w:t xml:space="preserve">ANNEX G FORM OF AVROBIO CERTIFICATE OF AMENDMENT FOR THE REVERSE STOCK SPLIT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G-1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8">
              <w:r>
                <w:rPr>
                  <w:rStyle w:val="InternetLink"/>
                  <w:rFonts w:ascii="Times New Roman" w:hAnsi="Times New Roman"/>
                  <w:sz w:val="20"/>
                </w:rPr>
                <w:t>ANNEX H FORM OF AVROBIO CERTIFICATE OF AMENDMENT FOR OFFICER EXCULPATION</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H-1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09">
              <w:r>
                <w:rPr>
                  <w:rStyle w:val="InternetLink"/>
                  <w:rFonts w:ascii="Times New Roman" w:hAnsi="Times New Roman"/>
                  <w:sz w:val="20"/>
                </w:rPr>
                <w:t>ANNEX I FORM OF 2024 EQUITY INCENTIVE PLAN</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I-1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10">
              <w:r>
                <w:rPr>
                  <w:rStyle w:val="InternetLink"/>
                  <w:rFonts w:ascii="Times New Roman" w:hAnsi="Times New Roman"/>
                  <w:sz w:val="20"/>
                </w:rPr>
                <w:t>ANNEX J FORM OF 2024 ESPP</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J-1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11">
              <w:r>
                <w:rPr>
                  <w:rStyle w:val="InternetLink"/>
                  <w:rFonts w:ascii="Times New Roman" w:hAnsi="Times New Roman"/>
                  <w:sz w:val="20"/>
                </w:rPr>
                <w:t>ANNEX K SECTION  262 OF THE DELAWARE GENERAL CORPORATION LAW</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K-1</w:t>
            </w:r>
          </w:p>
        </w:tc>
        <w:tc>
          <w:tcPr>
            <w:tcW w:w="63" w:type="dxa"/>
            <w:tcBorders/>
            <w:vAlign w:val="bottom"/>
          </w:tcPr>
          <w:p>
            <w:pPr>
              <w:pStyle w:val="TableContents"/>
              <w:bidi w:val="0"/>
              <w:spacing w:before="0" w:after="283"/>
              <w:jc w:val="left"/>
              <w:rPr/>
            </w:pPr>
            <w:r>
              <w:rPr/>
              <w:t> </w:t>
            </w:r>
          </w:p>
        </w:tc>
      </w:tr>
      <w:tr>
        <w:trPr/>
        <w:tc>
          <w:tcPr>
            <w:tcW w:w="9503" w:type="dxa"/>
            <w:gridSpan w:val="3"/>
            <w:tcBorders/>
            <w:vAlign w:val="bottom"/>
          </w:tcPr>
          <w:p>
            <w:pPr>
              <w:pStyle w:val="TableContents"/>
              <w:bidi w:val="0"/>
              <w:spacing w:before="0" w:after="0"/>
              <w:jc w:val="left"/>
              <w:rPr/>
            </w:pPr>
            <w:hyperlink w:anchor="toc770053_212">
              <w:r>
                <w:rPr>
                  <w:rStyle w:val="InternetLink"/>
                  <w:rFonts w:ascii="Times New Roman" w:hAnsi="Times New Roman"/>
                  <w:sz w:val="20"/>
                </w:rPr>
                <w:t xml:space="preserve">ANNEX L FORM OF AVROBIO, INC. PROXY CARD </w:t>
              </w:r>
            </w:hyperlink>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L-1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770053_1"/>
      <w:bookmarkEnd w:id="3"/>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sz w:val="20"/>
        </w:rPr>
      </w:pPr>
      <w:r>
        <w:rPr>
          <w:rFonts w:ascii="Times New Roman" w:hAnsi="Times New Roman"/>
          <w:i/>
          <w:sz w:val="20"/>
        </w:rPr>
        <w:t>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rPr>
        <w:t> </w:t>
      </w:r>
      <w:r>
        <w:rPr>
          <w:rFonts w:ascii="Times New Roman" w:hAnsi="Times New Roman"/>
          <w:i/>
          <w:sz w:val="20"/>
        </w:rPr>
        <w:t>2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January 30, 2024, AVROBIO, Tectonic and Merger Sub entered into the Merger Agreement, a copy of which is attached as </w:t>
            </w:r>
            <w:r>
              <w:rPr>
                <w:rFonts w:ascii="Times New Roman" w:hAnsi="Times New Roman"/>
                <w:sz w:val="20"/>
                <w:u w:val="single"/>
              </w:rPr>
              <w:t>Annex A</w:t>
            </w:r>
            <w:r>
              <w:rPr>
                <w:rFonts w:ascii="Times New Roman" w:hAnsi="Times New Roman"/>
                <w:sz w:val="20"/>
              </w:rPr>
              <w:t xml:space="preserve">. The Merger Agreement contains the terms and conditions of the proposed merger. Pursuant to the Merger Agreement, Merger Sub will merge with and into Tectonic, with Tectonic surviving as a wholly owned subsidiary of AVROBIO. After the completion of the merger, AVROBIO will change its corporate name to Tectonic Therapeutic, Inc. </w:t>
            </w:r>
          </w:p>
        </w:tc>
      </w:tr>
    </w:tbl>
    <w:p>
      <w:pPr>
        <w:pStyle w:val="TextBody"/>
        <w:bidi w:val="0"/>
        <w:spacing w:before="120" w:after="0"/>
        <w:jc w:val="left"/>
        <w:rPr>
          <w:rFonts w:ascii="Times New Roman" w:hAnsi="Times New Roman"/>
          <w:sz w:val="20"/>
        </w:rPr>
      </w:pPr>
      <w:r>
        <w:rPr>
          <w:rFonts w:ascii="Times New Roman" w:hAnsi="Times New Roman"/>
          <w:sz w:val="20"/>
        </w:rPr>
        <w:t>At the effective time, each share of Tectonic common stock, after giving effect to the conversion of each share of Tectonic preferred stock into Tectonic common stock as well as the issuance of the private financing shares and of the Company SAFEs, will be converted into the right to receive a number of shares of AVROBIO common stock equal to the exchange ratio described in more detail in the section titled </w:t>
      </w:r>
      <w:r>
        <w:rPr>
          <w:rFonts w:ascii="Times New Roman" w:hAnsi="Times New Roman"/>
          <w:i/>
          <w:sz w:val="20"/>
        </w:rPr>
        <w:t>The Merger AgreementExchange Ratio</w:t>
      </w:r>
      <w:r>
        <w:rPr>
          <w:rFonts w:ascii="Times New Roman" w:hAnsi="Times New Roman"/>
          <w:sz w:val="20"/>
        </w:rPr>
        <w:t xml:space="preserve"> beginning on page 240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AVROBIO will assume Tectonics Equity Incentive Plan, as amended (the Tectonic Equity Incentive Plan). Each outstanding and unexercised option to purchase shares of Tectonic common stock immediately prior to the effective time will be assumed by AVROBIO and will be converted into an option to purchase shares of AVROBIO common stock, with necessary adjustments to the number of shares and exercise price to reflect the exchange ratio. </w:t>
      </w:r>
    </w:p>
    <w:p>
      <w:pPr>
        <w:pStyle w:val="TextBody"/>
        <w:bidi w:val="0"/>
        <w:spacing w:before="120" w:after="0"/>
        <w:jc w:val="left"/>
        <w:rPr>
          <w:rFonts w:ascii="Times New Roman" w:hAnsi="Times New Roman"/>
          <w:sz w:val="20"/>
        </w:rPr>
      </w:pPr>
      <w:r>
        <w:rPr>
          <w:rFonts w:ascii="Times New Roman" w:hAnsi="Times New Roman"/>
          <w:sz w:val="20"/>
        </w:rPr>
        <w:t xml:space="preserve">Each share of AVROBIO common stock that is issued and outstanding at the effective time will remain issued and outstanding subject to the proposed reverse stock split and any extension to the expiration time provided for in connection with the merger, will be unaffected by the merger. </w:t>
      </w:r>
    </w:p>
    <w:p>
      <w:pPr>
        <w:pStyle w:val="TextBody"/>
        <w:bidi w:val="0"/>
        <w:spacing w:before="120" w:after="0"/>
        <w:jc w:val="left"/>
        <w:rPr>
          <w:rFonts w:ascii="Times New Roman" w:hAnsi="Times New Roman"/>
          <w:sz w:val="20"/>
        </w:rPr>
      </w:pPr>
      <w:r>
        <w:rPr>
          <w:rFonts w:ascii="Times New Roman" w:hAnsi="Times New Roman"/>
          <w:sz w:val="20"/>
        </w:rPr>
        <w:t xml:space="preserve">Further, the Merger Agreement provides that (i) the vesting and exercisability of each unexpired, unexercised and unvested in the money AVROBIO option outstanding as of immediately prior to the effective time and (A) is held by a current AVROBIO employee, director or consultant as of the date of the Merger Agreement will be accelerated in full effective as of immediately prior to the effective time and (B) each in the money AVROBIO option that is unexpired, unexercised, and outstanding as of immediately prior to the effective time and is held by a current AVROBIO employee director or consultant as of the date of the Merger Agreement who is or will be party to a lock-up agreement will remain outstanding and exercisable until six months after the expiration of the applicable restricted period and (ii) the vesting and exercisability of 50% of certain unexpired, unexercised and unvested AVROBIO options that remain outstanding as of immediately prior to the effective time (A) that is held by a current AVROBIO employee, director, or consultant as of the date of the Merger Agreement will be accelerated in full effective as of immediately prior to the effective time and (B) each such option held by such person who is or will be party to a lock-up agreement will remain outstanding and exercisable until six months after the expiration of the applicable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$65.0 million in AVROBIOs net cash as of closing. While Tectonic will assume AVROBIOs product candidates and related intellectual property rights as part of the merger, the combined company will focus on developing Tectonics product candidates and at the present time, it is anticipated that the combined company will not continue to develop AVROBIOs legacy product candidates.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the two companies proposing to merge?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AVROBIO and Tectonic believe that combining the two companies will result in a company with a promising pipeline, a strong leadership team and capital resources, positioning it to become a company focusing on transforming the discovery of antibodies and other biologic drugs targeting G-protein coupled receptors (GPCRs) to develop novel therapies for patients inadequately served by current treatments. For a more complete description of the reasons for the merger, please see the sections titled </w:t>
            </w:r>
            <w:r>
              <w:rPr>
                <w:rFonts w:ascii="Times New Roman" w:hAnsi="Times New Roman"/>
                <w:i/>
                <w:sz w:val="20"/>
              </w:rPr>
              <w:t>The MergerAVROBIOs Reasons for the Merger</w:t>
            </w:r>
            <w:r>
              <w:rPr>
                <w:rFonts w:ascii="Times New Roman" w:hAnsi="Times New Roman"/>
                <w:sz w:val="20"/>
              </w:rPr>
              <w:t> and </w:t>
            </w:r>
            <w:r>
              <w:rPr>
                <w:rFonts w:ascii="Times New Roman" w:hAnsi="Times New Roman"/>
                <w:i/>
                <w:sz w:val="20"/>
              </w:rPr>
              <w:t>The MergerTectonics Reasons for the Merger</w:t>
            </w:r>
            <w:r>
              <w:rPr>
                <w:rFonts w:ascii="Times New Roman" w:hAnsi="Times New Roman"/>
                <w:sz w:val="20"/>
              </w:rPr>
              <w:t xml:space="preserve"> beginning on pages 197 and 200, respectively,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an AVROBIO stockholder and/or a Tectonic stockholder as of the applicable record date, and you are entitled to vote to approve the matters set forth herein. This document serves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AVROBIO used to solicit proxies for the special meeting to vote on the matters set forth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AVROBIO used to offer shares of AVROBIO common stock in exchange for shares of Tectonic common stock (including shares of Tectonic common stock issued upon conversion of Tectonic preferred stock as well as the private financing shares and the Company SAFEs)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private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January 30, 2024, concurrently with the execution and delivery of the Merger Agreement, Tectonic entered into the Subscription Agreement with certain investors named therein, pursuant to which such investors agreed to purchase shares of Tectonic common stock, at a purchase price of $12.39908 per share, and certain investors have consummated or will consummate certain additional purchases of Tectonic common stock pursuant to the conversion of the Company SAFEs entered into by such investors and Tectonic, for an aggregate purchase price among the private financings contemplated by such Subscription Agreement and such Company SAFEs of approximately $130.7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after the merger, the shares of Tectonic common stock issued in the private financings are expected to represent approximately 38.0% of the outstanding shares of capital stock of the combined company, subject to certain assumptions. The closings of the private financings are conditioned upon the satisfaction or waiver of the conditions to the closing as well as certain other conditions. As such, at the time that AVROBIO stockholders are expected to vote at the special meeting, whether the private financings will close in a timely manner or at all will not be known.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condition, there can be no assurance that AVROBIO and Tectonic will ultimately determine, in their sole discretion, not to waive this or any other condition to the merger. In the event the merger closes without receipt of the $114.5 million from the private financings, the combined company would not have the same liquidity at closing as it would have had if the condition was satisfied. Without taking into account any portion of the proceeds from the private financings, AVROBIOs estimated cash at closing of $65.0 million to $75.0 million will permit the combined company to continue its operations, but its ability to fund its operating expenses and capital expenditure requirements into mid-2027 would be adversely affected. If the Company does not receive any portion of the $114.5 million proceeds from the private financings, the combined company would have to raise significant additional capital by issuing equity securities or through additional debt or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beginning on page 264 of this proxy statement/prospectus. For more information related to risks related to the merger and private financings, see the section titled </w:t>
      </w:r>
      <w:r>
        <w:rPr>
          <w:rFonts w:ascii="Times New Roman" w:hAnsi="Times New Roman"/>
          <w:i/>
          <w:sz w:val="20"/>
        </w:rPr>
        <w:t>Risk FactorsRisks Related to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voted on at the special meeting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requisite stockholder vote at the special meeting in order for the merger to close: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Proposal No. 1The Nasdaq Stock Issuance Proposal </w:t>
            </w:r>
            <w:r>
              <w:rPr>
                <w:rFonts w:ascii="Times New Roman" w:hAnsi="Times New Roman"/>
                <w:sz w:val="20"/>
              </w:rPr>
              <w:t xml:space="preserve">to approve (i) the issuance of shares of AVROBIO common stock, which will represent more than 20% of the shares of AVROBIO common stock outstanding immediately prior to such transaction,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 pursuant to Nasdaq Listing Rules 5635(a) and 5635(b);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 2The Reverse Stock Split Proposal</w:t>
            </w:r>
            <w:r>
              <w:rPr>
                <w:rFonts w:ascii="Times New Roman" w:hAnsi="Times New Roman"/>
                <w:sz w:val="20"/>
              </w:rPr>
              <w:t xml:space="preserve">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AVROBIO common stock in connection with the merger and the change of control of AVROBIO resulting from the merger will not take place unless Proposal No. 1 is approved by AVROBIO stockholders and the merger is consummated. The amendment to AVROBIOs charter to effect a reverse stock split of AVROBIOs issued and outstanding common stock will not take place unless Proposal No. 2 is approved by the requisite AVROBIO stockholders. The AVROBIO Board may determine, following the special meeting, to effect the reverse stock split if Proposal No. 2 is approved by AVROBIO stockholders even if Proposal No. 1 is not approved by AVROBIO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to the requirement of obtaining AVROBIO stockholder approval of Proposal Nos. 1 and 2,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presence, by accessing online or being represented by proxy, at the special meeting of the holders of a majority of the shares of AVROBIO common stock outstanding and entitled to vote at the special meeting is necessary to constitute a quorum at the special meeting for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are to be voted on at the special meeting, other than the Nasdaq Stock Issuance Proposal and the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the holders of AVROBIO common stock will also be asked to consider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 3The Officer Exculpation Proposal</w:t>
            </w:r>
            <w:r>
              <w:rPr>
                <w:rFonts w:ascii="Times New Roman" w:hAnsi="Times New Roman"/>
                <w:sz w:val="20"/>
              </w:rPr>
              <w:t xml:space="preserve"> 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 4Incentive Plan Proposal</w:t>
            </w:r>
            <w:r>
              <w:rPr>
                <w:rFonts w:ascii="Times New Roman" w:hAnsi="Times New Roman"/>
                <w:sz w:val="20"/>
              </w:rPr>
              <w:t xml:space="preserve"> 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which will become effective as of and contingent on the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 5ESPP Proposal</w:t>
            </w:r>
            <w:r>
              <w:rPr>
                <w:rFonts w:ascii="Times New Roman" w:hAnsi="Times New Roman"/>
                <w:sz w:val="20"/>
              </w:rPr>
              <w:t xml:space="preserve"> 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which will become effective as of and contingent on the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Proposal No. 6Executive Compensation Arrangements Proposal </w:t>
            </w:r>
            <w:r>
              <w:rPr>
                <w:rFonts w:ascii="Times New Roman" w:hAnsi="Times New Roman"/>
                <w:sz w:val="20"/>
              </w:rPr>
              <w:t xml:space="preserve">to approve, on a non-binding advisory vote basis, compensation that will or may become payable by AVROBIO to its named executive officers in connection with the merger, each as described in the accompanying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 7The Adjournment Proposal</w:t>
            </w:r>
            <w:r>
              <w:rPr>
                <w:rFonts w:ascii="Times New Roman" w:hAnsi="Times New Roman"/>
                <w:sz w:val="20"/>
              </w:rPr>
              <w:t xml:space="preserve"> to approve an adjournment of the special meeting, if necessary, to solicit additional proxies if there are not sufficient votes in favor of Nasdaq Stock Issuance Proposal and/or the Reverse Stock Split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 of Proposal Nos. 3, 4, 5, 6 and 7 are not a condition to the merger. AVROBIO does not expect that any matter other than the Proposals will be brought before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presence, by accessing online or being represented by proxy, at the special meeting of the holders of a majority of the shares of AVROBIO common stock outstanding and entitled to vote at the special meeting is necessary to constitute a quorum at the special meeting for the purpose of approving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stockholder votes are required to approve the Proposals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at the special meeting, assuming a quorum is present, is required for approval of Proposal Nos. 1, 2, 4, 5, 6 and 7. The affirmative vote of a majority of the outstanding shares of AVROBIO common stock entitled to vote at the special meeting is required for approval of Proposal No. 3. Proposal Nos. 4 and 5 is conditioned upon the approval of Proposal No. 1. </w:t>
            </w:r>
          </w:p>
        </w:tc>
      </w:tr>
    </w:tbl>
    <w:p>
      <w:pPr>
        <w:pStyle w:val="TextBody"/>
        <w:bidi w:val="0"/>
        <w:spacing w:before="120" w:after="0"/>
        <w:jc w:val="left"/>
        <w:rPr>
          <w:rFonts w:ascii="Times New Roman" w:hAnsi="Times New Roman"/>
          <w:sz w:val="20"/>
        </w:rPr>
      </w:pPr>
      <w:r>
        <w:rPr>
          <w:rFonts w:ascii="Times New Roman" w:hAnsi="Times New Roman"/>
          <w:sz w:val="20"/>
        </w:rPr>
        <w:t>Votes will be counted by the inspector of election appointed for the meeting, who will separately count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and </w:t>
      </w:r>
      <w:r>
        <w:rPr>
          <w:rFonts w:ascii="Times New Roman" w:hAnsi="Times New Roman"/>
          <w:b/>
          <w:sz w:val="20"/>
        </w:rPr>
        <w:t>WITHHOLD</w:t>
      </w:r>
      <w:r>
        <w:rPr>
          <w:rFonts w:ascii="Times New Roman" w:hAnsi="Times New Roman"/>
          <w:sz w:val="20"/>
        </w:rPr>
        <w:t xml:space="preserve"> votes, abstentions and broker non-votes, if any, as applicable to each proposal. Abstentions do not count as votes cast for or against a matter, and therefore will have no effect on Proposal Nos. 1, 2, 4, 5, 6 and 7. Broker non-votes, if any, will not be counted as votes properly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cast for or against a matter and will therefore have no effect on Proposal Nos. 1, 2, 4, 5, 6 and 7. Abstentions and broker non-votes will be counted as shares entitled to vote and will therefore have the same effect of a vote </w:t>
      </w:r>
      <w:r>
        <w:rPr>
          <w:rFonts w:ascii="Times New Roman" w:hAnsi="Times New Roman"/>
          <w:b/>
          <w:sz w:val="20"/>
        </w:rPr>
        <w:t>AGAINST</w:t>
      </w:r>
      <w:r>
        <w:rPr>
          <w:rFonts w:ascii="Times New Roman" w:hAnsi="Times New Roman"/>
          <w:sz w:val="20"/>
        </w:rPr>
        <w:t xml:space="preserve"> Proposal No.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AVROBIO seeking stockholder approval to issue shares of AVROBIO common stock to Tectonic stockholders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AVROBIO common stock is listed on Nasdaq, AVROBIO is subject to the Nasdaq Listing Rules. Nasdaq Listing Rule 5635(a) requires stockholder approval with respect to the issuance of AVROBIO common stock, among other instances, (i) when the shares to be issued are being issued in connection with the acquisition of the stock or assets of another company and are equal to 20% or more of the outstanding shares of AVROBIO common stock before the issuance. Nasdaq Listing Rule 5635(b) also requires stockholder approval when any issuance or potential issuance will result in a change of control of the issuer. Although Nasdaq has not adopted any rule on what constitutes a change of control for purposes of Nasdaq Listing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AVROBIO expects to issue approximately 16,076,821 shares of AVROBIO common stock on a fully diluted basis (after giving effect to, and assuming, a one-for-ten reverse stock split), and AVROBIO common stock to be issued pursuant to the Merger Agreement will represent greater than 20% of its voting stock. Accordingly, AVROBIO is seeking stockholder approval of the issuance pursuant to the Merger Agreement under the Nasdaq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AVROBIO stockholders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will continue to own and hold their existing shares of AVROBIO common stock issued and outstanding at the time of the merger and such shares will remain issued and outstanding, and, subject to the proposed reverse stock split and any acceleration provided for in connection with the merger, will be unaffected by the merger. In addition, (i) each AVROBIO in-the-money option and 50% of certain additional AVROBIO options held by a current employee, director, or consultant of AVROBIO as of the date of the Merger Agreement will be accelerated in full as of immediately prior to the effective time, (ii) each such AVROBIO option as of the effective time that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applicable lock-up agreement) and (iii) each outstanding AVROBIO RSU that is issued, outstanding and unvested and vests solely on the basis of time will be accelerated in full effective as of immediately prior to the effective time. In addition, for each outstanding and unsettled RSU that vests solely on the basis of time (including any RSUs accelerated in connection with this merger), AVROBIO stockholders will receive, immediately prior to the effective time a number of shares of AVROBIO common stock equal to the number of vested and unsettled shares underlying such RSUs. Further, AVRO stockholders of record as of the close of business on the last business day prior to the day on which the effective time occurs will receive one contingent value right (CVR) for each outstanding share of AVRO common stock held by such stockholder on such date, as described in more detail below.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AVROBIO securities in the merger, please see the sections titled </w:t>
      </w:r>
      <w:r>
        <w:rPr>
          <w:rFonts w:ascii="Times New Roman" w:hAnsi="Times New Roman"/>
          <w:i/>
          <w:sz w:val="20"/>
        </w:rPr>
        <w:t>The Merger Agreement</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239 and 35, respectively,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Tectonic stockholders and participants in the Tectonic Equity Incentive Plan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stockholders will receive shares of AVROBIO common stock. AVROBIO will assume the Tectonic Equity Incentive Plan. Tectonic option holders outstanding and unexercised options to purchase shares of Tectonic common stock immediately prior to the effective time will be assumed by AVROBIO and converted into an option to purchase shares of AVROBIO common stock, with necessary adjustments to the number of shares and exercise price to reflect the exchange ratio. 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AVROBIOs net cash of approximately $65.0 million as of closing.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Tectonic common stock, options and the Tectonic Equity Incentive Plan in the merger, please see the sections titled </w:t>
      </w:r>
      <w:r>
        <w:rPr>
          <w:rFonts w:ascii="Times New Roman" w:hAnsi="Times New Roman"/>
          <w:i/>
          <w:sz w:val="20"/>
        </w:rPr>
        <w:t>The Merger AgreementMerger</w:t>
      </w:r>
      <w:r>
        <w:rPr>
          <w:rFonts w:ascii="Times New Roman" w:hAnsi="Times New Roman"/>
          <w:sz w:val="20"/>
        </w:rPr>
        <w:t xml:space="preserve"> </w:t>
      </w:r>
      <w:r>
        <w:rPr>
          <w:rFonts w:ascii="Times New Roman" w:hAnsi="Times New Roman"/>
          <w:i/>
          <w:sz w:val="20"/>
        </w:rPr>
        <w:t>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beginning on pages 239 and 240, respectively, of this proxy statement/prospectus. For a description of the effect of the private financings on the current securityholders of AVROBIO and Tectonic,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for AVROBIO stockholders to benefit from any post-closing transactions to monetize AVROBIOs pre-closing assets, as provided in the Merger Agreement, AVROBIO intends to declare a dividend to its common stockholders of record providing for the right to receive one non-transferable CVR for each outstanding share of AVROBIO common stock held by such stockholder. At or prior to the effective time, AVROBIO and a rights agent will enter into a Contingent Value Rights Agreement (the CVR Agreement), pursuant to which AVROBIO stockholders of record as of immediately prior to the effective time (including holders of AVROBIO common stock issued upon settlement of the AVROBIO RSUs) will receive one non-transferable CVR for each outstanding share of AVROBIO common stock held by such stockholder on such date. A copy of the form of CVR Agreement is included as Annex F to this proxy statement/prospectus. Pursuant to the CVR Agreement, each CVR holder is entitled to certain rights to receive a pro rata portion of 80% of the net proceeds (as defined in the CVR Agreement), if any, received by AVROBIO as a result of an AVROBIO disposition (including a license) of AVROBIOs pre-closing assets after the effective date and prior to the 18-month anniversary of the closing, received within a 10-year period following the closing. Such proceeds are subject to certain permitted deductions, including for applicable tax payments, certain expenses incurred by AVROBIO or its affiliates, losses incurred or reasonably expected to be incurred by AVROBIO or its subsidiaries due to a third party proceeding in connection with a disposition and certain wind-down costs. The contingent payments under the CVR Agreement, if they become payable, will become payable to the rights agent for subsequent distribution to the holders of the CVRs; provided that no contingent payment will be payable to any holder of the CVRs until such time as the then-outstanding and undistributed proceeds exceeds $350,000 in the aggregate. In the event that no proceeds are received, holders of the CVRs will not receive any payment pursuant to the CVR Agreement. There can be no assurance that holders of CVRs will receive any payments with respect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AVROBIO or the combined company or any of its affiliates. No interest will accrue on any amounts payable in respect of the CVRs.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After such 18-month period, no CVR holders will be entitled to any payments under the CVR Agreement (except to the extent that any payments were earned prior to the end of such period). </w:t>
      </w:r>
    </w:p>
    <w:p>
      <w:pPr>
        <w:pStyle w:val="TextBody"/>
        <w:bidi w:val="0"/>
        <w:spacing w:before="120" w:after="0"/>
        <w:jc w:val="left"/>
        <w:rPr>
          <w:rFonts w:ascii="Times New Roman" w:hAnsi="Times New Roman"/>
          <w:sz w:val="20"/>
        </w:rPr>
      </w:pPr>
      <w:r>
        <w:rPr>
          <w:rFonts w:ascii="Times New Roman" w:hAnsi="Times New Roman"/>
          <w:sz w:val="20"/>
        </w:rPr>
        <w:t>For a more detailed description of the CVRs and the CVR Agreement, see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reverse stock split and why is it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approval of the Reverse Stock Split Proposal, concurrently with the effective time, by virtue of filing the amendment to AVROBIOs charter in the form attached hereto as </w:t>
            </w:r>
            <w:r>
              <w:rPr>
                <w:rFonts w:ascii="Times New Roman" w:hAnsi="Times New Roman"/>
                <w:sz w:val="20"/>
                <w:u w:val="single"/>
              </w:rPr>
              <w:t>Annex G</w:t>
            </w:r>
            <w:r>
              <w:rPr>
                <w:rFonts w:ascii="Times New Roman" w:hAnsi="Times New Roman"/>
                <w:sz w:val="20"/>
              </w:rPr>
              <w:t xml:space="preserve"> and incorporated herein by reference, the outstanding shares of AVROBIO common stock will be combined into a lesser number of shares, at a reverse split ratio to be mutually agreed by the AVROBIO Board and the Tectonic Board prior to the effective time and publicly announced by AVROBIO and identified in the amendment to AVROBIOs charter so filed. Upon the effectiveness of such amendment to effect the reverse stock split (as defined in this proxy statement/prospectus), the issued shares of AVROBIO common stock immediately prior to the reverse stock split effective time will automatically without further action on the part of AVROBIO be combined into a smaller number of shares such that a AVROBIO stockholder will own one new share of AVROBIO common stock for every three to thirty shares of issued AVROBIO common stock held by such stockholder immediately prior to the effective time of the reverse stock split.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AVROBIO Board believes that a reverse stock split is desirable for a number of reasons. AVROBIO common stock is currently, and is expected to continue to be following the completion of the merger, listed on Nasdaq. According to the applicable Nasdaq rules, in order for AVROBIO common stock to continue to be listed on Nasdaq, AVROBIO must satisfy certain requirements established by Nasdaq, including a $1.00 minimum bid price requirement. The AVROBIO Board also believes a higher stock price may help generate investor interest in the combined company as analysts at many brokerage firms do not monitor the trading activity or otherwise provide coverage of lower priced stocks, help the combined company attract and retain employees, increase trading volume in the combined companys common stock and facilitate future financings by the combined company. </w:t>
      </w:r>
    </w:p>
    <w:p>
      <w:pPr>
        <w:pStyle w:val="TextBody"/>
        <w:bidi w:val="0"/>
        <w:spacing w:before="120" w:after="0"/>
        <w:jc w:val="left"/>
        <w:rPr>
          <w:rFonts w:ascii="Times New Roman" w:hAnsi="Times New Roman"/>
          <w:sz w:val="20"/>
        </w:rPr>
      </w:pPr>
      <w:r>
        <w:rPr>
          <w:rFonts w:ascii="Times New Roman" w:hAnsi="Times New Roman"/>
          <w:sz w:val="20"/>
        </w:rPr>
        <w:t>Please see the discussion in the section titled </w:t>
      </w:r>
      <w:r>
        <w:rPr>
          <w:rFonts w:ascii="Times New Roman" w:hAnsi="Times New Roman"/>
          <w:i/>
          <w:sz w:val="20"/>
        </w:rPr>
        <w:t>Proposal No. 2The Reverse Stock Split Proposal</w:t>
      </w:r>
      <w:r>
        <w:rPr>
          <w:rFonts w:ascii="Times New Roman" w:hAnsi="Times New Roman"/>
          <w:sz w:val="20"/>
        </w:rPr>
        <w:t xml:space="preserve"> beginning on page 309 of this proxy statement/prospectus for additional details regarding and reasons for the proposed reverse stock split.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common stock of the combined company trade on an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AVROBIO common stock are currently listed on Nasdaq under the symbol AVRO. AVROBIO intends to file an initial listing application for the common stock of the combined company with Nasdaq. After completion of the merger, AVROBIO will be renamed Tectonic Therapeutic, Inc. and it is expected that the common stock of the combined company will trade on Nasdaq under the symbol TECX. It is a condition to the consummation of the merger in favor of each of AVROBIO, Tectonic and Merger Sub that the approval of the listing on Nasdaq of the additional shares of AVROBIO common stock will have been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obtained and the shares of AVROBIO common stock to be issued in the transactions contemplated by the Merger Agreement pursuant to the Merger Agreement will have been approved for listing (subject to official notice of issuance) on Nasdaq.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Nasdaq has not yet made a determination with respect to this approval, and the status of such approval may not yet be known at the time that AVROBIO stockholders are expected to vote at the special meeting. For additional information, please see the sections titled </w:t>
            </w:r>
            <w:r>
              <w:rPr>
                <w:i/>
              </w:rPr>
              <w:t>Risk FactorsRisks Related to MergerAVROBIO or Tectonic may waive one or more of the conditions to the merger without recirculation of this proxy statement/prospectus or resoliciting stockholder approval</w:t>
            </w:r>
            <w:r>
              <w:rPr/>
              <w:t> on page 37 of this proxy statement/prospectus and </w:t>
            </w:r>
            <w:r>
              <w:rPr>
                <w:i/>
              </w:rPr>
              <w:t>Risk Factors  Risks Related to the Proposed Reverse Stock Split  The reverse stock split may not increase the combined companys stock price over the short-or long-term, which may further impact the combined companys ability to obtain or maintain listing on Nasdaq</w:t>
            </w:r>
            <w:r>
              <w:rPr/>
              <w:t xml:space="preserve"> on page 43 of this proxy statement/prospectus. On May 2, 2024, the last trading day before the date of this proxy statement/prospectus, the closing sale price of AVROBIO common stock was $1.23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directors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combined companys board of directors will be composed of six members, one of whom will be designated by AVROBIO and five of whom will be designated by Tectonic. The staggered structure of three classes of directors of the AVROBIO Board will remain in place for the combined company following the completion of the merger. The division of our board into three classes with staggered three year terms will be decided by mutual agreement following the completion of the merger. The number of directors will be distributed among the three classes so that, as nearly as possible, each class will consist of one-third of the directors. All of AVROBIOs current directors, other than Phillip Donenberg, are expected to resign from their positions as directors of AVROBIO, effective as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executive officers of the combined company immediately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executive management team of the combined company is expected to consist of members of the Tectonic executive management team prior to the merger, including: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25"/>
        <w:gridCol w:w="262"/>
        <w:gridCol w:w="5001"/>
      </w:tblGrid>
      <w:tr>
        <w:trPr/>
        <w:tc>
          <w:tcPr>
            <w:tcW w:w="412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412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62" w:type="dxa"/>
            <w:tcBorders/>
            <w:vAlign w:val="bottom"/>
          </w:tcPr>
          <w:p>
            <w:pPr>
              <w:pStyle w:val="TableContents"/>
              <w:bidi w:val="0"/>
              <w:spacing w:before="0" w:after="283"/>
              <w:jc w:val="left"/>
              <w:rPr/>
            </w:pPr>
            <w:r>
              <w:rPr/>
              <w:t>  </w:t>
            </w:r>
          </w:p>
        </w:tc>
        <w:tc>
          <w:tcPr>
            <w:tcW w:w="500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4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262" w:type="dxa"/>
            <w:tcBorders/>
            <w:shd w:fill="CCEEFF" w:val="clear"/>
            <w:vAlign w:val="bottom"/>
          </w:tcPr>
          <w:p>
            <w:pPr>
              <w:pStyle w:val="TableContents"/>
              <w:bidi w:val="0"/>
              <w:spacing w:before="0" w:after="283"/>
              <w:jc w:val="left"/>
              <w:rPr/>
            </w:pPr>
            <w:r>
              <w:rPr/>
              <w:t>  </w:t>
            </w:r>
          </w:p>
        </w:tc>
        <w:tc>
          <w:tcPr>
            <w:tcW w:w="5001" w:type="dxa"/>
            <w:tcBorders/>
            <w:shd w:fill="CCEEFF" w:val="clear"/>
            <w:vAlign w:val="bottom"/>
          </w:tcPr>
          <w:p>
            <w:pPr>
              <w:pStyle w:val="TableContents"/>
              <w:bidi w:val="0"/>
              <w:spacing w:before="0" w:after="283"/>
              <w:jc w:val="left"/>
              <w:rPr/>
            </w:pPr>
            <w:r>
              <w:rPr/>
              <w:t>Chief Executive Officer</w:t>
            </w:r>
          </w:p>
        </w:tc>
      </w:tr>
      <w:tr>
        <w:trPr/>
        <w:tc>
          <w:tcPr>
            <w:tcW w:w="4125" w:type="dxa"/>
            <w:tcBorders/>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26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left"/>
              <w:rPr/>
            </w:pPr>
            <w:r>
              <w:rPr/>
              <w:t>Chief Operating Officer and Chief Financial Officer</w:t>
            </w:r>
          </w:p>
        </w:tc>
      </w:tr>
      <w:tr>
        <w:trPr/>
        <w:tc>
          <w:tcPr>
            <w:tcW w:w="4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262" w:type="dxa"/>
            <w:tcBorders/>
            <w:shd w:fill="CCEEFF" w:val="clear"/>
            <w:vAlign w:val="bottom"/>
          </w:tcPr>
          <w:p>
            <w:pPr>
              <w:pStyle w:val="TableContents"/>
              <w:bidi w:val="0"/>
              <w:spacing w:before="0" w:after="283"/>
              <w:jc w:val="left"/>
              <w:rPr/>
            </w:pPr>
            <w:r>
              <w:rPr/>
              <w:t>  </w:t>
            </w:r>
          </w:p>
        </w:tc>
        <w:tc>
          <w:tcPr>
            <w:tcW w:w="5001" w:type="dxa"/>
            <w:tcBorders/>
            <w:shd w:fill="CCEEFF" w:val="clear"/>
            <w:vAlign w:val="bottom"/>
          </w:tcPr>
          <w:p>
            <w:pPr>
              <w:pStyle w:val="TableContents"/>
              <w:bidi w:val="0"/>
              <w:spacing w:before="0" w:after="283"/>
              <w:jc w:val="left"/>
              <w:rPr/>
            </w:pPr>
            <w:r>
              <w:rPr/>
              <w:t>Chief Scientific Officer</w:t>
            </w:r>
          </w:p>
        </w:tc>
      </w:tr>
      <w:tr>
        <w:trPr/>
        <w:tc>
          <w:tcPr>
            <w:tcW w:w="4125" w:type="dxa"/>
            <w:tcBorders/>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26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left"/>
              <w:rPr/>
            </w:pPr>
            <w:r>
              <w:rPr/>
              <w:t>Chief Medical Officer</w:t>
            </w:r>
          </w:p>
        </w:tc>
      </w:tr>
      <w:tr>
        <w:trPr/>
        <w:tc>
          <w:tcPr>
            <w:tcW w:w="4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262" w:type="dxa"/>
            <w:tcBorders/>
            <w:shd w:fill="CCEEFF" w:val="clear"/>
            <w:vAlign w:val="bottom"/>
          </w:tcPr>
          <w:p>
            <w:pPr>
              <w:pStyle w:val="TableContents"/>
              <w:bidi w:val="0"/>
              <w:spacing w:before="0" w:after="283"/>
              <w:jc w:val="left"/>
              <w:rPr/>
            </w:pPr>
            <w:r>
              <w:rPr/>
              <w:t>  </w:t>
            </w:r>
          </w:p>
        </w:tc>
        <w:tc>
          <w:tcPr>
            <w:tcW w:w="5001" w:type="dxa"/>
            <w:tcBorders/>
            <w:shd w:fill="CCEEFF" w:val="clear"/>
            <w:vAlign w:val="bottom"/>
          </w:tcPr>
          <w:p>
            <w:pPr>
              <w:pStyle w:val="TableContents"/>
              <w:bidi w:val="0"/>
              <w:spacing w:before="0" w:after="283"/>
              <w:jc w:val="left"/>
              <w:rPr/>
            </w:pPr>
            <w:r>
              <w:rPr/>
              <w:t>Chief Business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an AVROBIO stockholder, how does the AVROBIO Board recommend that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in consultation with financial and legal advisors and AVROBIO management, evaluated the terms of the Merger Agreement and the related transactions contemplated thereby and unanimously: (i) determined that the merger and the other transactions contemplated by the Merger Agreement, including the CVR Agreement, the AVROBIO pre-closing transaction and the private financings, are fair to, advisable and in the best interests of AVROBIO and its stockholders; (ii)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and declared advisable the Merger Agreement and the other transactions contemplated by the Merger Agreement, including the issuance of shares of AVROBIO common stock in connection with the merger; and (iii) recommends that AVROBIO stockholders vote </w:t>
            </w:r>
            <w:r>
              <w:rPr>
                <w:b/>
              </w:rPr>
              <w:t>FOR</w:t>
            </w:r>
            <w:r>
              <w:rPr/>
              <w:t xml:space="preserve"> all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I consider in deciding whether to vote in favor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considered a variety of risks and other potentially negative factors concerning the merger, including the risk that the merger may not be completed. Failure to complete the merger could harm the AVROBIO common stock price, harm the future business and operations of each company and, under specified circumstances pursuant to the Merger Agreement, may result in either (i) AVROBIO being required to pay Tectonic a termination fee of $2,712,500 or (ii) Tectonic being required to pay AVROBIO a termination fee of $4,900,000. In addition, if the Merger Agreement is terminated by AVROBIO or Tectonic due to AVROBIO stockholders voting on and failing to approve Proposal Nos. 1 and 2 at the special meeting (or any adjournment thereof), AVROBIO will be required to reimburse Tectonic for merger-related expenses up to $650,000. The expense reimbursement, to the extent paid, will be credited against any termination fee payable by AVROBIO in the transaction. You should carefully review the section titled </w:t>
            </w:r>
            <w:r>
              <w:rPr>
                <w:rFonts w:ascii="Times New Roman" w:hAnsi="Times New Roman"/>
                <w:i/>
                <w:sz w:val="20"/>
              </w:rPr>
              <w:t>Risk Factors</w:t>
            </w:r>
            <w:r>
              <w:rPr>
                <w:rFonts w:ascii="Times New Roman" w:hAnsi="Times New Roman"/>
                <w:sz w:val="20"/>
              </w:rPr>
              <w:t xml:space="preserve"> beginning on page 36 of this proxy statement/prospectus and the documents incorporated by reference herein, which set forth certain additional risks and uncertainties related to the merger, risks and uncertainties to which the combined companys business will be subject, and risks and uncertainties to which each of AVROBIO and Tectonic, as independent companies, are subject.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merger is anticipated to close in the second quarter of 2024, but the exact timing cannot be predicted. For more information, please see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urges you to read this proxy statement/prospectus carefully, including the annexes and the documents incorporated by reference, and to consider how the merger affects you.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an AVROBIO stockholder of record, you may provide your proxy instructions in one of four different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using the proxy card. Simply complete, sign and date the accompanying proxy card and return it promptly in the envelope provided. If you return your signed proxy card before the special meeting, the designated proxies will vote your shares in accordance with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telephone by calling the toll-free number found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virtual special meeting and vote online during the meeting by following the instructions at </w:t>
            </w:r>
            <w:r>
              <w:rPr>
                <w:rFonts w:ascii="Times New Roman" w:hAnsi="Times New Roman"/>
                <w:i/>
                <w:sz w:val="20"/>
              </w:rPr>
              <w:t>www.proxydocs.com/AVRO</w:t>
            </w:r>
            <w:r>
              <w:rPr>
                <w:rFonts w:ascii="Times New Roman" w:hAnsi="Times New Roman"/>
                <w:sz w:val="20"/>
              </w:rPr>
              <w:t xml:space="preserve">. You will need to enter the Control Number found on your Notice or in the email sending you the proxy statement. Simply attending the special meeting will not, by itself, revoke your proxy and/or change your vote. Even if you plan to attend the special meeting virtually, we recommend that you also submit your proxy or voting instructions or vote in advance of the special meeting by telephone or through the internet so that your vote will be counted if you later decide not to attend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signed proxy card, telephonic proxy instructions, or internet proxy instructions must be received by June 10, 2024 at 11:59 p.m. Eastern Time to be counted.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hold your shares in street name (as described below), you may provide your proxy instructions via telephone or the internet by following the instructions on your vote instruction form provided by your bank, broker or other nominee, referred to herein as broker. Please provide your proxy instructions only once, unless you are revoking a previously delivered proxy instruction, and as soon as possible so that your shares can be voted at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an AVROBIO stockholder, the failure to return your proxy card or otherwise vote or provide proxy instructions will have no effect on Proposal Nos. 1, 2, 4, 5, 6 and 7, and will have the same effect as a vote </w:t>
            </w:r>
            <w:r>
              <w:rPr>
                <w:rFonts w:ascii="Times New Roman" w:hAnsi="Times New Roman"/>
                <w:b/>
                <w:sz w:val="20"/>
              </w:rPr>
              <w:t>AGAINST</w:t>
            </w:r>
            <w:r>
              <w:rPr>
                <w:rFonts w:ascii="Times New Roman" w:hAnsi="Times New Roman"/>
                <w:sz w:val="20"/>
              </w:rPr>
              <w:t xml:space="preserve">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attend, participate in, and ask questions during the virtual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will be hosting the special meeting via live webcast only. Any AVROBIO shareholder can attend the virtual special meeting live online by registering at www.proxydocs.com/AVRO. The Annual Meeting will start at 9:00 a.m., Eastern Time, on June 11, 2024. AVROBIO shareholders attending the special meeting will be afforded the same rights and opportunities to participate as they would at an in-person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order to attend, you must register in advance at www.proxydocs.com/AVRO prior to the deadline of 5:00 p.m., Eastern Time on June 10, 2024. Upon completing your registration, you will receive further instructions via email, including your unique links that will allow you access to the special meeting and will permit you to submit questions. In order to register for the special meeting, you will need the control number, which is included in the Notice or on your proxy card if you are a shareholder of record of AVROBIO common stock, or included with your voting instruction card and voting instructions received from your broker, bank or other agent if you hold AVROBIO common stock in a street name. We recommend that you log in a few minutes before 9:00 a.m., Eastern Time to ensure you are logged in when the special meeting starts. The virtual meeting room will open 15 minutes before the start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would like to submit a question during the special meeting, you may log in at www.proxydocs.com/AVRO using your control number, type your question into the Ask a Question field, and click Submit.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have technical difficulties or trouble accessing the virtual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provided in your email prior to the start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vote in person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AVROBIO stockholders entitled to vote at the virtual-only format special meeting may vote their shares during the live audio webcast. AVROBIO stockholders of record as of April 29, 2024 will be able to attend and participate in the special meeting online by accessing www.proxydocs.com/AVRO. To join the special meeting, you will need to have your control number which is included on your Notice of Internet Availability of Proxy Materials and your proxy card. If your shares are held in street name, you should contact your broker if you did not receive a control number.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are votes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Votes will be counted by the inspector of elections appointed for the special meeting. If you are a stockholder of record, your executed proxy card is returned directly to such inspector of elections for tabulation. If you hold your shares through a broker, your broker returns one proxy card to the inspector of elections on behalf of all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AVROBIO shares are held in street name by my broker, will my broker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120" w:after="0"/>
        <w:jc w:val="left"/>
        <w:rPr>
          <w:rFonts w:ascii="Times New Roman" w:hAnsi="Times New Roman"/>
          <w:sz w:val="20"/>
        </w:rPr>
      </w:pPr>
      <w:r>
        <w:rPr>
          <w:rFonts w:ascii="Times New Roman" w:hAnsi="Times New Roman"/>
          <w:sz w:val="20"/>
        </w:rPr>
        <w:t>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w:t>
      </w:r>
    </w:p>
    <w:p>
      <w:pPr>
        <w:pStyle w:val="TextBody"/>
        <w:bidi w:val="0"/>
        <w:spacing w:before="120" w:after="0"/>
        <w:jc w:val="left"/>
        <w:rPr>
          <w:rFonts w:ascii="Times New Roman" w:hAnsi="Times New Roman"/>
          <w:sz w:val="20"/>
        </w:rPr>
      </w:pPr>
      <w:r>
        <w:rPr>
          <w:rFonts w:ascii="Times New Roman" w:hAnsi="Times New Roman"/>
          <w:sz w:val="20"/>
        </w:rPr>
        <w:t xml:space="preserve">If an AVROBIO stockholder does not return voting instructions to their broker on how to vote their shares of AVROBIO common stock, such broker may be prevented from voting, or may otherwise choose not to vote, such shares held by such broker, resulting in broker non-votes with respect to such shares. To make sure that your vote is counted, you should instruct your broker to vote your shares of AVROBIO common stock, following the procedures provided by your broker.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matters deemed to be non-routine. These un-voted shares are counted as broker non-votes. </w:t>
            </w:r>
          </w:p>
        </w:tc>
      </w:tr>
    </w:tbl>
    <w:p>
      <w:pPr>
        <w:pStyle w:val="TextBody"/>
        <w:bidi w:val="0"/>
        <w:spacing w:before="120" w:after="0"/>
        <w:jc w:val="left"/>
        <w:rPr>
          <w:rFonts w:ascii="Times New Roman" w:hAnsi="Times New Roman"/>
          <w:sz w:val="20"/>
        </w:rPr>
      </w:pPr>
      <w:r>
        <w:rPr>
          <w:rFonts w:ascii="Times New Roman" w:hAnsi="Times New Roman"/>
          <w:sz w:val="20"/>
        </w:rPr>
        <w:t>Broker non-votes, if any, will not be treated as shares present for the purpose of determining the presence of a quorum for the transaction of business at the special meeting. Broker non-votes, if any, will not be counted as votes properly cast for or against a matter and will therefore have no effect on Proposal Nos. 1, 2, 4, 5, 6 and 7 but will be counted as shares entitled to vote and will therefore have the same effect of a vote </w:t>
      </w:r>
      <w:r>
        <w:rPr>
          <w:rFonts w:ascii="Times New Roman" w:hAnsi="Times New Roman"/>
          <w:b/>
          <w:sz w:val="20"/>
        </w:rPr>
        <w:t>AGAINST</w:t>
      </w:r>
      <w:r>
        <w:rPr>
          <w:rFonts w:ascii="Times New Roman" w:hAnsi="Times New Roman"/>
          <w:sz w:val="20"/>
        </w:rPr>
        <w:t xml:space="preserve"> Proposal No.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revoke and/or change my vote after I have submitted a proxy or provided proxy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of record, unless such stockholders vote is subject to a support agreement, may revoke and/or change their vote at any time before their proxy is voted at the special meeting in one of four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over the internet, following the instructions provided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online and vote during the meeting by following the instructions at </w:t>
            </w:r>
            <w:r>
              <w:rPr>
                <w:rFonts w:ascii="Times New Roman" w:hAnsi="Times New Roman"/>
                <w:i/>
                <w:sz w:val="20"/>
              </w:rPr>
              <w:t>www.proxydocs.com/AVRO</w:t>
            </w:r>
            <w:r>
              <w:rPr>
                <w:rFonts w:ascii="Times New Roman" w:hAnsi="Times New Roman"/>
                <w:sz w:val="20"/>
              </w:rPr>
              <w:t xml:space="preserve">. Simply attending the special meeting will not, by itself, revoke your proxy and/or change your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June 10, 2024 at 11:59 p.m. Eastern Time to be counted. </w:t>
      </w:r>
    </w:p>
    <w:p>
      <w:pPr>
        <w:pStyle w:val="TextBody"/>
        <w:bidi w:val="0"/>
        <w:spacing w:before="120" w:after="0"/>
        <w:jc w:val="left"/>
        <w:rPr>
          <w:rFonts w:ascii="Times New Roman" w:hAnsi="Times New Roman"/>
          <w:sz w:val="20"/>
        </w:rPr>
      </w:pPr>
      <w:r>
        <w:rPr>
          <w:rFonts w:ascii="Times New Roman" w:hAnsi="Times New Roman"/>
          <w:sz w:val="20"/>
        </w:rPr>
        <w:t xml:space="preserve">If an AVROBIO stockholder who owns AVROBIO shares in street name has instructed a broker to vote its shares of AVROBIO common stock, the stockholder must follow directions received from its broker to change those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and Tectonic will share equally the cost of printing and filing of this proxy statement/prospectus and the proxy card. Arrangements will also be made with brokerage firms and other custodians, nominees and fiduciaries who are record holders of AVROBIO common stock for the forwarding of solicitation materials to the beneficial owners of AVROBIO common stock. AVROBIO will reimburse these brokers, custodians, nominees and fiduciaries for the reasonable out-of-pocket expenses they incur in connection with the forwarding of solicitation materials. AVROBIO has retained Innisfree M&amp;A Incorporated (the proxy solicitor), to assist it in soliciting proxies using the means referred to above. AVROBIO will pay the fees of the proxy solicitor, which AVROBIO expects to be up to $50,000, plus reimbursement of out-of-pocket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to holders of AVROBIO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will not sell, exchange or dispose of any shares of AVROBIO common stock as a result of the merger. Thus, there will be no material U.S. federal income tax consequences to AVROBIO stockholders as a result of solely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to U.S. Holders of Tectonic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merger is intended to qualify as a reorganization within the meaning of Section 368(a) of the Internal Revenue Code of 1986, as amended (the Code), for U.S. federal income tax purposes. In reliance on the representation letters of AVROBIO and Tectonic that will be delivered to each of Goodwin and Cooley, and subject to the assumptions, qualifications and limitations described herein and in the opinions included as Exhibit 8.1 and Exhibit 8.2 hereto, each of Goodwin, as counsel to AVROBIO, and Cooley, as counsel to Tectonic, is of the opinion that the merger will qualify as a reorganization within the meaning of Section 368(a) of the Code. It is not, however, a condition to AVROBIOs obligation or Tectonics obligation to complete the merger that the merger so qualifies. Additionally, the opinions described above are based on the law in effect on the dates of the opinions and assume that there will be no change in applicable law between such date and the time of the merger. If any of the assumptions, representations or covenants on which any opinion is based is or becomes incorrect, incomplete, inaccurate or is otherwise not complied with, the validity of the opinions described above may be adversely affected and the tax consequences of the merger could differ from those described herein. Assuming, consistent with such tax opinions, that the merger qualifies as a reorganization within the meaning of Section 368(a) of the Code, subject to the limitations and qualifications described in the section titled </w:t>
            </w:r>
            <w:r>
              <w:rPr>
                <w:rFonts w:ascii="Times New Roman" w:hAnsi="Times New Roman"/>
                <w:i/>
                <w:sz w:val="20"/>
              </w:rPr>
              <w:t>The MergerMaterial U.S. Federal Income Tax Consequences of the Merger</w:t>
            </w:r>
            <w:r>
              <w:rPr>
                <w:rFonts w:ascii="Times New Roman" w:hAnsi="Times New Roman"/>
                <w:sz w:val="20"/>
              </w:rPr>
              <w:t> beginning on page 231 of this proxy statement/prospectus, holders of shares of Tectonic common stock generally would not recognize any gain or loss for U.S. federal income tax purposes on the exchange of their shares of Tectonic common stock for shares of AVROBIO common stock in the merger. However, if the merger does not qualify as a reorganization within the meaning of Section 368(a) of the Code, the merger would be a taxable transaction to U.S. Holders (as defined in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AVROBIO, Tectonic, nor Merger Sub intends to obtain a ruling from the Internal Revenue Service (the IRS) on the tax consequences of the merger, including any ruling regarding qualification of the merger as a reorganization within the meaning of Section 368(a) of the Code. An opinion of counsel represents counsels legal judgment but is not binding on the IRS or any court. Accordingly, there can be no assurance that the IRS will not assert that the merger fails to qualify as a reorganization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disagree with the conclusions set forth in such opinions) or that a court would not sustain such a challenge. If the IRS were to successfully challenge the reorganization status of the merger, the tax consequences would vary significantly from those set forth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The tax consequences to you of the merger will depend on your particular facts and circumstances. Please consult your tax advisor as to the tax consequences of the merger in your particular circumstances, including the applicability and effect of U.S. federal, state, local and foreign income and other tax laws. For a more complete discussion of the material U.S. federal income tax consequences of the merger, see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issuance of the CVRs and of the receipt of payments on the CVRs (if any) to holders of AVROBIO common stock under the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There is substantial uncertainty as to the U.S. federal income tax treatment of the CVRs and payments (if any) thereon. AVROBIO does not intend to report the issuance of the CVRs as a current distribution and instead intends to report each future cash payment (if any) on the CVRs as a distribution by the combined company for U.S. federal income tax purposes, with each such payment being reported as a dividend to the extent of the combined companys current and accumulated earnings and profits in the year in which such payment is made. This position may be challenged by the IRS in which case holders of AVROBIO common stock could be required to recognize taxable income in respect of the issuance of the CVRs without a corresponding receipt of cash. Please review the information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for a discussion of the material U.S. federal income tax consequences of the issuance of the CVRs and the receipt of payments (if any) thereon to holders of AVROBIO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reverse stock split to holders of AVROBIO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AVROBIO common stock generally should not recognize gain or loss upon the reverse stock split, except to the extent such holder receives cash in lieu of a fractional share of AVROBIO common stock, and subject to the discussion, limitations and qualifications described in the section titled </w:t>
            </w:r>
            <w:r>
              <w:rPr>
                <w:rFonts w:ascii="Times New Roman" w:hAnsi="Times New Roman"/>
                <w:i/>
                <w:sz w:val="20"/>
              </w:rPr>
              <w:t>Proposal No. 2The Reverse Stock Split ProposalMaterial U.S. Federal Income Tax Consequences of the Reverse Stock Split</w:t>
            </w:r>
            <w:r>
              <w:rPr>
                <w:rFonts w:ascii="Times New Roman" w:hAnsi="Times New Roman"/>
                <w:sz w:val="20"/>
              </w:rPr>
              <w:t> beginning on page 313 of this proxy statement/prospectus. Please review the information in the section titled </w:t>
            </w:r>
            <w:r>
              <w:rPr>
                <w:rFonts w:ascii="Times New Roman" w:hAnsi="Times New Roman"/>
                <w:i/>
                <w:sz w:val="20"/>
              </w:rPr>
              <w:t>Proposal No. 2The Reverse Stock Split ProposalMaterial U.S. Federal Income Tax</w:t>
            </w:r>
            <w:r>
              <w:rPr>
                <w:rFonts w:ascii="Times New Roman" w:hAnsi="Times New Roman"/>
                <w:sz w:val="20"/>
              </w:rPr>
              <w:t xml:space="preserve"> </w:t>
            </w:r>
            <w:r>
              <w:rPr>
                <w:rFonts w:ascii="Times New Roman" w:hAnsi="Times New Roman"/>
                <w:i/>
                <w:sz w:val="20"/>
              </w:rPr>
              <w:t>Consequences of the Reverse Stock Split</w:t>
            </w:r>
            <w:r>
              <w:rPr>
                <w:rFonts w:ascii="Times New Roman" w:hAnsi="Times New Roman"/>
                <w:sz w:val="20"/>
              </w:rPr>
              <w:t xml:space="preserve"> beginning on page 313 of this proxy statement/prospectus for a more complete description of the material U.S. federal income tax consequences of the reverse stock split to holders of AVROBIO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an AVROBIO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1130" cy="38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1130" cy="38100"/>
                    </a:xfrm>
                    <a:prstGeom prst="rect">
                      <a:avLst/>
                    </a:prstGeom>
                  </pic:spPr>
                </pic:pic>
              </a:graphicData>
            </a:graphic>
          </wp:inline>
        </w:drawing>
      </w: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toll free: (877) 456-3513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770053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proxy statement/prospectus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476 of this proxy statement/prospectus for further information. 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360" w:after="0"/>
        <w:jc w:val="left"/>
        <w:rPr>
          <w:rFonts w:ascii="Times New Roman" w:hAnsi="Times New Roman"/>
          <w:b/>
          <w:sz w:val="20"/>
          <w:bdr w:val="single" w:sz="8" w:space="1" w:color="000000"/>
        </w:rPr>
      </w:pPr>
      <w:bookmarkStart w:id="5" w:name="toc770053_3"/>
      <w:bookmarkEnd w:id="5"/>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AVROBIO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is a gene therapy company with a purpose to free people from a lifetime of genetic disease. AVROBIO has been focused on developing potentially curative hematopoietic stem cell (HSC) gene therapies to treat patients with rare diseases following a single dose treatment regimen. The gene therapies AVROBIO had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enzyme replacement therapies (ERTs).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is not limited to, an acquisition, a merger, business combination or divestiture.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a comprehensive review of strategic alternatives, including identifying and reviewing potential candidates for a strategic transaction, on January 30, 2024, AVROBIO entered into the Merger Agreement with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pursuant to the terms of the Subscription Agreement, and certain investors have consummated or will consummate certain additional purchases of Tectonic common stock pursuant to the conversion of certain Company SAFEs entered into by such investors and Tectonic, for an aggregate purchase price among the private financings contemplated by the Subscription Agreement and such Company SAFEs of approximately $130.7 million. While Tectonic will assume AVROBIOs product candidates and related intellectual property rights as part of the merger, the combined company will focus on developing Tectonics product candidates, and at the present time, it is anticipated that the combined company will not continue to develop AVROBIOs legacy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closing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common stock to be issued in connection with the proposed transaction. The closings of the private financings are conditioned upon the satisfaction or waiver of the conditions to the closing as well as certain other conditions. If the transactions are completed, the business of Tectonic will continue as the business of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(as defined below),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AVROBIOs principal executive offices are located at One Broadway, 14th Floor, Cambridge, Massachusetts 02142, and its telephone number is (617) 914-8420. AVROBIOs website address is </w:t>
      </w:r>
      <w:r>
        <w:rPr>
          <w:rFonts w:ascii="Times New Roman" w:hAnsi="Times New Roman"/>
          <w:i/>
          <w:sz w:val="20"/>
          <w:bdr w:val="single" w:sz="8" w:space="1" w:color="000000"/>
        </w:rPr>
        <w:t>www.avrobio.com</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Tectonic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Tectonic uses its proprietary GEODe technology platform in an attempt to overcome the known challenges of GPCR-targeted drug discovery. The initial platform components, first generation yeast library design and initial yeast selection protocols, were developed in Dr. Andrew Kruses lab at Harvard Medical School. However,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last few years the Tectonic team has made many improvements and modifications to all aspects of the platform including second and third generation library designs, optimized GPCR engineering strategies and yeast selection protocols better suited to GPCR antibody discovery. These modifications have resulted in selection campaigns that have a higher hit rate with molecules that have higher affinity and potency compared to hits identified from initial antibody selection campaigns. The GEODe platform includes components aimed at optimizing the expression, purification, and stabilization of GPCRs and pairs these advances with Tectonics protein engineering and structural biology capabilities. While the current libraries, receptor engineering and selection strategies are producing GPCR-targeted antibodies, the Tectonic team continues to evolve and modify aspects of the platform, which the Tectonic team believes will lead to even better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Tectonics lead asset, TX000045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Tectonic believes TX45s pharmacological profile, the direct result of applying Tectonics protein engineering capabilities, has the potential to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 HFpEF hereafter, as the initial disease setting. Tectonic hypothesizes that in this setting, treatment with relaxin could improve hemodynamics through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that the platform may never result in the regulatory approval of a product candidate.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Tectonics principal executive offices are located at 490 Arsenal Way, Suite 210, Watertown, Massachusetts 02472, and its telephone number is (339) 666-3320. Tectonics website address is </w:t>
      </w:r>
      <w:r>
        <w:rPr>
          <w:rFonts w:ascii="Times New Roman" w:hAnsi="Times New Roman"/>
          <w:i/>
          <w:sz w:val="20"/>
          <w:bdr w:val="single" w:sz="8" w:space="1" w:color="000000"/>
        </w:rPr>
        <w:t>www.tectonictx.com</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Merger Sub is a direct, wholly owned subsidiary of AVROBIO and was formed solely for the purpose of carrying out the merger. Merger Subs principal executive offices are located at One Broadway, 14th Floor, Cambridge, Massachusetts 02142, and its telephone number is (617) 914-8420.</w:t>
      </w:r>
    </w:p>
    <w:p>
      <w:pPr>
        <w:pStyle w:val="TextBody"/>
        <w:bidi w:val="0"/>
        <w:spacing w:before="360" w:after="0"/>
        <w:jc w:val="left"/>
        <w:rPr>
          <w:rFonts w:ascii="Times New Roman" w:hAnsi="Times New Roman"/>
          <w:b/>
          <w:sz w:val="20"/>
          <w:bdr w:val="single" w:sz="8" w:space="1" w:color="000000"/>
        </w:rPr>
      </w:pPr>
      <w:bookmarkStart w:id="6" w:name="toc770053_4"/>
      <w:bookmarkEnd w:id="6"/>
      <w:r>
        <w:rPr>
          <w:rFonts w:ascii="Times New Roman" w:hAnsi="Times New Roman"/>
          <w:b/>
          <w:sz w:val="20"/>
          <w:bdr w:val="single" w:sz="8" w:space="1" w:color="000000"/>
        </w:rPr>
        <w:t xml:space="preserve">The Merger (see page 179)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completed, Merger Sub will merge with and into Tectonic, with Tectonic surviving as a wholly owned subsidiary of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30, 2024, AVROBIO, Merger Sub, and Tectonic entered into the Merger Agreement, pursuant to which Merger Sub will merge with and into Tectonic, with Tectonic surviving as a wholly-owned subsidiary of AVROBIO. Tectonic will assume AVROBIOs product candidates and related intellectual property rights as part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and Tectonic expect the merger to be consummated during the second quarter of 2024, subject to the satisfaction or waiver of certain conditions to the closing, including, among other things, approval by the AVROBIO stockholders of the Nasdaq Stock Issuance Proposal and the Reverse Stock Split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after the merger, and prior to giving effect to the proposed private financings, on a pro forma basis and based upon the number of shares of AVROBIO common stock expected to be issued in the merger, AVROBIO securityholders as of immediately prior to the merger are expected to own approximately 35.6% of the combined company on a fully-diluted basis (prior to giving effect to the private financings and excluding shares reserved for future grants under the 2024 Plan and the 2024 ESPP), and after giving further effect to the proposed private financings, assuming a subscription amount of $130.7 million, AVROBIO securityholders as of immediately prior to the merger are expected to own approximately 22.3% of the outstanding shares of capital stock of the combined company on a fully-diluted basis. Immediately after the merger, and prior to giving effect to the proposed private financings, on a pro forma basis and based upon the number of shares of AVROBIO common stock expected to be issued in the merger, Tectonic securityholders as of immediately prior to the merger are expected to own approximately 64.4% of the combined company on a fully-diluted basis (prior to giving effect to the private financings and excluding shares reserved for future grants under the 2024 Plan and the 2024 ESPP), and after giving further effect to the proposed private financings, assuming a subscription amount of $130.7 million, Tectonic securityholders as of immediately prior to the merger are expected to own approximately 39.8% of the outstanding shares of capital stock of the combined company on a fully-diluted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merger and the exchange ratio, please see the sections titled </w:t>
      </w:r>
      <w:r>
        <w:rPr>
          <w:rFonts w:ascii="Times New Roman" w:hAnsi="Times New Roman"/>
          <w:i/>
          <w:sz w:val="20"/>
          <w:bdr w:val="single" w:sz="8" w:space="1" w:color="000000"/>
        </w:rPr>
        <w:t>The Merger</w:t>
      </w:r>
      <w:r>
        <w:rPr>
          <w:rFonts w:ascii="Times New Roman" w:hAnsi="Times New Roman"/>
          <w:sz w:val="20"/>
          <w:bdr w:val="single" w:sz="8" w:space="1" w:color="000000"/>
        </w:rPr>
        <w:t xml:space="preserve"> and </w:t>
      </w:r>
      <w:r>
        <w:rPr>
          <w:rFonts w:ascii="Times New Roman" w:hAnsi="Times New Roman"/>
          <w:i/>
          <w:sz w:val="20"/>
          <w:bdr w:val="single" w:sz="8" w:space="1" w:color="000000"/>
        </w:rPr>
        <w:t>The Merger AgreementThe Exchange Ratio</w:t>
      </w:r>
      <w:r>
        <w:rPr>
          <w:rFonts w:ascii="Times New Roman" w:hAnsi="Times New Roman"/>
          <w:sz w:val="20"/>
          <w:bdr w:val="single" w:sz="8" w:space="1" w:color="000000"/>
        </w:rPr>
        <w:t xml:space="preserve"> beginning on pages 179 and 240, respectively, of this proxy statement/prospectus. </w:t>
      </w:r>
    </w:p>
    <w:p>
      <w:pPr>
        <w:pStyle w:val="TextBody"/>
        <w:bidi w:val="0"/>
        <w:spacing w:before="360" w:after="0"/>
        <w:jc w:val="left"/>
        <w:rPr>
          <w:rFonts w:ascii="Times New Roman" w:hAnsi="Times New Roman"/>
          <w:b/>
          <w:sz w:val="20"/>
          <w:bdr w:val="single" w:sz="8" w:space="1" w:color="000000"/>
        </w:rPr>
      </w:pPr>
      <w:bookmarkStart w:id="7" w:name="toc770053_5"/>
      <w:bookmarkEnd w:id="7"/>
      <w:r>
        <w:rPr>
          <w:rFonts w:ascii="Times New Roman" w:hAnsi="Times New Roman"/>
          <w:b/>
          <w:sz w:val="20"/>
          <w:bdr w:val="single" w:sz="8" w:space="1" w:color="000000"/>
        </w:rPr>
        <w:t xml:space="preserve">AVROBIOs Reasons for the Merger (see page 197)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the course of its evaluation of the Merger Agreement and the transactions contemplated by the Merger Agreement, the AVROBIO Board (including the Transaction Committee of the AVROBIO Board (the Transaction Committee)) held numerous meetings, consulted with AVROBIOs senior management, AVROBIOs legal and financial advisors, and reviewed and assessed a significant amount of information. In reaching its decision to approve the Merger Agreement and the transactions contemplated by the Merger Agreement, the AVROBIO Board took into account the input of the Transaction Committee and considered a number of factors that it viewed as supporting its decision to approve the Merger Agreement, including (without limitation):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AVROBIO and the risks associated with continuing to operate AVROBIO on a standalone basis, including in light of (without limitation):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decision, announced in July 2023, to discontinue its clinical and research programs which resulted in a corporate restructuring and a reduction in AVROBIOs workforce by 50% (followed by additional reductions in force in October, November and December of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interest and value perception for possible further development of its programs, the product candidates efficacy profile, stage of development, regulatory agencies feedback regarding development pathways, and probability of success in relation to the requisite time and costs, including the relative absence of meaningful, near-term regulatory and clinical inflection points for AVROBIOs ongoing programs following the Cystinosis Sale (as defined in this proxy statement/prospectus);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encountered in AVROBIOs related business development efforts to license, sell or otherwise partner its assets that could result in meaningful new capital or shared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costs, and to generate sufficient investor interest despite two separate attempts at capital raising, which further exacerbated the lack of opportunities to achieve meaningful near-term regulatory and clinical inflection points for AVROBIOs ongoing programs.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AVROBIO Board and the Transaction Committee, with the assistance of AVROBIOs management and legal and financial advisors, undertook a comprehensive and thorough process of reviewing and analyzing potential strategic alternatives and strategic transaction partner candidates, which included the public announcement of AVROBIOs exploration of strategic alternatives on July 12, 2023, subsequent outreach to approximately 60 strategic and reverse merger candidates and review by the AVROBIO Board of other alternatives (including remaining a standalone company, a liquidation or dissolution of AVROBIO to distribute any available cash and alternative strategic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Committee and the AVROBIO Boards belief, after a thorough review of strategic alternatives, including engagement with numerous strategic parties with respect to various types of strategic transactions (including whole-company sales, reverse merger transactions and merger of equals transactions), attempts at two capital raising financings, both of which were unable to generate sufficient investor interest, engagement with certain counterparties on potential partnership opportunities, including in Japan, and the completion of the Cystinosis Sale to Novartis, that the merger is more favorable to AVROBIO stockholders than the potential value that might have resulted from other strategic alternatives available to AVROBIO;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the $77.5 million value ascribed to AVROBIO by Tectonic would provide the existing AVROBIO stockholders significant value for AVROBIO and afford AVROBIO stockholders a significant opportunity to participate in the potential growth of the combined company following the merger at the negotiated exchange ratio, and the AVROBIO Boards understanding that such $77.5 million value was based on a targeted $65 million of net cash at closing and that the actual valuation ascribed to AVROBIO at closing would be increased or decreased subject to actual deviations in AVROBIOs net cash at closing in excess of a $0.5 million hurdle in both directions (as described more fully in the section titled </w:t>
            </w:r>
            <w:r>
              <w:rPr>
                <w:rFonts w:ascii="Times New Roman" w:hAnsi="Times New Roman"/>
                <w:i/>
                <w:sz w:val="20"/>
              </w:rPr>
              <w:t>The Merger Agreement</w:t>
            </w:r>
            <w:r>
              <w:rPr>
                <w:rFonts w:ascii="Times New Roman" w:hAnsi="Times New Roman"/>
                <w:sz w:val="20"/>
              </w:rPr>
              <w:t xml:space="preserve"> beginning on page 239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view, following a review with AVROBIOs senior management and advisors of Tectonics current development and clinical trial plans, of the likelihood that the combined company would possess sufficient cash resources at the closing of the merger, or have access to sufficient resources, to fund continued development of Tectonics product candidates through certain anticipated upcoming value inflection points;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positive view, based on the scientific, regulatory and technical due diligence conducted by AVROBIOs senior management and advisors, of the regulatory pathway for, and potential significant market opportunity of, Tectonics product candidates, which will be the focus of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consideration of the expected cash and cash equivalents of the combined company as of the closing of the merger, including the anticipated aggregate proceeds of $130.7 million to be received by Tectonic between the Subscription Agreement and the Company SAFEs, and the quality of the investor syndicate offered by Tectonic;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Tectonic constituted the most compelling reverse merger counterparty as it pertains to each of the Criteria enumerated by the AVROBIO Board (for additional information, please see the section titled </w:t>
            </w:r>
            <w:r>
              <w:rPr>
                <w:rFonts w:ascii="Times New Roman" w:hAnsi="Times New Roman"/>
                <w:i/>
                <w:sz w:val="20"/>
              </w:rPr>
              <w:t>Background of the Merger</w:t>
            </w:r>
            <w:r>
              <w:rPr>
                <w:rFonts w:ascii="Times New Roman" w:hAnsi="Times New Roman"/>
                <w:sz w:val="20"/>
              </w:rPr>
              <w:t xml:space="preserve"> beginning on page 179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AVROBIOs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AVROBIO stockholders to receive cash or other marketable proceeds in respect of AVROBIOs pre-closing assets following the closing of the merger pursuant to the CVR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liquidation analysis prepared by AVROBIOs management for the AVROBIO Boards review, which implied an equity value of AVROBIO in the reverse merger case of approximately $87.5 million, as compared to approximately $72.6 million in the July 2024 liquidation case and approximately $68.7 million in the October 2024 liquidation case (for additional information, please see the sections titled </w:t>
            </w:r>
            <w:r>
              <w:rPr>
                <w:rFonts w:ascii="Times New Roman" w:hAnsi="Times New Roman"/>
                <w:i/>
                <w:sz w:val="20"/>
              </w:rPr>
              <w:t>Background of the Merger</w:t>
            </w:r>
            <w:r>
              <w:rPr>
                <w:rFonts w:ascii="Times New Roman" w:hAnsi="Times New Roman"/>
                <w:sz w:val="20"/>
              </w:rPr>
              <w:t> and </w:t>
            </w:r>
            <w:r>
              <w:rPr>
                <w:rFonts w:ascii="Times New Roman" w:hAnsi="Times New Roman"/>
                <w:i/>
                <w:sz w:val="20"/>
              </w:rPr>
              <w:t>AVROBIO Liquidation Analysis</w:t>
            </w:r>
            <w:r>
              <w:rPr>
                <w:rFonts w:ascii="Times New Roman" w:hAnsi="Times New Roman"/>
                <w:sz w:val="20"/>
              </w:rPr>
              <w:t xml:space="preserve"> beginning on pages 179 and 203, respectively,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delays associated with, and uncertain value and costs to AVROBIO stockholders of, liquidating AVROBIO, including, without limitation, the uncertainties of continuing cash burn while contingent liabilities are resolved, the uncertainty of timing of release of cash until contingent liabilities are resolved and AVROBIOs continuing contractual obligations as of the date of the Merger Agreement that extend through June 2024;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analysis reviewed by Houlihan Lokey with the AVROBIO Board as well as the oral opinion of Houlihan Lokey rendered to the AVROBIO Board on January 29, 2024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(as defined below), the Exchange Ratio provided for in the Merger pursuant to the Merger Agreement, after giving effect to the Related Transactions, is fair, from a financial point of view to AVROBIO (for additional information, please see the section titled </w:t>
            </w:r>
            <w:r>
              <w:rPr>
                <w:rFonts w:ascii="Times New Roman" w:hAnsi="Times New Roman"/>
                <w:i/>
                <w:sz w:val="20"/>
              </w:rPr>
              <w:t>Opinion of Houlihan Lokey to the AVROBIO Board</w:t>
            </w:r>
            <w:r>
              <w:rPr>
                <w:rFonts w:ascii="Times New Roman" w:hAnsi="Times New Roman"/>
                <w:sz w:val="20"/>
              </w:rPr>
              <w:t xml:space="preserve"> beginning on page 208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AVROBIO common stock to be issued in the merger may be reduced or increased to the extent AVROBIOs net cash position at the closing differs by more than $0.5 million from the anticipated $65.0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nature of the conditions to Tectonics and AVROBIOs respective obligations to complete the merger and the likelihood that the merger will be completed on a timely basis, including the fact that Tectonics obligation to complete the merger is conditioned on AVROBIO having a specified level of closing net cash being not less than $50.0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rights of, and limitations on, AVROBIO and Tectonic under the Merger Agreement to consider and engage in discussions regarding unsolicited acquisition proposals under certain circumstances, and the limitations on the board of directors of each party to change its recommendation in favor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termination fee of $2.712 million, in the case of the fee payable by AVROBIO, or $4.9 million, in the case of the fee payable by Tectonic, if the Merger Agreement is terminated in certain circumstances, and the potential reimbursement of transaction expenses payable by AVROBIO of up to $650,000 if the special meeting has been held and completed and AVROBIO stockholders have taken a final vote on Proposal Nos. 1 and 2, and such proposals have not been approved by the AVROBIO stockholders at the AVROBIO special meeting (or any adjournment or postponement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Tectonic stockholder and AVROBIO stockholders have, subject to certain exceptions, agreed not to transfer their shares of AVROBIO common stock during the period of 180 days following the completion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stockholders of AVROBIO and Tectonic have agreed, solely in their capacities as stockholders, to vote all of their shares of AVROBIO common stock or Tectonic common stock (as applicable) in favor of the proposals submitted to them in connection with the merger and against any alternative acquisition proposals;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 of Tectonic to provide the written consent of Tectonic stockholders necessary to adopt the Merger Agreement and approve the Merger and the contemplated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CVR Agreement, pursuant to which AVROBIO stockholders of record as of immediately prior to the effective time (including holders of shares of AVROBIO common stock issued upon settlment of the AVROBIO RSUs), will receive a CVR for each outstanding share of AVROBIO common stock held by such AVROBIO stockholders representing the contractual right to receive cash payments, if any, upon the receipt by AVROBIO of certain net proceeds payable to the combined company, as more fully described in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would qualify as a reorganization within the meaning of Section 368(a) of the Code, and will constitute a plan of reorganization within the meaning of Treasury Regulations Section 1.368 2(g), with the result that Tectonic stockholders would generally not recognize taxable gain or loss for U.S. federal income tax purposes upon the exchange of Tectonic common stock for AVROBIO common stock pursuant to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please see the section titled </w:t>
      </w:r>
      <w:r>
        <w:rPr>
          <w:rFonts w:ascii="Times New Roman" w:hAnsi="Times New Roman"/>
          <w:i/>
          <w:sz w:val="20"/>
          <w:bdr w:val="single" w:sz="8" w:space="1" w:color="000000"/>
        </w:rPr>
        <w:t>The MergerAVROBIOS Reasons for the Merger</w:t>
      </w:r>
      <w:r>
        <w:rPr>
          <w:rFonts w:ascii="Times New Roman" w:hAnsi="Times New Roman"/>
          <w:sz w:val="20"/>
          <w:bdr w:val="single" w:sz="8" w:space="1" w:color="000000"/>
        </w:rPr>
        <w:t xml:space="preserve"> beginning on page 197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Tectonics Reasons for the Merger (see page 200)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the Tectonic Board held meetings and conducted discussions, consulted with Tectonics senior management, its financial advisors and legal counsel, and considered a wide variety of factors. Ultimately, the Tectonic Board concluded that a merger with AVROBIO, together with the additional financing committed by the investors in the Tectonic pre-closing financing, was the best option to generate capital resources to support the advancement of Tectonics pipeline and fund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Tectonic Board considered, among others, the following material factors (which factors are not necessarily presented in any order or relevant importance):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provide Tectonics current stockholders with greater liquidity by owning publicly-traded stock, and expanding the range of investors potentially available as a public company, compared to the investors Tectonic could otherwise gain access to if it continued to operate as a privately-held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Tectonics business, including its financial performance and condition, operations, management and pre-clinical data generated to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Tectonic operates;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Boards fiduciary duties to Tectonic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Tectonics Boards belief that no alternatives to the merger were reasonably likely to create greater value for the Tectonic stockholders, after reviewing the various financing and other strategic options to enhance stockholder value that were considered by the Tectonic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projected financial position, operations, management structure, geographic locations, operating plans, cash burn rate and financial projections of the combined company, including the expected cash resources of the combined company (including the ability to support the combined companys current and planned clinical trials and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AVROBIO;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Delaware General Corporation Law (DGCL) to holders of Tectonics capital stock who comply with the required procedures under the DGCL, which allow such holders to seek appraisal of the fair value of their shares of Tectonic capital stock as determined by the Delaware Court of Chancery;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please see the section titled </w:t>
      </w:r>
      <w:r>
        <w:rPr>
          <w:rFonts w:ascii="Times New Roman" w:hAnsi="Times New Roman"/>
          <w:i/>
          <w:sz w:val="20"/>
          <w:bdr w:val="single" w:sz="8" w:space="1" w:color="000000"/>
        </w:rPr>
        <w:t>The MergerTectonics Reasons for the Merger</w:t>
      </w:r>
      <w:r>
        <w:rPr>
          <w:rFonts w:ascii="Times New Roman" w:hAnsi="Times New Roman"/>
          <w:sz w:val="20"/>
          <w:bdr w:val="single" w:sz="8" w:space="1" w:color="000000"/>
        </w:rPr>
        <w:t xml:space="preserve"> beginning on page 200 of this proxy statement/prospectus. </w:t>
      </w:r>
    </w:p>
    <w:p>
      <w:pPr>
        <w:pStyle w:val="TextBody"/>
        <w:bidi w:val="0"/>
        <w:spacing w:before="240" w:after="0"/>
        <w:jc w:val="left"/>
        <w:rPr>
          <w:rFonts w:ascii="Times New Roman" w:hAnsi="Times New Roman"/>
          <w:sz w:val="20"/>
          <w:bdr w:val="single" w:sz="8" w:space="1" w:color="000000"/>
        </w:rPr>
      </w:pPr>
      <w:bookmarkStart w:id="8" w:name="toc770053_6"/>
      <w:bookmarkEnd w:id="8"/>
      <w:r>
        <w:rPr>
          <w:rFonts w:ascii="Times New Roman" w:hAnsi="Times New Roman"/>
          <w:b/>
          <w:sz w:val="20"/>
          <w:bdr w:val="single" w:sz="8" w:space="1" w:color="000000"/>
        </w:rPr>
        <w:t xml:space="preserve">Recommendation of the AVROBIO Board </w:t>
      </w:r>
      <w:r>
        <w:rPr>
          <w:rFonts w:ascii="Times New Roman" w:hAnsi="Times New Roman"/>
          <w:sz w:val="20"/>
          <w:bdr w:val="single" w:sz="8" w:space="1" w:color="000000"/>
        </w:rPr>
        <w:t xml:space="preserve">(see page 174)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issuance of shares of AVROBIO common stock pursuant to the Merger Agreement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Nasdaq Stock Issuance Proposal as described on page 307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fair to, in the best interests of, and advisable to, AVROBIO and its stockholders to approve the amendment to AVROBIOs charter to effect the reverse stock split, as described on page 309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Reverse Stock Split Proposal as described on page 309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advisable to, and in the best interests of, AVROBIO and its stockholders to approve the amendment to AVROBIOs charter to provide for the exculpation of officers, as described on page 316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Officer Exculpation Proposal as described on page 316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Plan, as described on page 318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Incentive Plan Proposal as described on page 318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ESPP, as described on page 328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ESPP Proposal as described on page 328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compensation that will or may become payable to the named executive officers of AVROBIO in connection with the merger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Executive Compensation Arrangements Proposal as described on page 332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adjourning the special meeting, if necessary, to solicit additional proxies if there are not sufficient votes in favor of the Nasdaq Stock Issuance Proposal and/or the Reverse Stock Split Proposal is fair to, in the best interests of, and advisable to, AVROBIO and its stockholders and has approved and adopted the proposal. The AVROBIO Board unanimously recommends that AVROBIO stockholders vote </w:t>
            </w:r>
            <w:r>
              <w:rPr>
                <w:rFonts w:ascii="Times New Roman" w:hAnsi="Times New Roman"/>
                <w:b/>
                <w:sz w:val="20"/>
              </w:rPr>
              <w:t>FOR</w:t>
            </w:r>
            <w:r>
              <w:rPr>
                <w:rFonts w:ascii="Times New Roman" w:hAnsi="Times New Roman"/>
                <w:sz w:val="20"/>
              </w:rPr>
              <w:t xml:space="preserve"> the Adjournment Proposal, if necessary, as described on page 333 of this proxy statement/prospectus. </w:t>
            </w:r>
          </w:p>
        </w:tc>
      </w:tr>
    </w:tbl>
    <w:p>
      <w:pPr>
        <w:pStyle w:val="TextBody"/>
        <w:bidi w:val="0"/>
        <w:spacing w:before="360" w:after="0"/>
        <w:jc w:val="left"/>
        <w:rPr>
          <w:rFonts w:ascii="Times New Roman" w:hAnsi="Times New Roman"/>
          <w:b/>
          <w:sz w:val="20"/>
          <w:bdr w:val="single" w:sz="8" w:space="1" w:color="000000"/>
        </w:rPr>
      </w:pPr>
      <w:bookmarkStart w:id="9" w:name="toc770053_7"/>
      <w:bookmarkEnd w:id="9"/>
      <w:r>
        <w:rPr>
          <w:rFonts w:ascii="Times New Roman" w:hAnsi="Times New Roman"/>
          <w:b/>
          <w:sz w:val="20"/>
          <w:bdr w:val="single" w:sz="8" w:space="1" w:color="000000"/>
        </w:rPr>
        <w:t xml:space="preserve">Interests of AVROBIOs Directors and Executive Officers in the Merger (see page 221)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AVROBIO Board with respect to issuing shares of AVROBIO common stock in the merger and the other matters to be acted upon by the AVROBIO stockholders at the special meeting, the AVROBIO stockholders should be aware that AVROBIOs directors and executive officers have interests in the merger that are different from, or in addition to, the interests of AVROBIO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Phillip Donenberg will continue as a director of the combined company after the effective time, and, following the closing, will be eligible to be compensated as a non-employee director of the combined company pursuant to the non-employee director compensation policy in place following the effective time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the vesting and exercisability of each in-the-money unexpired, unexercised and unvested option to purchase AVROBIO common stock and the vesting and exercisability of 50% of certain additional unexpired, unexercised and unvested option to purchase AVROBIO common stock will be accelerated as of immediately prior to the effective time and each such AVROBIO option that is held by AVROBIOs directors and executive officers as of the effective time who is or will be party to a lock-up agreement will remain outstanding and exercisable until six months after the expiration of the applicable restricted period (as defined in the applicable lock-up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all outstanding AVROBIO RSUs that vest solely on the basis of time will be accelerated in full as of immediately prior to the effective time and for each outstanding and unsettled AVROBIO RSU that vests solely on the basis of time (including any AVROBIO RSUs accelerated in connection with this merger), the AVROBIOs directors and officers will receive a number of shares of AVROBIO common stock equal to the number of vested and unsettled shares underlying such AVROBIO RSUs; certain of AVROBIOs executive officers are parties to either, or a combination of, an employment agreement, separation agreement and/or retention agreement that provide for severance benefits, including accelerated vesting of outstanding equity awards and certain cash payments, in connection with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AVROBIOs directors and executive officers are entitled to continued indemnification, expense advancement and insurance coverage;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employment agreements may result in the receipt by such executive officers of cash severance payments and other benefits with a total value of approximately $2.8 million (collectively, not individually) in connection with this merger and the associated termination of their employment from AVROBIO, which reflects, among other things, (i) conversion of Ms. Ridhas cash severance payments and other benefits from GBP to USD using the exchange rate as of February 1, 2024 (1 GBP = 1.2745 USD), (ii) each executive officers base salary and target bonus as of March 15, 2024, and (iii) the value of COBRA premium reimbursements for health benefit coverage equal to the amount AVROBIO would pay absent a termination of employment for up to 12 months. Such payments and other benefits will be deducted from AVROBIOs net cash at closing in accordance with the terms of the Merger Agreement; however, after taking into account any such deductions, AVROBIO management currently anticipates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net cash as of closing will be approximately $65.0 million to $75.0 million, and the ownership percentages may be adjusted up or down on account of AVROBIOs net cash as of closing only if AVROBIOs net cash as of closing is lower than $64.5 million or greater than $65.5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value of in-the-money AVROBIO options and RSUs that will be subject to accelerated vesting is $1.1 million for executive officers and $0.1 million for directors, assuming $1.33 per share of AVROBIO common stock, which reflects the average closing market price of AVROBIOs common stock over the first five trading days ending three trading days prior to the first public announcement of the transaction;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and directors hold an aggregate of 447,500 shares subject to Specified Options (as defined below).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AVROBIO Board was aware of these potential conflicts of interest and considered them, among other matters, in reaching its decision to approve the Merger Agreement and the merger, and to recommend that the AVROBIO stockholders approve the proposals to be presented to the AVROBIO stockholders for consideration at the special meeting as contemplated by this proxy statement/prospectus. </w:t>
      </w:r>
    </w:p>
    <w:p>
      <w:pPr>
        <w:pStyle w:val="TextBody"/>
        <w:bidi w:val="0"/>
        <w:spacing w:before="360" w:after="0"/>
        <w:jc w:val="left"/>
        <w:rPr>
          <w:rFonts w:ascii="Times New Roman" w:hAnsi="Times New Roman"/>
          <w:b/>
          <w:sz w:val="20"/>
          <w:bdr w:val="single" w:sz="8" w:space="1" w:color="000000"/>
        </w:rPr>
      </w:pPr>
      <w:bookmarkStart w:id="10" w:name="toc770053_8"/>
      <w:bookmarkEnd w:id="10"/>
      <w:r>
        <w:rPr>
          <w:rFonts w:ascii="Times New Roman" w:hAnsi="Times New Roman"/>
          <w:b/>
          <w:sz w:val="20"/>
          <w:bdr w:val="single" w:sz="8" w:space="1" w:color="000000"/>
        </w:rPr>
        <w:t xml:space="preserve">Interests of Tectonics Directors and Executive Officers in the Merger (see page 227)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Tectonic Board with respect to approving the merger, AVROBIO stockholders should be aware that Tectonics directors and executive officers have interests in the merger that are different from, or in addition to, the interests of Tectonic stockholders generally. These interests may present them with actual or potential conflicts of interest, and these interests, to the extent material, are described below: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Tectonics current non-employee directors and executive officers beneficially owned, in the aggregate, approximately 90.5% of the outstanding shares of Tectonic capital stock, which for purposes of this subsection excludes any Tectonic shares issuable upon exercise or settlement of Tectonic stock options held by such individual;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under the Tectonic Equity Incentive Plan and that, following assumption by AVROBIO at the effective time, whether or not vested, will be converted into an option to purchase shares of AVROBIO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Tectonics directors and executive officers are expected to become the directors and executive officers of the combined company upon the closing of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AVROBIOs directors and executive officers are entitled to continued indemnification, expense advancement and insurance coverage.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titled </w:t>
      </w:r>
      <w:r>
        <w:rPr>
          <w:rFonts w:ascii="Times New Roman" w:hAnsi="Times New Roman"/>
          <w:i/>
          <w:sz w:val="20"/>
          <w:bdr w:val="single" w:sz="8" w:space="1" w:color="000000"/>
        </w:rPr>
        <w:t>The MergerInterests of Tectonics Directors and Executive Officers in the Merger</w:t>
      </w:r>
      <w:r>
        <w:rPr>
          <w:rFonts w:ascii="Times New Roman" w:hAnsi="Times New Roman"/>
          <w:sz w:val="20"/>
          <w:bdr w:val="single" w:sz="8" w:space="1" w:color="000000"/>
        </w:rPr>
        <w:t xml:space="preserve"> beginning on page 227 of this proxy statement/prospectus. The Tectonic Board was aware of these potential conflicts of interest and considered them, among other matters, in reaching its decision to approve the Merger Agreement and the merger, and to recommend that the Tectonic stockholders approve the merger. </w:t>
      </w:r>
    </w:p>
    <w:p>
      <w:pPr>
        <w:pStyle w:val="TextBody"/>
        <w:bidi w:val="0"/>
        <w:spacing w:before="360" w:after="0"/>
        <w:jc w:val="left"/>
        <w:rPr>
          <w:rFonts w:ascii="Times New Roman" w:hAnsi="Times New Roman"/>
          <w:b/>
          <w:sz w:val="20"/>
          <w:bdr w:val="single" w:sz="8" w:space="1" w:color="000000"/>
        </w:rPr>
      </w:pPr>
      <w:bookmarkStart w:id="11" w:name="toc770053_9"/>
      <w:bookmarkEnd w:id="11"/>
      <w:r>
        <w:rPr>
          <w:rFonts w:ascii="Times New Roman" w:hAnsi="Times New Roman"/>
          <w:b/>
          <w:sz w:val="20"/>
          <w:bdr w:val="single" w:sz="8" w:space="1" w:color="000000"/>
        </w:rPr>
        <w:t xml:space="preserve">Opinion of Houlihan Lokey to the AVROBIO Board (see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29, 2024, Houlihan Lokey Capital, Inc. (Houlihan Lokey) orally rendered its opinion to the AVROBIO Board (which was subsequently confirmed in writing by delivery of Houlihan Lokeys written opinion addressed to the AVROBIO Board dated January 29, 2024 (the Opinion), to the effect that, as of January 29, 2024, based upon and subject to the assumptions, qualifications, limitations and other matters considered as set forth in the Opinion, the Exchange Ratio provided for in the Merger pursuant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Agreement, after giving effect to the Related Transactions, was fair, from a financial point of view, to AVROBIO. Related Transactions refers to any sale, license or other monetization of AVROBIOs legacy business prior to the Merger, the private financings including the Company SAFEs, the distribution of the CVRs and the reverse stock split, collectively, and the Transaction refers to the Merger, together with the Related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Houlihan Lokeys opinion was directed to the AVROBIO Board and only addressed the fairness, from a financial point of view, to AVROBIO of the Exchange Ratio provided for in the Merger pursuant</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to the Merger Agreement after giving effect to the Related Transactions and did not address, among other things,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The summary of Houlihan Lokeys opinion in this proxy statement/prospectus is qualified in its entirety by reference to the full text of its written opinion, which is attached as </w:t>
      </w:r>
      <w:r>
        <w:rPr>
          <w:rFonts w:ascii="Times New Roman" w:hAnsi="Times New Roman"/>
          <w:b/>
          <w:sz w:val="20"/>
          <w:u w:val="single"/>
          <w:bdr w:val="single" w:sz="8" w:space="1" w:color="000000"/>
        </w:rPr>
        <w:t>Annex B</w:t>
      </w:r>
      <w:r>
        <w:rPr>
          <w:rFonts w:ascii="Times New Roman" w:hAnsi="Times New Roman"/>
          <w:b/>
          <w:sz w:val="20"/>
          <w:bdr w:val="single" w:sz="8" w:space="1" w:color="000000"/>
        </w:rPr>
        <w:t xml:space="preserve"> to this proxy statement/prospectus and describes the procedures followed, assumptions made, qualifications and limitations on the review undertaken and other matters considered by Houlihan Lokey in connection with the preparation of the Opinion. However, neither the Opinion nor the summary of the Opinion and the related analyses set forth in this proxy statement/prospectus are intended to be, and do not constitute, a recommendation to the AVROBIO Board, any security holder of AVROBIO or any other party as to how to act or vote with respect to any matter relating to the Transaction.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The Merger Agreement (see page 239)</w:t>
      </w:r>
    </w:p>
    <w:p>
      <w:pPr>
        <w:pStyle w:val="TextBody"/>
        <w:bidi w:val="0"/>
        <w:spacing w:before="12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Merger Consideration </w:t>
      </w:r>
      <w:r>
        <w:rPr>
          <w:rFonts w:ascii="Times New Roman" w:hAnsi="Times New Roman"/>
          <w:sz w:val="20"/>
          <w:bdr w:val="single" w:sz="8" w:space="1" w:color="000000"/>
        </w:rPr>
        <w:t xml:space="preserve">(see page 239)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product of the exchange ratio multiplied by each share of Tectonic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Exchange Ratio </w:t>
      </w:r>
      <w:r>
        <w:rPr>
          <w:rFonts w:ascii="Times New Roman" w:hAnsi="Times New Roman"/>
          <w:sz w:val="20"/>
          <w:bdr w:val="single" w:sz="8" w:space="1" w:color="000000"/>
        </w:rPr>
        <w:t xml:space="preserve">(see page 240)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ratio is calculated using a formula intended to allocate existing AVROBIO and Tectonic securityholders a percentage of the combined company. Based on AVROBIOs and Tectonics capitalization as of January 30, 2024, the date the Merger Agreement was executed, and certain other assumptions the exchange ratio is estimated to be equal to approximately 0.74458326 shares of AVROBIO common stock. This estimate is subject to adjustment prior to the closing for net cash at the cash determination time (and as a result, AVROBIO securityholders could own more, and Tectonic securityholders could own less, or vice versa, of the combined company). AVROBIO management currently anticipates that AVROBIOs net cash as of closing will be approximately $65.0 million to $75.0 million and therefore the exchange ratio is currently estimated to be approximately 0.74458326 (assuming (i) $65.0 million in AVROBIOs net cash as of closing, (ii) a one-for-ten reverse stock split, and (iii) the private financings in Tectonic being in the amount of $130.7 million).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Treatment of Tectonic Options and the Tectonic Equity Incentive Plan</w:t>
      </w:r>
      <w:r>
        <w:rPr>
          <w:rFonts w:ascii="Times New Roman" w:hAnsi="Times New Roman"/>
          <w:sz w:val="20"/>
          <w:bdr w:val="single" w:sz="8" w:space="1" w:color="000000"/>
        </w:rPr>
        <w:t xml:space="preserve"> (see page 243)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option to purchase shares of Tectonic common stock that is outstanding and unexercised immediately prior to the effective time, whether or not vested, will be assumed and converted into an option to purchase shares of AVROBIO common stock. Accordingly, from and after the effective time: (i) each outstanding Tectonic stock option assumed by AVROBIO may be exercised solely for shares of AVROBIO common stock; (ii) the number of shares of AVROBIO common stock subject to each outstanding Tectonic stock option assumed by AVROBIO will be determined by multiplying (A) the number of shares of Tectonic common stock that were subject to such Tectonic stock option assumed by AVROBIO, as in effect immediately prior to the effective time, by (B) the exchange ratio, and rounding the resulting number down to the nearest whole number of shares of AVROBIO common stock; and (iii) the per share exercise price of each Tectonic stock option assumed by AVROBIO will be determined by dividing (A) the per share exercise price of such Tectonic stock option, as in effect immediately prior to the effective time, by (B) the exchange ratio and rounding the resulting exercise price up to the nearest whole cent. Each Tectonic stock option assumed by AVROBIO will otherwise continue in full force and effect and the term, exercisability, vesting schedule, acceleration rights and other terms and conditions of such Tectonic stock option will otherwise remain unchanged.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will assume the Tectonic Equity Incentive Plan. Each Tectonic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AVROBIO common stock subsequent to the effective time. In addition, the compensation committee of the AVROBIO Board (the AVROBIO Compensation Committee) will succeed to the authority and responsibility of the Tectonic Board as administrator of the Tectonic Equity Incentive Plan.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Treatment of AVROBIO Common Stock, AVROBIO Options and AVROBIO RSUs </w:t>
      </w:r>
      <w:r>
        <w:rPr>
          <w:rFonts w:ascii="Times New Roman" w:hAnsi="Times New Roman"/>
          <w:sz w:val="20"/>
          <w:bdr w:val="single" w:sz="8" w:space="1" w:color="000000"/>
        </w:rPr>
        <w:t xml:space="preserve">(see page 244)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AVROBIO common stock issued and outstanding at the time of the merger will remain issued and outstanding, and, subject to the proposed reverse stock split and any extension to the expiration time provided for in connection with the merger, will be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each AVROBIO in-the-money option that is outstanding immediately prior to the effective time that is held by a current AVROBIO employee, director, or consultant of AVROBIO as of the date of the Merger Agreement will be accelerated in full effective as of the effective time and each AVROBIO in-the-money option that is unexpired, unexercised and outstanding as of immediately prior to the effective time and is held by a current AVROBIO employee, director or consultant as of the date of the execution of the Merger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who is a signatory to the lock-up agreement, will survive the closing and remain outstanding and exercisable until six months after the expiration of the Restricted Period (as defined in the signatorys respective lock-up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the Merger Agreement provides that the vesting and exercisability of 50% of certain unexpired and unexercised AVROBIO options that remain outstanding as of immediately prior to the effective time that (i) are held by a current AVROBIO employee, director or consultant as of the date of the Merger Agreement will be accelerated in full effective as of immediately prior to the effective time and (ii) each such AVROBIO option that is unexpired, unexercised, and outstanding as of immediately prior to the effective time and is held by a current AVROBIO employee director or consultant as of the date of the Merger Agreement who is or will be party to a lock-up agreement will remain outstanding and exercisable until six months after the expiration of the applicable restricted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Conditions to the Completion of the Merger </w:t>
      </w:r>
      <w:r>
        <w:rPr>
          <w:rFonts w:ascii="Times New Roman" w:hAnsi="Times New Roman"/>
          <w:sz w:val="20"/>
          <w:bdr w:val="single" w:sz="8" w:space="1" w:color="000000"/>
        </w:rPr>
        <w:t xml:space="preserve">(see page 256)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AVROBIO stockholders must approve Proposal Nos. 1 and 2 and Tectonic stockholders must adopt the Merger Agreement and approve the merger and the related transactions contemplated by the Merger Agreement. Additionally, each partys obligation to complete the Merger is subject to the satisfaction or, to the extent permitted by applicable law, the written waiver by each of the parties, at or prior to the closing, of various closing conditions set forth in the Merger Agreement.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Non-Solicitation </w:t>
      </w:r>
      <w:r>
        <w:rPr>
          <w:rFonts w:ascii="Times New Roman" w:hAnsi="Times New Roman"/>
          <w:sz w:val="20"/>
          <w:bdr w:val="single" w:sz="8" w:space="1" w:color="000000"/>
        </w:rPr>
        <w:t xml:space="preserve">(see page 250)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AVROBIO and Tectonic from inquiring about or seeking a competing transaction in lieu of the proposed transactions. Each of AVROBIO and Tectonic have agreed that AVROBIO and Tectonic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encourage, induce or facilitate the communication, making or submission of any Acquisition Proposal (as defined in the section titled </w:t>
            </w:r>
            <w:r>
              <w:rPr>
                <w:rFonts w:ascii="Times New Roman" w:hAnsi="Times New Roman"/>
                <w:i/>
                <w:sz w:val="20"/>
              </w:rPr>
              <w:t>The Merger AgreementNon-Solicitation</w:t>
            </w:r>
            <w:r>
              <w:rPr>
                <w:rFonts w:ascii="Times New Roman" w:hAnsi="Times New Roman"/>
                <w:sz w:val="20"/>
              </w:rPr>
              <w:t> beginning on page 250 of this proxy statement/prospectus) or Acquisition Inquiry (as defined in the section titled </w:t>
            </w:r>
            <w:r>
              <w:rPr>
                <w:rFonts w:ascii="Times New Roman" w:hAnsi="Times New Roman"/>
                <w:i/>
                <w:sz w:val="20"/>
              </w:rPr>
              <w:t>The Merger AgreementNon-Solicitation</w:t>
            </w:r>
            <w:r>
              <w:rPr>
                <w:rFonts w:ascii="Times New Roman" w:hAnsi="Times New Roman"/>
                <w:sz w:val="20"/>
              </w:rPr>
              <w:t xml:space="preserve"> beginning on page 250 of this proxy statement/prospectus) or take any action that could reasonably be expected to lead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(other than to inform any person of the existence of the provisions of the Merger Agreement)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 Acquisition Proposal (subject to certain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(subject to certain exceptions);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resolve or agree to do any of the foregoing (subject to certain exceptions).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Board Recommendation Change </w:t>
      </w:r>
      <w:r>
        <w:rPr>
          <w:rFonts w:ascii="Times New Roman" w:hAnsi="Times New Roman"/>
          <w:sz w:val="20"/>
          <w:bdr w:val="single" w:sz="8" w:space="1" w:color="000000"/>
        </w:rPr>
        <w:t xml:space="preserve">(see page 252)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Under the Merger Agreement, AVROBIO agreed to make the AVROBIO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beginning on page 252 of this proxy statement/prospectus) and that the AVROBIO Board will also make the Second AVROBIO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xml:space="preserve"> beginning on page 252 of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Tectonic Board may not change the Tectonic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xml:space="preserve"> beginning on page 252 of this proxy statement/prospectus) and the AVROBIO Board may not change the AVROBIO Board recommendation, except that, prior to receipt by such party of its stockholder approval, such partys board of directors may effect a change in recommendation with respect to a Superior Offer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(or committee thereof) shall have determined in good faith, after consultation with its outside legal counsel, that the failure to effect such change in recommendation would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and has caused its financial advisors and outside legal counsel to, during the required four business day notice period, negotiated with the other party in good faith to make such adjustments to the terms and conditions of the Merger Agreement so that the Acquisition Proposal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In the event of any material amendment to any superior offer, such party would be required to provide the other party with notice of such material amendment and there would be a new four-business day period following such notification during which the parties would be obligated to comply again with the requirements described above.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anything to the contrary in the Merger Agreement, at any time prior to the AVROBIO stockholders adopting the Merger Agreement, the AVROBIO board may withhold, amend, withdraw or modify the Second AVROBIO Board recommendation in its exercise of its fiduciary duties.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of the Merger Agreement </w:t>
      </w:r>
      <w:r>
        <w:rPr>
          <w:rFonts w:ascii="Times New Roman" w:hAnsi="Times New Roman"/>
          <w:sz w:val="20"/>
          <w:bdr w:val="single" w:sz="8" w:space="1" w:color="000000"/>
        </w:rPr>
        <w:t xml:space="preserve">(see page 259)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AVROBIO or Tectonic may terminate the Merger Agreement under certain circumstances, which would prevent the merger from being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Fee </w:t>
      </w:r>
      <w:r>
        <w:rPr>
          <w:rFonts w:ascii="Times New Roman" w:hAnsi="Times New Roman"/>
          <w:sz w:val="20"/>
          <w:bdr w:val="single" w:sz="8" w:space="1" w:color="000000"/>
        </w:rPr>
        <w:t xml:space="preserve">(see page 259)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AVROBIO could be required to pay Tectonic a termination fee of $2,712,500. If the Merger Agreement is terminated under certain circumstances, Tectonic could be required to pay AVROBIO a termination fee of $4,900,000. In addition, if the Merger Agreement is terminated by AVROBIO or Tectonic due to AVROBIO stockholders voting on and failing to approve Proposal Nos. 1 and 2 at the special meeting (or any adjournment thereof), AVROBIO will be required to reimburse Tectonic for merger-related expenses up to $650,000. The expense reimbursement, to the extent paid, will be credited against any termination fee payable by AVROBIO in the transaction.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Support Agreements </w:t>
      </w:r>
      <w:r>
        <w:rPr>
          <w:rFonts w:ascii="Times New Roman" w:hAnsi="Times New Roman"/>
          <w:sz w:val="20"/>
          <w:bdr w:val="single" w:sz="8" w:space="1" w:color="000000"/>
        </w:rPr>
        <w:t xml:space="preserve">(see page 263)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Tectonic stockholders are parties to support agreements with Tectonic pursuant to which, among other things, each such stockholder, solely in his, her or its capacity as a Tectonic stockholder, has agreed to vote 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These Tectonic stockholders also agreed to vote against any competing Acquisition Proposal with respect to Tectonic.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January 30, 2024, the Tectonic stockholders that are party to a support agreement with Tectonic held shares of Tectonic capital stock representing approximately 88.0% of the voting power of Tectonic. These stockholders include executive officers and directors of Tectonic, as well as certain other stockholders owning a significant portion of the outstanding shares of Tectonic capital stock.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contemplated by the Merger Agreement will execute a written consent providing for such adoption and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AVROBIO stockholders are parties to support agreements with AVROBIO pursuant to which, among other things, each such stockholder, solely in his, her or its capacity as an AVROBIO stockholder, has agreed to vote all of such stockholders shares of AVROBIO capital stock in favor of (i) the adoption of the Merger Agreement and (ii) the approval of the merger and related transactions contemplated by the Merger Agreement. These AVROBIO stockholders also agreed to vote against any competing Acquisition Proposal with respect to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January 30, 2024, the AVROBIO stockholders that are party to a support agreement with AVROBIO owned approximately 10.8% of the outstanding shares of AVROBIO capital stock. These stockholders include executive officers and directors of AVROBIO, as well as certain other stockholders owning a significant portion of the outstanding shares of AVROBIO capital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Lock-Up Agreements </w:t>
      </w:r>
      <w:r>
        <w:rPr>
          <w:rFonts w:ascii="Times New Roman" w:hAnsi="Times New Roman"/>
          <w:sz w:val="20"/>
          <w:bdr w:val="single" w:sz="8" w:space="1" w:color="000000"/>
        </w:rPr>
        <w:t xml:space="preserve">(see page 264)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Tectonics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warrant to purchase, or otherwise transfer or dispose of, directly or indirectly, any shares of AVROBIO common stock or any securities convertible into or exercisable or exchangeable for AVROBIO common stock, currently or thereafter owned, including, as applicable, shares purchased by such persons in the private financings, until 180 days after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AVROBIOs directors have entered into lock-up agreements, pursuant to which such stockholders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 common stock or any securities convertible into or exercisable or exchangeable for AVROBIO common stock, currently or thereafter owned, until 180 days after the effective time.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Subscription Agreement </w:t>
      </w:r>
      <w:r>
        <w:rPr>
          <w:rFonts w:ascii="Times New Roman" w:hAnsi="Times New Roman"/>
          <w:sz w:val="20"/>
          <w:bdr w:val="single" w:sz="8" w:space="1" w:color="000000"/>
        </w:rPr>
        <w:t xml:space="preserve">(see page 264)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execution and delivery of the Merger Agreement, purchasers, including certain existing investors of Tectonic and/or AVROBIO, entered into a Subscription Agreement with Tectonic, pursuant to which such investors have agreed to purchase Tectonic common stock representing an aggregate commitment of $96.6 million in the private financings for an aggregate purchase price among the transactions contemplated by the Subscription Agreement and the Company SAFEs of approximately $130.7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Subscription Agreement contains customary representations and warranties of AVROBIO and also contain customary representations and warranties of the purchasers party thereto. The private financings are expected to be consummated immediately prior to the closing of the merger. The closings of the private financings are conditioned upon the satisfaction or waiver of all conditions to the closing of the merger, with the merger anticipated to be consummated substantially simultaneously with the closings of the private financings, as set forth in the Merger Agreement, as well as certain other conditions. As such, at the time that AVROBIO stockholders are expected to vote at the special meeting, whether the private financings will close in a timely manner or at all will not be known.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condition, there can be no assurance that AVROBIO and Tectonic will ultimately determine, in their sole discretion, not to waive this or any other condition to the merger. The shares of Tectonic common stock that are issued in the private financings will be converted into shares of AVROBIO common stock in the merger. Accordingly, by approving Proposal No. 1 relating to the merger, AVROBIO stockholders will also be approving the issuance of shares of AVROBIO common stock to be issued in exchange for all shares of Tectonic common stock that are sold in the private financings.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CVR Agreement </w:t>
      </w:r>
      <w:r>
        <w:rPr>
          <w:rFonts w:ascii="Times New Roman" w:hAnsi="Times New Roman"/>
          <w:sz w:val="20"/>
          <w:bdr w:val="single" w:sz="8" w:space="1" w:color="000000"/>
        </w:rPr>
        <w:t xml:space="preserve">(see page 266)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or prior to the effective time, AVROBIO and its designated rights agent will enter into the CVR Agreement. As provided in the Merger Agreement, AVROBIO intends to declare a dividend to each person who as of immediately prior to the effective time was a stockholder of record of AVROBIO (including holders of shares of AVROBIO common stock issued upon settlement of the AVROBIO RSUs) or had the right to receive AVROBIO common stock the right to receive one non-transferable CVR for each outstanding share of AVROBIO common stock held by such person as of such date, each representing the non-transferable contractual right to receive certain contingent payments from AVROBIO upon the occurrence of certain events within agreed time periods (the CVR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CVR Agreement, each CVR holder is entitled to certain rights to receive a pro rata portion of 80% of the net proceeds (as defined in the CVR Agreement), if any, received by AVROBIO as a result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disposition (including a license of AVROBIOs pre-closing assets) after the effective date and prior to the 18-month anniversary of the closing, received within a 10-year period following the closing; provided that no contingent payment will be payable to any holder of the CVRs until such time as the then-outstanding and undistributed proceeds exceeds $350,000 in the aggregate. Such proceeds are subject to certain permitted deductions, including for applicable tax payments, certain expenses incurred by AVROBIO or its subsidiaries, losses incurred or reasonably expected to be incurred by AVROBIO or its affiliates due to a third party proceeding in connection with a disposition and certain wind-down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CVRs may not be transferred, pledged, hypothecated, encumbered, assigned or otherwise disposed of (whether by sale, merger, consolidation, liquidation, dissolution, dividend, distribution or otherwise), in whole or in part, subject to certain limited exceptions.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CVRs will not be evidenced by a certificate or any other instrument. The CVRs will not have any voting or dividend rights, and interest will not accrue on any amounts payable in respect of the CVRs. The CVRs will not represent any equity or ownership interest in AVROBIO, any constituent company to the merger, or any of its respective affiliates. </w:t>
      </w:r>
    </w:p>
    <w:p>
      <w:pPr>
        <w:pStyle w:val="TextBody"/>
        <w:bidi w:val="0"/>
        <w:spacing w:before="360" w:after="0"/>
        <w:jc w:val="left"/>
        <w:rPr>
          <w:rFonts w:ascii="Times New Roman" w:hAnsi="Times New Roman"/>
          <w:b/>
          <w:sz w:val="20"/>
          <w:bdr w:val="single" w:sz="8" w:space="1" w:color="000000"/>
        </w:rPr>
      </w:pPr>
      <w:bookmarkStart w:id="12" w:name="toc770053_10"/>
      <w:bookmarkEnd w:id="12"/>
      <w:r>
        <w:rPr>
          <w:rFonts w:ascii="Times New Roman" w:hAnsi="Times New Roman"/>
          <w:b/>
          <w:sz w:val="20"/>
          <w:bdr w:val="single" w:sz="8" w:space="1" w:color="000000"/>
        </w:rPr>
        <w:t>Management Following the Merger (see page 427)</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as of the closing, the combined companys executive officers are expected to be members of the Tectonic executive management team prior to the merger, including: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4125"/>
        <w:gridCol w:w="262"/>
        <w:gridCol w:w="5001"/>
      </w:tblGrid>
      <w:tr>
        <w:trPr/>
        <w:tc>
          <w:tcPr>
            <w:tcW w:w="412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412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62" w:type="dxa"/>
            <w:tcBorders/>
            <w:vAlign w:val="bottom"/>
          </w:tcPr>
          <w:p>
            <w:pPr>
              <w:pStyle w:val="TableContents"/>
              <w:bidi w:val="0"/>
              <w:spacing w:before="0" w:after="283"/>
              <w:jc w:val="left"/>
              <w:rPr/>
            </w:pPr>
            <w:r>
              <w:rPr/>
              <w:t>  </w:t>
            </w:r>
          </w:p>
        </w:tc>
        <w:tc>
          <w:tcPr>
            <w:tcW w:w="500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4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262" w:type="dxa"/>
            <w:tcBorders/>
            <w:shd w:fill="CCEEFF" w:val="clear"/>
            <w:vAlign w:val="bottom"/>
          </w:tcPr>
          <w:p>
            <w:pPr>
              <w:pStyle w:val="TableContents"/>
              <w:bidi w:val="0"/>
              <w:spacing w:before="0" w:after="283"/>
              <w:jc w:val="left"/>
              <w:rPr/>
            </w:pPr>
            <w:r>
              <w:rPr/>
              <w:t>  </w:t>
            </w:r>
          </w:p>
        </w:tc>
        <w:tc>
          <w:tcPr>
            <w:tcW w:w="5001" w:type="dxa"/>
            <w:tcBorders/>
            <w:shd w:fill="CCEEFF" w:val="clear"/>
            <w:vAlign w:val="bottom"/>
          </w:tcPr>
          <w:p>
            <w:pPr>
              <w:pStyle w:val="TableContents"/>
              <w:bidi w:val="0"/>
              <w:spacing w:before="0" w:after="283"/>
              <w:jc w:val="left"/>
              <w:rPr/>
            </w:pPr>
            <w:r>
              <w:rPr/>
              <w:t>Chief Executive Officer</w:t>
            </w:r>
          </w:p>
        </w:tc>
      </w:tr>
      <w:tr>
        <w:trPr/>
        <w:tc>
          <w:tcPr>
            <w:tcW w:w="4125" w:type="dxa"/>
            <w:tcBorders/>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26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left"/>
              <w:rPr/>
            </w:pPr>
            <w:r>
              <w:rPr/>
              <w:t>Chief Operating Officer and Chief Financial Officer</w:t>
            </w:r>
          </w:p>
        </w:tc>
      </w:tr>
      <w:tr>
        <w:trPr/>
        <w:tc>
          <w:tcPr>
            <w:tcW w:w="4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262" w:type="dxa"/>
            <w:tcBorders/>
            <w:shd w:fill="CCEEFF" w:val="clear"/>
            <w:vAlign w:val="bottom"/>
          </w:tcPr>
          <w:p>
            <w:pPr>
              <w:pStyle w:val="TableContents"/>
              <w:bidi w:val="0"/>
              <w:spacing w:before="0" w:after="283"/>
              <w:jc w:val="left"/>
              <w:rPr/>
            </w:pPr>
            <w:r>
              <w:rPr/>
              <w:t>  </w:t>
            </w:r>
          </w:p>
        </w:tc>
        <w:tc>
          <w:tcPr>
            <w:tcW w:w="5001" w:type="dxa"/>
            <w:tcBorders/>
            <w:shd w:fill="CCEEFF" w:val="clear"/>
            <w:vAlign w:val="bottom"/>
          </w:tcPr>
          <w:p>
            <w:pPr>
              <w:pStyle w:val="TableContents"/>
              <w:bidi w:val="0"/>
              <w:spacing w:before="0" w:after="283"/>
              <w:jc w:val="left"/>
              <w:rPr/>
            </w:pPr>
            <w:r>
              <w:rPr/>
              <w:t>Chief Scientific Officer</w:t>
            </w:r>
          </w:p>
        </w:tc>
      </w:tr>
      <w:tr>
        <w:trPr/>
        <w:tc>
          <w:tcPr>
            <w:tcW w:w="4125" w:type="dxa"/>
            <w:tcBorders/>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26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left"/>
              <w:rPr/>
            </w:pPr>
            <w:r>
              <w:rPr/>
              <w:t>Chief Medical Officer</w:t>
            </w:r>
          </w:p>
        </w:tc>
      </w:tr>
      <w:tr>
        <w:trPr/>
        <w:tc>
          <w:tcPr>
            <w:tcW w:w="4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262" w:type="dxa"/>
            <w:tcBorders/>
            <w:shd w:fill="CCEEFF" w:val="clear"/>
            <w:vAlign w:val="bottom"/>
          </w:tcPr>
          <w:p>
            <w:pPr>
              <w:pStyle w:val="TableContents"/>
              <w:bidi w:val="0"/>
              <w:spacing w:before="0" w:after="283"/>
              <w:jc w:val="left"/>
              <w:rPr/>
            </w:pPr>
            <w:r>
              <w:rPr/>
              <w:t>  </w:t>
            </w:r>
          </w:p>
        </w:tc>
        <w:tc>
          <w:tcPr>
            <w:tcW w:w="5001" w:type="dxa"/>
            <w:tcBorders/>
            <w:shd w:fill="CCEEFF" w:val="clear"/>
            <w:vAlign w:val="bottom"/>
          </w:tcPr>
          <w:p>
            <w:pPr>
              <w:pStyle w:val="TableContents"/>
              <w:bidi w:val="0"/>
              <w:spacing w:before="0" w:after="283"/>
              <w:jc w:val="left"/>
              <w:rPr/>
            </w:pPr>
            <w:r>
              <w:rPr/>
              <w:t>Chief Business Officer</w:t>
            </w:r>
          </w:p>
        </w:tc>
      </w:tr>
    </w:tbl>
    <w:p>
      <w:pPr>
        <w:pStyle w:val="TextBody"/>
        <w:bidi w:val="0"/>
        <w:spacing w:before="360" w:after="0"/>
        <w:jc w:val="left"/>
        <w:rPr>
          <w:rFonts w:ascii="Times New Roman" w:hAnsi="Times New Roman"/>
          <w:b/>
          <w:sz w:val="20"/>
          <w:bdr w:val="single" w:sz="8" w:space="1" w:color="000000"/>
        </w:rPr>
      </w:pPr>
      <w:bookmarkStart w:id="13" w:name="toc770053_11"/>
      <w:bookmarkEnd w:id="13"/>
      <w:r>
        <w:rPr>
          <w:rFonts w:ascii="Times New Roman" w:hAnsi="Times New Roman"/>
          <w:b/>
          <w:sz w:val="20"/>
          <w:bdr w:val="single" w:sz="8" w:space="1" w:color="000000"/>
        </w:rPr>
        <w:t xml:space="preserve">Material U.S. Federal Income Tax Consequences of the Merger (see page 231)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a discussion summarizing U.S. federal income tax considerations of the merger, please see the section titled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beginning on page  231 of this proxy statement/prospectus. </w:t>
      </w:r>
    </w:p>
    <w:p>
      <w:pPr>
        <w:pStyle w:val="TextBody"/>
        <w:bidi w:val="0"/>
        <w:spacing w:before="360" w:after="0"/>
        <w:jc w:val="left"/>
        <w:rPr>
          <w:rFonts w:ascii="Times New Roman" w:hAnsi="Times New Roman"/>
          <w:b/>
          <w:sz w:val="20"/>
          <w:bdr w:val="single" w:sz="8" w:space="1" w:color="000000"/>
        </w:rPr>
      </w:pPr>
      <w:bookmarkStart w:id="14" w:name="toc770053_12"/>
      <w:bookmarkEnd w:id="14"/>
      <w:r>
        <w:rPr>
          <w:rFonts w:ascii="Times New Roman" w:hAnsi="Times New Roman"/>
          <w:b/>
          <w:sz w:val="20"/>
          <w:bdr w:val="single" w:sz="8" w:space="1" w:color="000000"/>
        </w:rPr>
        <w:t xml:space="preserve">Risk Factors (see page 36)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AVROBIO and Tectonic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Merger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 may result in either AVROBIO or Tectonic paying a termination fee to the other party and could harm the AVROBIO common stock price and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satisfied or waived, the merger may not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AVROBIO and Tectonic directors and executive officers have interests in the merger that are different from yours and that may influence them to support or approve the merger without regard to your interests;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and Tectonic stockholders may not realize a benefit from the merger commensurate with the ownership dilution they will experience in connection with the merger, including the issuance of Tectonic common stock in the private financings;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the AVROBIO stock price may decline significantly.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Proposed Reverse Stock Split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short- or long-term, which may further impact the combined companys ability to obtain or maintain listing on Nasdaq.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AVROBIO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proposed merger with Tectonic could materially and adversely affect AVROBIOs results of operations, business, financial results and/or stock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potentially may not receive any payment on the CVRs and the CVRs may otherwise expire valueless;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AVROBIO does not successfully consummate the merger or another strategic transaction, the AVROBIO Board may decide to pursue a dissolution and liquidation of AVROBIO. In such an event, the amount of cash available for distribution to AVROBIO stockholders will depend heavily on the timing of such liquidation as well as the amount of cash that will need to be reserved for commitments and contingent liabilities, as to which AVROBIO can give you no assurance;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limited operating history may make it difficult to evaluate the success of AVROBIOs business to date and to assess AVROBIOs future viability;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failure to meet Nasdaqs continued listing requirements could result in a delisting of AVROBIO common stock.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Tectonic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has a limited operating history, has incurred net losses in every year since its inception, and expects to continue to incur net losses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recurring losses from operations and financial conditions raise substantial doubt about its ability to continue as a going concern;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is heavily dependent on the success of its product candidates, only one of which is in early clinical development. If Tectonic is unable to advance its current or future product candidates through clinical trials, obtain marketing approval and ultimately commercialize any product candidates it develops, or experience significant delays in doing so, Tectonics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Tectonics product candidates are in preclinical or early clinical development. Clinical trials are difficult to design and implement, and they involve a lengthy and expensive process with uncertain outcomes. Tectonic may experience delays in completing, or ultimately be unable to complete, the development and commercialization of TX45 or any future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clinical trials may fail to demonstrate substantial evidence of the safety, efficacy, purity and potency of its product candidates or any future product candidates, which would prevent or delay or limit the scope of regulatory approval and commercialization;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Tectonic is unable to successfully commercialize any product candidate for which Tectonic receives regulatory approval, or experience significant delays in doing so, its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success depends in part on its ability to protect its intellectual property. It is difficult and costly to protect its proprietary rights and technology, and Tectonic may not be able to ensure their protection;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depends on intellectual property licensed from third parties and termination of any of these licenses could result in the loss of significant rights, which would harm its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currently relies and expects to rely in the future on the use of manufacturing suites in third-party facilities or on third parties to manufacture TX45 and any other product candidates, and Tectonic may rely on third parties to produce and process its products, if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business could be adversely affected if it is unable to use third-party manufacturing suites or if the third-party manufacturers encounter difficulties in production;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faces significant competition from other biotechnology and pharmaceutical companies, and its operating results will suffer if Tectonic fails to compete effectively.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Combined Company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incur losses for the foreseeable future and might never achieve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attract and retain management and other key personnel, it may be unable to continue to successfully develop or commercialize its product candidates or otherwise implement its business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failure by the combined company to comply with the initial listing standards or continued listing standards of Nasdaq will prevent its stock from being listed on Nasdaq or may result in delisting from Nasdaq;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certificate of incorporation and bylaws and provisions under Delaware law could make an acquisition of the combined company more difficult and may prevent attempts by its stockholders to replace or remove its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These risks and other risks are discussed in greater detail under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36 of this proxy statement/prospectus. AVROBIO and Tectonic both encourage you to read and consider all of these risks carefully.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Litigation Related to the Merger (see page 46)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merger, one complaint has been filed against AVROBIO and the AVROBIO Board, and four additional demands have been made seeking additional disclosures in the registration statement by purported AVROBIO stockholders. AVROBIO believes that the allegations and claims asserted are without merit and intends to defend against them vigorously. In the event that AVROBIO subsequently receives additional complaints or demand letters related to the merger, AVROBIO will not provide additional disclosures unless those new complaints or letters contain material differences from those received to date. For a more detailed description of litigation related to the merger, see the section titled </w:t>
      </w:r>
      <w:r>
        <w:rPr>
          <w:rFonts w:ascii="Times New Roman" w:hAnsi="Times New Roman"/>
          <w:i/>
          <w:sz w:val="20"/>
          <w:bdr w:val="single" w:sz="8" w:space="1" w:color="000000"/>
        </w:rPr>
        <w:t>Risk FactorsRisks Related to the MergerLawsuits may be filed against AVROBIO</w:t>
      </w:r>
      <w:r>
        <w:rPr>
          <w:rFonts w:ascii="Times New Roman" w:hAnsi="Times New Roman"/>
          <w:sz w:val="20"/>
          <w:bdr w:val="single" w:sz="8" w:space="1" w:color="000000"/>
        </w:rPr>
        <w:t xml:space="preserve"> </w:t>
      </w:r>
      <w:r>
        <w:rPr>
          <w:rFonts w:ascii="Times New Roman" w:hAnsi="Times New Roman"/>
          <w:i/>
          <w:sz w:val="20"/>
          <w:bdr w:val="single" w:sz="8" w:space="1" w:color="000000"/>
        </w:rPr>
        <w:t>and the members of the AVROBIO Board arising out of the proposed merger, which may delay or prevent the proposed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5" w:name="toc770053_13"/>
      <w:bookmarkEnd w:id="15"/>
      <w:r>
        <w:rPr>
          <w:rFonts w:ascii="Times New Roman" w:hAnsi="Times New Roman"/>
          <w:b/>
          <w:sz w:val="20"/>
          <w:bdr w:val="single" w:sz="8" w:space="1" w:color="000000"/>
        </w:rPr>
        <w:t>Regulatory Approvals (see page 231)</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AVROBIO and Tectonic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merger and the related transactions contemplated by the Merger Agreement, if any, and to submit promptly any additional information requested by any such governmental authority. </w:t>
      </w:r>
    </w:p>
    <w:p>
      <w:pPr>
        <w:pStyle w:val="TextBody"/>
        <w:bidi w:val="0"/>
        <w:spacing w:before="360" w:after="0"/>
        <w:jc w:val="left"/>
        <w:rPr>
          <w:rFonts w:ascii="Times New Roman" w:hAnsi="Times New Roman"/>
          <w:b/>
          <w:sz w:val="20"/>
          <w:bdr w:val="single" w:sz="8" w:space="1" w:color="000000"/>
        </w:rPr>
      </w:pPr>
      <w:bookmarkStart w:id="16" w:name="toc770053_14"/>
      <w:bookmarkEnd w:id="16"/>
      <w:r>
        <w:rPr>
          <w:rFonts w:ascii="Times New Roman" w:hAnsi="Times New Roman"/>
          <w:b/>
          <w:sz w:val="20"/>
          <w:bdr w:val="single" w:sz="8" w:space="1" w:color="000000"/>
        </w:rPr>
        <w:t>Nasdaq Stock Market Listing (see page 234)</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intends to file an initial listing application for the combined company common stock with Nasdaq. If such application is accepted, AVROBIO anticipates that the common stock of the combined company will be listed on Nasdaq following the closing under the trading symbol TECX. It is a condition of the consummation of the merger that AVROBIO receive confirmation from Nasdaq that the combined company has been approved for listing on Nasdaq, but there can be no assurance such listing condition will be met or that AVROBIO will obtain such confirmation from Nasdaq by the date of the special meeting or at all.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w:t>
      </w:r>
    </w:p>
    <w:p>
      <w:pPr>
        <w:pStyle w:val="TextBody"/>
        <w:bidi w:val="0"/>
        <w:spacing w:before="360" w:after="0"/>
        <w:jc w:val="left"/>
        <w:rPr>
          <w:rFonts w:ascii="Times New Roman" w:hAnsi="Times New Roman"/>
          <w:b/>
          <w:sz w:val="20"/>
          <w:bdr w:val="single" w:sz="8" w:space="1" w:color="000000"/>
        </w:rPr>
      </w:pPr>
      <w:bookmarkStart w:id="17" w:name="toc770053_15"/>
      <w:bookmarkEnd w:id="17"/>
      <w:r>
        <w:rPr>
          <w:rFonts w:ascii="Times New Roman" w:hAnsi="Times New Roman"/>
          <w:b/>
          <w:sz w:val="20"/>
          <w:bdr w:val="single" w:sz="8" w:space="1" w:color="000000"/>
        </w:rPr>
        <w:t>Anticipated Accounting Treatment (see page 235)</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expected to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(i) Tectonics equity holders will own a substantial majority of the voting rights in the combined company; (ii) Tectonics largest stockholder will retain the largest interest in the combined company; (iii) Tectonic will designate a majority of the initial members of the board of directors of the combined company; (iv) Tectonics executive management team will become the management of the combined company; and (v) the combined company will be renamed Tectonic Therapeutic, Inc. and will be headquartered in Massachusetts. As a result of Tectonic being treated as the accounting acquirer, Tectonics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For periods prior to closing, the historical financial statements of Tectonic shall become the historical financial statements of the combined company. See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440 of this proxy statement/prospectus for additional information. </w:t>
      </w:r>
    </w:p>
    <w:p>
      <w:pPr>
        <w:pStyle w:val="TextBody"/>
        <w:bidi w:val="0"/>
        <w:spacing w:before="360" w:after="0"/>
        <w:jc w:val="left"/>
        <w:rPr>
          <w:rFonts w:ascii="Times New Roman" w:hAnsi="Times New Roman"/>
          <w:b/>
          <w:sz w:val="20"/>
          <w:bdr w:val="single" w:sz="8" w:space="1" w:color="000000"/>
        </w:rPr>
      </w:pPr>
      <w:bookmarkStart w:id="18" w:name="toc770053_16"/>
      <w:bookmarkEnd w:id="18"/>
      <w:r>
        <w:rPr>
          <w:rFonts w:ascii="Times New Roman" w:hAnsi="Times New Roman"/>
          <w:b/>
          <w:sz w:val="20"/>
          <w:bdr w:val="single" w:sz="8" w:space="1" w:color="000000"/>
        </w:rPr>
        <w:t>Appraisal Rights and Dissenters Rights (see page 235)</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AVROBIO common stock are not entitled to appraisal rights in connection with the merger under Delaware law. Holders of Tectonic capital stock are entitled to appraisal rights in connection with the merger under Delaware law. </w:t>
      </w:r>
    </w:p>
    <w:p>
      <w:pPr>
        <w:pStyle w:val="TextBody"/>
        <w:bidi w:val="0"/>
        <w:spacing w:before="360" w:after="0"/>
        <w:jc w:val="left"/>
        <w:rPr>
          <w:rFonts w:ascii="Times New Roman" w:hAnsi="Times New Roman"/>
          <w:b/>
          <w:sz w:val="20"/>
          <w:bdr w:val="single" w:sz="8" w:space="1" w:color="000000"/>
        </w:rPr>
      </w:pPr>
      <w:bookmarkStart w:id="19" w:name="toc770053_17"/>
      <w:bookmarkEnd w:id="19"/>
      <w:r>
        <w:rPr>
          <w:rFonts w:ascii="Times New Roman" w:hAnsi="Times New Roman"/>
          <w:b/>
          <w:sz w:val="20"/>
          <w:bdr w:val="single" w:sz="8" w:space="1" w:color="000000"/>
        </w:rPr>
        <w:t>Comparison of Stockholder Rights (see page 457)</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Both AVROBIO and Tectonic are incorporated under the laws of the State of Delaware and, accordingly, the rights of the stockholders of each are currently, and will continue to be, governed by the DGCL. If the merger is completed, Tectonic stockholders will become AVROBIO stockholders, and their rights will be governed by the DGCL, the amended and restated bylaws of AVROBIO (AVROBIOs bylaws) and AVROBIOs charter, as may be further amended by Proposal No. 3 if approved by the AVROBIO stockholders at the special meeting. The rights of AVROBIO stockholders contained in AVROBIOs charter and bylaws differ from the rights of Tectonic stockholders under the amended and restated certificate of incorporation and bylaws of Tectonic, as more fully described under the section titled </w:t>
      </w:r>
      <w:r>
        <w:rPr>
          <w:rFonts w:ascii="Times New Roman" w:hAnsi="Times New Roman"/>
          <w:i/>
          <w:sz w:val="20"/>
          <w:bdr w:val="single" w:sz="8" w:space="1" w:color="000000"/>
        </w:rPr>
        <w:t>Comparison of Rights of Holders of AVROBIO Capital Stock and Tectonic Capital Stock</w:t>
      </w:r>
      <w:r>
        <w:rPr>
          <w:rFonts w:ascii="Times New Roman" w:hAnsi="Times New Roman"/>
          <w:sz w:val="20"/>
          <w:bdr w:val="single" w:sz="8" w:space="1" w:color="000000"/>
        </w:rPr>
        <w:t xml:space="preserve"> beginning on page 457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770053_18"/>
      <w:bookmarkEnd w:id="20"/>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AVROBIO common stock is currently listed on Nasdaq under the symbol AVRO.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AVROBIO common stock on January 29, 2024, the last day of trading prior to the announcement of the merger, as reported on Nasdaq, was $1.37 per share. The closing price of the AVROBIO common stock on May 2, 2024, the last practicable date before the date of this proxy statement/prospectus, as reported on Nasdaq, was $1.23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AVROBIO common stock is subject to fluctuation, the market value of the shares of the AVROBIO common stock that the Tectonic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Tectonic is a private company and its shares of common stock are not publicly traded.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and 2 and successful application for initial listing with Nasdaq, following the consummation of the merger, the AVROBIO common stock will trade on Nasdaq under AVROBIOs new name, Tectonic Therapeutic, Inc. and a new trading symbol TECX. </w:t>
      </w:r>
    </w:p>
    <w:p>
      <w:pPr>
        <w:pStyle w:val="TextBody"/>
        <w:bidi w:val="0"/>
        <w:spacing w:before="240" w:after="0"/>
        <w:jc w:val="left"/>
        <w:rPr>
          <w:rFonts w:ascii="Times New Roman" w:hAnsi="Times New Roman"/>
          <w:sz w:val="20"/>
        </w:rPr>
      </w:pPr>
      <w:r>
        <w:rPr>
          <w:rFonts w:ascii="Times New Roman" w:hAnsi="Times New Roman"/>
          <w:sz w:val="20"/>
        </w:rPr>
        <w:t>As of April 29, 2024, the record date for the special meeting, there were approximately four registered holders of record of the AVROBIO common stock. As of April 29, 2024, Tectonic had 24 holders of record of Tectonic common stock and 23 holders of record of Tectonic preferred stock. For detailed information regarding the beneficial ownership of certain AVROBIO and Tectonic stockholders, see the sections titled </w:t>
      </w:r>
      <w:r>
        <w:rPr>
          <w:rFonts w:ascii="Times New Roman" w:hAnsi="Times New Roman"/>
          <w:i/>
          <w:sz w:val="20"/>
        </w:rPr>
        <w:t>Principal AVROBIO Stockholders</w:t>
      </w:r>
      <w:r>
        <w:rPr>
          <w:rFonts w:ascii="Times New Roman" w:hAnsi="Times New Roman"/>
          <w:sz w:val="20"/>
        </w:rPr>
        <w:t> and </w:t>
      </w:r>
      <w:r>
        <w:rPr>
          <w:rFonts w:ascii="Times New Roman" w:hAnsi="Times New Roman"/>
          <w:i/>
          <w:sz w:val="20"/>
        </w:rPr>
        <w:t>Principal Tectonic Stockholders</w:t>
      </w:r>
      <w:r>
        <w:rPr>
          <w:rFonts w:ascii="Times New Roman" w:hAnsi="Times New Roman"/>
          <w:sz w:val="20"/>
        </w:rPr>
        <w:t xml:space="preserve"> beginning on pages 467 and 469, respectively, of this proxy statement/prospectus. </w:t>
      </w:r>
    </w:p>
    <w:p>
      <w:pPr>
        <w:pStyle w:val="TextBody"/>
        <w:bidi w:val="0"/>
        <w:spacing w:before="360" w:after="0"/>
        <w:jc w:val="left"/>
        <w:rPr>
          <w:rFonts w:ascii="Times New Roman" w:hAnsi="Times New Roman"/>
          <w:b/>
          <w:sz w:val="20"/>
        </w:rPr>
      </w:pPr>
      <w:bookmarkStart w:id="21" w:name="toc770053_19"/>
      <w:bookmarkEnd w:id="21"/>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AVROBIO has never declared or paid any cash dividends on the AVROBIO common stock and does not anticipate paying cash dividends on the AVROBIO common stock for the foreseeable future, except pursuant to the CVR Agreement. Notwithstanding the foregoing, any determination to pay cash dividends subsequent to the merger will be at the discretion of the combined organizations then-current board of directors and will depend upon a number of factors, including the combined organizations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Tectonic has never paid or declared any cash dividends on the Tectonic capital stock. If the merger does not occur, Tectonic does not anticipate paying any cash dividends on the Tectonic capital stock in the foreseeable future, and Tectonic intends to retain all available funds and any future earnings to fund the development and expansion of its business. Any future determination to pay dividends will be at the discretion of the Tectonic Board and will depend upon a number of factors, including its results of operations, financial condition, future prospects, contractual restrictions, and restrictions imposed by applicable laws and other factors the Tectonic Board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770053_20"/>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AVROBIO common stock. You should also read and consider the other information in this proxy statement/prospectus. Please see the section titled Where You Can Find More Information beginning on page 476 of this proxy statement/prospectus for further information. </w:t>
      </w:r>
    </w:p>
    <w:p>
      <w:pPr>
        <w:pStyle w:val="TextBody"/>
        <w:bidi w:val="0"/>
        <w:spacing w:before="360" w:after="0"/>
        <w:jc w:val="left"/>
        <w:rPr>
          <w:rFonts w:ascii="Times New Roman" w:hAnsi="Times New Roman"/>
          <w:b/>
          <w:sz w:val="20"/>
        </w:rPr>
      </w:pPr>
      <w:bookmarkStart w:id="23" w:name="toc770053_21"/>
      <w:bookmarkEnd w:id="23"/>
      <w:r>
        <w:rPr>
          <w:rFonts w:ascii="Times New Roman" w:hAnsi="Times New Roman"/>
          <w:b/>
          <w:sz w:val="20"/>
        </w:rPr>
        <w:t xml:space="preserve">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ratio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has set an exchange ratio for Tectonic capital stock being converted into AVROBIOs common stock, and the exchange ratio is based on the outstanding capital stock of Tectonic and the outstanding common stock of AVROBIO, in each case immediately prior to the closing. Applying the exchange ratio formula in the Merger Agreement, and after giving further effect to the proposed private financings, AVROBIO securityholders as of immediately prior to the 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In the event AVROBIOs net cash is below $65.0 million, the exchange ratio will be adjusted such that the number of shares issued to the pre-merger Tectonic securityholders will be increased, and AVROBIO stockholders will own a smaller percentage of the combined company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AVROBIO common stock before the completion of the merger will not affect the number of shares Tectonic stockholders will be entitled to receive pursuant to the Merger Agreement. Therefore, if before the completion of the merger, the market price of AVROBIO common stock increases from the market price on the date of the Merger Agreement, then Tectonic stockholders could receive merger consideration with substantially more value for their shares of Tectonic capital stock than the parties had negotiated when they established the exchange ratio. Similarly, if before the completion of the merger the market price of AVROBIO common stock declines from the market price on the date of the Merger Agreement, then Tectonic stockholders could receive merger consideration with substantially lower value.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complete the merger may result in either AVROBIO or Tectonic paying a termination fee to the other party, and could harm the AVROBIO common stock price and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AVROBIO and Tectonic are subject to the following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under specified circumstances, AVROBIO could be required to pay Tectonic a termination fee of $2,712,500, and Tectonic could be required to pay AVROBIO a termination fee of $4,900,000;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AVROBIO common stock may decline and could fluctuate significantly;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the merger, such as financial advisor, legal and accounting fees, a majority of which must be paid even if the merger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and the AVROBIO Board or Tectonic Board determines to seek another business combination, there can be no assurance that either AVROBIO or Tectonic will be able to find another third party to transact a business combination with, yielding comparable or greater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Each of Proposal Nos. 1 and 2 is a condition to completion of the merger. Therefore, the merger cannot be consummated without the approval of Proposal Nos. 1 and 2. If the AVROBIO stockholders do not approve Proposal Nos. 1 and 2, failure to consummate the merger may harm AVROBIO and/or Tectonic. Even if the merger is approved by the Tectonic stockholders and Proposal Nos. 1 and 2 as described in this proxy statement/prospectus are approved by the AVROBIO stockholders, specified conditions must be satisfied or, to the extent permitted by applicable law, waived to complete the merger. These conditions are set forth in the Merger Agreement and each material condition to the completion of the merger is described in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AVROBIO and Tectonic cannot assure you that all of the conditions to the consummation of the merger will be satisfied or waived. If the conditions are not satisfied or waived, the merger may not occur or the closing may be delayed. For example, the closing of the merger is conditioned upon the satisfaction or waiver of the receipt of cash proceeds not less than $114.5 million in connection with the consummation of the transactions contemplated by the private financings. As of the date of this proxy statement/prospectus, AVROBIO and Tectonic do not intend to waive this or any other condition. However, AVROBIO and Tectonic may ultimately determine, in their sole discretion, to waive such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or Tectonic may waive one or more of the conditions to the merger without recirculation of this proxy statement/prospectus or resoliciting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Conditions to AVROBIOs and Tectonics obligations to complete the merger may be waived, in whole or in part, to the extent permitted by law, either unilaterally or by agreement of AVROBIO, Tectonic and Merger Sub. In the event of a waiver of a condition, the AVROBIO Board will evaluate the materiality of any such waiver to determine whether an amendment to this proxy statement/prospectus and resolicitation of stockholder approval is necessary.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AVROBIO Board, in its own reasonable discretion, determines any such waiver does not require recirculation of this proxy statement/prospectus and resolicitation of its stockholders, it will have the discretion to complete the merger without seeking further stockholder approval, which decision may have a material adverse effect on AVROBIOs stockholders. For example, if AVROBIO and Tectonic agree to waive the requirement that the shares of AVROBIO common stock to be issued in the merger have been approved for listing (subject to official notice of issuance) on Nasdaq as of the closing, and their respective boards of directors elect to proceed with the closing, Nasdaq may notify the combined company of its determination to delist the combined companys securities based on the failure to satisfy the initial inclusion criteria in the Nasdaq application. The combined company may appeal the determination to a hearings panel, which would stay the delisting action pending a panel decision. If the combined company does not appeal the determination, its common stock would be delisted. Additionally, the closing of the merger is conditioned upon the satisfaction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AVROBIO and Tectonic may ultimately determine, in their sole discretion, to waive such condition. Given that, at the time that AVROBIO stockholders are expected to vote at the special meeting, it will not be known whether the private financings will close in a timely manner or at all, it is possible that AVROBIO and Tectonic may determine to consummate the merger despite not receiving at least $114.5 million in cash proceeds from the private financings. In the event the merger closes without receipt of the $114.5 million from the private financings, the combined company would not have the same liquidity at closing as it would have had if the condition was satisfied. Without taking into account any portion of the proceeds from the private financings, AVROBIOs estimated cash at closing of $65.0 million to $75.0 million will permit the combined company to continue its operations, but its ability to fund its operating expenses and capital expenditure requirements into mid-2027 would be adversely affected. If the Company does not receive any portion of the $114.5 million proceeds from the private financings, the combined company would have to raise significant additional capital by issuing equity securities or through additional debt or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For more information about the conditions to the completion of the merger, see the section titled </w:t>
      </w:r>
      <w:r>
        <w:rPr>
          <w:rFonts w:ascii="Times New Roman" w:hAnsi="Times New Roman"/>
          <w:i/>
          <w:sz w:val="20"/>
        </w:rPr>
        <w:t>The Merger AgreementConditions to the Completion of the Merger</w:t>
      </w:r>
      <w:r>
        <w:rPr>
          <w:rFonts w:ascii="Times New Roman" w:hAnsi="Times New Roman"/>
          <w:sz w:val="20"/>
        </w:rPr>
        <w:t>. For more information about the potential consequences of consummating the merger without receiving the minimum $114.5 million in cash proceeds from the private financings, see the section titled </w:t>
      </w:r>
      <w:r>
        <w:rPr>
          <w:rFonts w:ascii="Times New Roman" w:hAnsi="Times New Roman"/>
          <w:i/>
          <w:sz w:val="20"/>
        </w:rPr>
        <w:t>Risk FactorsRisks Related to the MergerIf AVROBIO and Tectonic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w:t>
      </w:r>
      <w:r>
        <w:rPr>
          <w:rFonts w:ascii="Times New Roman" w:hAnsi="Times New Roman"/>
          <w:sz w:val="20"/>
        </w:rPr>
        <w:t> on page 38 of this proxy statement/prospectus. For more information about the potential consequences of a failure to comply with the initial listing standards of Nasdaq, see the section titled </w:t>
      </w:r>
      <w:r>
        <w:rPr>
          <w:rFonts w:ascii="Times New Roman" w:hAnsi="Times New Roman"/>
          <w:i/>
          <w:sz w:val="20"/>
        </w:rPr>
        <w:t>Risk FactorsRisks Related to the Combined CompanyUpon completion of the merger, failure by the combined company to comply with the initial listing standards of Nasdaq will prevent its stock from being listed on Nasdaq</w:t>
      </w:r>
      <w:r>
        <w:rPr>
          <w:rFonts w:ascii="Times New Roman" w:hAnsi="Times New Roman"/>
          <w:sz w:val="20"/>
        </w:rPr>
        <w:t xml:space="preserve"> on page 163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In general, neither AVROBIO nor Tectonic is obligated to complete the merger if there is a material adverse effect affecting the other party between January 30, 2024 (the date of the Merger Agreement), and the closing. However, certain types of causes are excluded from the concept of a material adverse effect. Such exclusions include but are not limited to changes in general economic or political conditions, industry wide changes, changes resulting from the announcement of the merger, natural disasters, pandemics (including the coronavirus (COVID-19) pandemic), other force majeure events, acts or threat of terrorism or war and changes in GAAP. Therefore, if any of these events were to occur and adversely affect AVROBIO or Tectonic, the other party would still be obliged to consummate the closing notwithstanding such material adverse effect. If any such adverse effects occur and AVROBIO and Tectonic consummate the closing, the stock price of the combined company may suffer. This in turn may reduce the value of the merger to the AVROBIO stockholders, Tectonic stockholders or both. For a more complete discussion of what constitutes a material adverse effect on AVROBIO or Tectonic, please see the section titled </w:t>
      </w:r>
      <w:r>
        <w:rPr>
          <w:rFonts w:ascii="Times New Roman" w:hAnsi="Times New Roman"/>
          <w:i/>
          <w:sz w:val="20"/>
        </w:rPr>
        <w:t>The Merger AgreementRepresentations and Warranties</w:t>
      </w:r>
      <w:r>
        <w:rPr>
          <w:rFonts w:ascii="Times New Roman" w:hAnsi="Times New Roman"/>
          <w:sz w:val="20"/>
        </w:rPr>
        <w:t xml:space="preserve"> beginning on page 246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and Tectonic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Tectonic entered into the Subscription Agreement with certain investors named therein, pursuant to which such investors agreed to purchase shares of Tectonic common stock, at a purchase price currently estimated at approximately $96.6 million in the aggregate, for an aggregate purchase price among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transactions contemplated by the Subscription Agreement and the Company SAFEs of approximately $130.7 million.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there can be no assurance that AVROBIO and Tectonic will ultimately determine, in their sole discretion, not to waive such condition or that the private financings will close in a timely manner or at all. If such condition is waived, the private financings fail to close at all or less than $114.5 million in cash proceeds is received from the private financings, the combined company may need to seek alternative financing. In such scenario, the combined companys cash runway would be shortened such that the combined company will need to raise significant capital following the closing of the merger. Additionally, the shares of AVROBIO common stock issuable upon the exchange at closing of the private financing will result in dilution to all securityholders of the combined company (i.e., both the pre-merger AVROBIO securityholders and former Tectonic securityholders). For a more complete description of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AVROBIOs pre-merger securityholders and Tectonics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AVROBIO and Tectonic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AVROBIO and Tectonic may have interests in the merger that are different from, or in addition to, the interests of other AVROBIO stockholders generally. These interests with respect to AVROBIOs directors and executive officers may include, among others: acceleration or vesting of certain AVROBIO stock options or AVROBIO RSUs, retention bonus payments, extension of exercisability periods of previously issued AVROBIO stock option grants, severance payments if employment is terminated in a qualifying termination in connection with the merger and rights to continued indemnification, expense advancement and insurance coverage. One member of the AVROBIO Board will continue as a director of the combined company after the effective time, and, following the closing, will be eligible to be compensated as a non-employee director of the combined company. All of AVROBIOs directors and executive officers are entitled to certain indemnification and liability insurance coverage pursuant to the terms of the Merger Agreement. These interests, among others, may influence the officers and directors of AVROBIO and cause them to view the merger differently from how AVROBIO stockholders generally may view it. </w:t>
      </w:r>
    </w:p>
    <w:p>
      <w:pPr>
        <w:pStyle w:val="TextBody"/>
        <w:bidi w:val="0"/>
        <w:spacing w:before="240" w:after="0"/>
        <w:jc w:val="left"/>
        <w:rPr>
          <w:rFonts w:ascii="Times New Roman" w:hAnsi="Times New Roman"/>
          <w:sz w:val="20"/>
        </w:rPr>
      </w:pPr>
      <w:r>
        <w:rPr>
          <w:rFonts w:ascii="Times New Roman" w:hAnsi="Times New Roman"/>
          <w:sz w:val="20"/>
        </w:rPr>
        <w:t xml:space="preserve">Tectonics directors and executive officers may also have interests in the merger that are different from, or in addition to, the interests of other AVROBIO stockholders generally. Such interests may include, among others, certain of Tectonics directors and executive officers have options, subject to vesting, to purchase shares of Tectonic common stock which, after the effective time, will be converted into and become options to purchase shares of the common stock of the combined company, Tectonics executive officers are expected to continue as executive officers of the combined company after the effective time and all of Tectonics directors and executive officers are entitled to certain indemnification and liability insurance coverage pursuant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 members of the Tectonic Board may continue as directors of the combined company after the effective time, and, following the closing, will be eligible to be compensated as non-employee directors of the combined company pursuant to the combined companys 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and Tectonic Board were aware of and considered those interests, among other matters, in reaching their decisions to approve and adopt the Merger Agreement, approve the merger, and recommend the approval of the Merger Agreement to AVROBIO and Tectonic stockholders. These interests, among other factors, may have influenced the directors and executive officers of AVROBIO and Tectonic to support or approve the merger.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interests of AVROBIO and Tectonic directors and executive officers in the merger, please see the sections titled </w:t>
      </w:r>
      <w:r>
        <w:rPr>
          <w:rFonts w:ascii="Times New Roman" w:hAnsi="Times New Roman"/>
          <w:i/>
          <w:sz w:val="20"/>
        </w:rPr>
        <w:t>The MergerInterests of AVROBIOs Directors and Executive Officers in the Merger</w:t>
      </w:r>
      <w:r>
        <w:rPr>
          <w:rFonts w:ascii="Times New Roman" w:hAnsi="Times New Roman"/>
          <w:sz w:val="20"/>
        </w:rPr>
        <w:t> beginning on page 221 and </w:t>
      </w:r>
      <w:r>
        <w:rPr>
          <w:rFonts w:ascii="Times New Roman" w:hAnsi="Times New Roman"/>
          <w:i/>
          <w:sz w:val="20"/>
        </w:rPr>
        <w:t>The MergerInterests of Tectonics Directors and Executive Officers in the Merger</w:t>
      </w:r>
      <w:r>
        <w:rPr>
          <w:rFonts w:ascii="Times New Roman" w:hAnsi="Times New Roman"/>
          <w:sz w:val="20"/>
        </w:rPr>
        <w:t xml:space="preserve"> beginning on page 227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stockholders and Tectonic stockholders may not realize a benefit from the merger commensurate with the ownership dilution they will experience in connection with the merger, including the issuance of Tectonic common stock in the private financings.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AVROBIO stockholders and Tectonic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AVROBIOs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AVROBIO common stock is subject to significant fluctuations. Market prices for securities of pharmaceutical, biotechnology and other life science companies have historically been particularly volatile. In addition, the market price of AVROBIO common stock will likely be volatile based on whether stockholders and other investors believe that AVROBIO can complete the merger or otherwise raise additional capital to support AVROBIOs operations if the merger is not consummated and another strategic transaction cannot be identified, negotiated and consummated in a timely manner, if at all. The volatility of the market price of AVROBIO common stock has been and is expected to continue to be exacerbated by low trading volume. Additional factors that may cause the market price of AVROBIO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strategic licensing or commercial partner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its research and development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meet industry analyst expectations;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trading price of AVROBIO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Tectonic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the current AVROBIO stockholders and Tectonic stockholders will generally own a smaller percentage of the combined company than their ownership of their respective companies prior to the merger. Following the merger and after giving further effect to the proposed private financings, AVROBIO securityholders as of immediately prior to the 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AVROBIOs net cash of approximately $65.0 million at closing.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of Tectonic will serve as the Chief Executive Officer of the combined company following the completion of the merger. In addition, the board of directors of the combined company will initially include one member of the AVROBIO Board. Consequently, former securityholders of AVROBIO will not be able to exercise the same influence over the management and policies of the combined company following the closing of the merger than they currently exercise over the management and policies of AVROBIO.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contains provisions that limit AVROBIOs and Tectonics ability to pursue alternatives to the merger, could discourage a potential competing acquiror of AVROBIO or Tectonic from making an alternative transaction proposal and, in specified circumstances, could require AVROBIO or Tectonic to pay a termination fee, which could significantly harm the market price of AVROBIOs common stock and negatively affect the financial condition,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AVROBIO and Tectonic to make acquisitions during the pendency of the merger, subject to specified exceptions. As a result, if the merger is not completed, the 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and the Merger Agreement is terminated under certain circumstances, AVROBIO may be required to pay Tectonic a termination fee of $2,712,500, or Tectonic may be required to pay AVROBIO a termination fee of $4,900,000. Additionally, 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each of AVROBIO and Tectonic will have incurred significant fees and expenses, which must be paid whether or not the merger is completed. Further,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proposed merger is not completed, it could significantly harm the market price of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AVROBIO or Tectonic determines to seek another business combination, there can be no assurance that either AVROBIO or Tectonic will be able to find a partner and close an alternative transaction on terms that are as favorable or more favorable than the terms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For more information, please see the section titled </w:t>
      </w:r>
      <w:r>
        <w:rPr>
          <w:rFonts w:ascii="Times New Roman" w:hAnsi="Times New Roman"/>
          <w:i/>
          <w:sz w:val="20"/>
        </w:rPr>
        <w:t>The Merger AgreementNon-Solicitation</w:t>
      </w:r>
      <w:r>
        <w:rPr>
          <w:rFonts w:ascii="Times New Roman" w:hAnsi="Times New Roman"/>
          <w:sz w:val="20"/>
        </w:rPr>
        <w:t xml:space="preserve"> beginning on page 250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Tectonic common stock makes it difficult to evaluate the fair market value of Tectonics capital stock, the value of the AVROBIO common stock to be issued to Tectonic stockholders may be more or less than the fair market value of Tectonic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Tectonic is privately held and is not traded in any public market. The lack of a public market makes it difficult to determine the fair market value of Tectonics capital stock. Because the percentage of AVROBIO equity to be issued to Tectonic stockholders was determined based on negotiations between the parties, it is possible that the value of the AVROBIO common stock to be issued to Tectonic stockholders will be more or less than the fair market value of Tectonics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does not qualify as a reorganization under the Code, U.S. Holders of Tectonic common stock may be taxed on the full amount of the consideration received in the merger. </w:t>
      </w:r>
    </w:p>
    <w:p>
      <w:pPr>
        <w:pStyle w:val="TextBody"/>
        <w:bidi w:val="0"/>
        <w:spacing w:before="120" w:after="0"/>
        <w:jc w:val="left"/>
        <w:rPr>
          <w:rFonts w:ascii="Times New Roman" w:hAnsi="Times New Roman"/>
          <w:sz w:val="20"/>
        </w:rPr>
      </w:pPr>
      <w:r>
        <w:rPr>
          <w:rFonts w:ascii="Times New Roman" w:hAnsi="Times New Roman"/>
          <w:sz w:val="20"/>
        </w:rPr>
        <w:t>As discussed more fully under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the merger is intended to qualify for U.S. federal income tax purposes as a reorganization within the meaning of Section 368(a) of the Code. Assuming the merger so qualifies, no gain will be recognized by U.S. Holders of Tectonic common stock who receive only AVROBIO common stock in the merger. It is not, however, a condition to Tectonics obligation or AVROBIOs obligation to complete the transactions that the merger so qualifies. None of the parties to the Merger Agreement have sought or intend to seek any ruling from the IRS regarding the qualification of the merger as a reorganization within the meaning of Section 368(a) of the Code. If the merger does not qualify for the U.S. federal income tax treatment described herein, U.S. Holders of Tectonic common stock may be taxed on any gain realized up to the full fair market value of any AVROBIO common stock received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treatment of the CVRs is subject to substantial uncertainty. </w:t>
      </w:r>
    </w:p>
    <w:p>
      <w:pPr>
        <w:pStyle w:val="TextBody"/>
        <w:bidi w:val="0"/>
        <w:spacing w:before="120" w:after="0"/>
        <w:jc w:val="left"/>
        <w:rPr>
          <w:rFonts w:ascii="Times New Roman" w:hAnsi="Times New Roman"/>
          <w:sz w:val="20"/>
        </w:rPr>
      </w:pPr>
      <w:r>
        <w:rPr>
          <w:rFonts w:ascii="Times New Roman" w:hAnsi="Times New Roman"/>
          <w:sz w:val="20"/>
        </w:rPr>
        <w:t xml:space="preserve">There is substantial uncertainty as to the U.S. federal income tax treatment of the CVRs and payments (if any) thereon. There is no legal authority addressing the U.S. federal income tax treatment of the receipt of, holding of, or payments under, the CVRs, and there can be no assurance that the IRS would not assert, or that a court would not sustain, a position that could result in adverse U.S. federal income tax consequences to holders of the CVRs. </w:t>
      </w:r>
    </w:p>
    <w:p>
      <w:pPr>
        <w:pStyle w:val="TextBody"/>
        <w:bidi w:val="0"/>
        <w:spacing w:before="240" w:after="0"/>
        <w:jc w:val="left"/>
        <w:rPr>
          <w:rFonts w:ascii="Times New Roman" w:hAnsi="Times New Roman"/>
          <w:sz w:val="20"/>
        </w:rPr>
      </w:pPr>
      <w:r>
        <w:rPr>
          <w:rFonts w:ascii="Times New Roman" w:hAnsi="Times New Roman"/>
          <w:sz w:val="20"/>
        </w:rPr>
        <w:t>For example, as discussed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AVROBIO does not intend to report the issuance of the CVRs as a current distribution of property with respect to its stock, but it is possible that the IRS could assert that AVROBIO stockholders are treated as having received a distribution of property equal to the fair market value of the CVRs on the date the CVRs are distributed, which could be taxable to AVROBIO stockholders without the corresponding receipt of cash. In addition, it is possible that the IRS or a court could determine that the issuance of the CVRs (and/or any payments thereon) and the reverse stock split constitute a single recapitalization for U.S. federal income tax purposes with the CVRs constituting taxable boot received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recapitalization exchange. In such case, the tax consequences of the CVRs and the reverse stock split would differ from those described in this proxy statement/prospectus, including with respect to the timing and character of income. </w:t>
      </w:r>
    </w:p>
    <w:p>
      <w:pPr>
        <w:pStyle w:val="TextBody"/>
        <w:bidi w:val="0"/>
        <w:spacing w:before="360" w:after="0"/>
        <w:jc w:val="left"/>
        <w:rPr>
          <w:rFonts w:ascii="Times New Roman" w:hAnsi="Times New Roman"/>
          <w:b/>
          <w:sz w:val="20"/>
        </w:rPr>
      </w:pPr>
      <w:bookmarkStart w:id="24" w:name="toc770053_22"/>
      <w:bookmarkEnd w:id="24"/>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short- or long-term, which may further impact the combined companys ability to obtain or maintain listing on Nasdaq. </w:t>
      </w:r>
    </w:p>
    <w:p>
      <w:pPr>
        <w:pStyle w:val="TextBody"/>
        <w:bidi w:val="0"/>
        <w:spacing w:before="120" w:after="0"/>
        <w:jc w:val="left"/>
        <w:rPr>
          <w:rFonts w:ascii="Times New Roman" w:hAnsi="Times New Roman"/>
          <w:sz w:val="20"/>
        </w:rPr>
      </w:pPr>
      <w:r>
        <w:rPr>
          <w:rFonts w:ascii="Times New Roman" w:hAnsi="Times New Roman"/>
          <w:sz w:val="20"/>
        </w:rPr>
        <w:t>The principal purposes of the reverse stock split are to (i) increase the per-share market price of AVROBIO common stock above the Nasdaq minimum bid price requirement so that the listing of AVROBIO and the shares of AVROBIO common stock being issued in the merger on Nasdaq will be approved and (ii) increase the number of authorized and unissued shares available for future issuance in connection with the merger. It cannot be assured, however, that the reverse stock split will accomplish any increase in the per-share market price of AVROBIO common stock for any meaningful period of time. While it is expected that the reduction in the number of outstanding shares of common stock will proportionally increase the market price of AVROBIO common stock, it cannot be assured that the reverse stock split will increase the market price of its common stock by a multiple of the reverse stock split ratio mutually agreed by AVROBIO and Tectonic, or result in any permanent or sustained increase in the market price of AVROBIO common stock, which is dependent upon many factors, including AVROBIOs business and financial performance, general market conditions and prospects for future success. Thus, while the stock price of AVROBIO common stock might meet the listing requirements for Nasdaq initially after the reverse stock split, it cannot be assured that it will continue to do so. For more information about the potential consequences of the combined company failing to comply with the listing standards of Nasdaq, see the section titled </w:t>
      </w:r>
      <w:r>
        <w:rPr>
          <w:rFonts w:ascii="Times New Roman" w:hAnsi="Times New Roman"/>
          <w:i/>
          <w:sz w:val="20"/>
        </w:rPr>
        <w:t>Risk FactorsRisks Related to the Combined CompanyUpon completion of the merger, failure by the combined company to comply with the initial listing standards or continued listing standards of Nasdaq will prevent its stock from being listed on Nasdaq or may result in delisting from Nasdaq</w:t>
      </w:r>
      <w:r>
        <w:rPr>
          <w:rFonts w:ascii="Times New Roman" w:hAnsi="Times New Roman"/>
          <w:sz w:val="20"/>
        </w:rPr>
        <w:t xml:space="preserve"> on page 163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determined that the minimum size of the reverse stock split, within the range of ratios approved by the AVROBIO Board, that is necessary to maintain AVROBIOs Nasdaq listing and to accommodate the additional shares of AVROBIO common stock required to be issued in the transaction is 1:3. The AVROBIO Board intends to take into account various factors prevailing at the time of determination in order to determine the final ratio for the reverse stock split, including the resulting trading price that the AVROBIO Board determines in good faith would be in the best interests of AVROBIO and all of its stockholders. The AVROBIO Board has not determined to necessarily use the minimum ratio required for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AVROBIO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bookmarkStart w:id="25" w:name="toc770053_23"/>
      <w:bookmarkEnd w:id="25"/>
      <w:r>
        <w:rPr>
          <w:rFonts w:ascii="Times New Roman" w:hAnsi="Times New Roman"/>
          <w:b/>
          <w:sz w:val="20"/>
        </w:rPr>
        <w:t xml:space="preserve">Risks Related to AVROBIOs Strategic Alternative Process and Potential Strategic Transaction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proposed merger with Tectonic could materially and adversely affect AVROBIOs results of operations, business, financial results and/or stock price. </w:t>
      </w:r>
    </w:p>
    <w:p>
      <w:pPr>
        <w:pStyle w:val="TextBody"/>
        <w:bidi w:val="0"/>
        <w:spacing w:before="120" w:after="0"/>
        <w:jc w:val="left"/>
        <w:rPr>
          <w:rFonts w:ascii="Times New Roman" w:hAnsi="Times New Roman"/>
          <w:sz w:val="20"/>
        </w:rPr>
      </w:pPr>
      <w:r>
        <w:rPr>
          <w:rFonts w:ascii="Times New Roman" w:hAnsi="Times New Roman"/>
          <w:sz w:val="20"/>
        </w:rPr>
        <w:t xml:space="preserve">In July 2023, AVROBIO announced that it was undertaking a comprehensive exploration of strategic alternatives focused on maximizing stockholder value, which may include, but are not limited to, an acquisition, a merger, business combination or divestiture. After a comprehensive review of strategic alternatives, including identifying and reviewing potential candidates for the merger, on January 30, 2024, AVROBIO entered into the Merger Agreement with Tectonic and Merger Sub, pursuant to which, subject to the satisfaction or waiver of the conditions therein, Merger Sub will merge with and into Tectonic, with Tectonic continuing as the surviving company and a wholly-owned subsidiary of AVROBIO. The closing is subject to approval by the AVROBIO stockholders and Tectonic stockholders as well as other customary closing conditions, including the effectiveness of a registration statement filed with the SEC in connection with the transaction. If the merger is completed, the business of Tectonic will continue as the business of the combined company. Any failure to satisfy a required condition to closing may prevent, delay or otherwise materially and adversely affect the completion of the transaction, which could materially and adversely affect AVROBIOs results of operations, business, financial results and/or stock price. AVROBIO cannot predict with certainty whether or when any of the required closing conditions will be satisfied or if another uncertainty may arise and cannot assure you that the proposed merger will be successfully consummated or that AVROBIO will be able to successfully consummate the proposed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AVROBIOs efforts to complete the merger could cause substantial disruptions in, and create uncertainty surrounding, AVROBIOs business, which may materially adversely affect AVROBIOs results of operations and AVROBIOs business. Uncertainty as to whether the merger will be completed may affect AVROBIOs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AVROBIOs managements and employees attention is being directed toward the completion of the transaction and thus is being diverted from AVROBIOs day-to-day operations. Uncertainty as to AVROBIOs future could adversely affect AVROBIOs business and AVROBIOs relationship with collaborators, suppliers, vendors, regulators and other business partners. For example, vendors, collaborators and other counterparties may defer decisions about working with AVROBIO or seek to change existing business relationships with AVROBIO. Changes to, or termination of, existing business relationships could adversely affect AVROBIOs results of operations and financial condition, as well as the market price of AVROBIOs common stock. The adverse effects of the pendency of the transaction could be exacerbated by any delays in completion of the transaction or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Risks related to the failure to consummate, or delay in consummating, the proposed merger with Tectonic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may not realize any or all of the potential benefits of the merger, which could have a negative effect on AVROBIOs results of operations, business or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some circumstances, AVROBIO may be required to pay a termination fee to Tectonic of $2,712,500;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by AVROBIO or Tectonic due to AVROBIO stockholders voting on and failing to approve Proposal No. 1 and Proposal No. 2 at the special meeting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adjournment thereof), AVROBIO will be required to reimburse Tectonic for merger-related expenses up to $650,000. The expense reimbursement, to the extent paid, will be credited against any termination fee payable by AVROBIO in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would remain liable for significant transaction costs, including legal, accounting, financial advisory and other costs relating to the merger regardless of whether the merger is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AVROBIO common stock may decline to the extent that the current market price for AVROBIO common stock reflects a market assumption that the merger will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attention of AVROBIOs management and employees may have been diverted to the merger rather than to AVROBIOs operations and the pursuit of other opportunities that could have been beneficial to AVROBIO;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could be subject to litigation related to any failure to complete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could potentially lose key personnel during the pendency of the merger as employees and other service providers may experience uncertainty about their future roles with AVROBIO following completion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 is subject to certain customary restrictions on the conduct of AVROBIOs business prior to completing the merger, which restrictions could adversely affect AVROBIOs ability to conduct AVROBIOs business as AVROBIO otherwise would have done if AVROBIO was not subject to these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of these events individually or in combination could materially and adversely affect AVROBIOs results of operations, business, and AVROBIOs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cannot be sure if or when the merger will be completed.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merger is subject to the satisfaction or waiver of various conditions, including the authorization of the merger by AVROBIO stockholders and Tectonic stockholders. AVROBIO cannot guarantee that the closing conditions set forth in the Merger Agreement will be satisfied. If AVROBIO is unable to satisfy certain closing conditions or if other mutual closing conditions are not satisfied, Tectonic will not be obligated to complete the merger. Under certain circumstances, AVROBIO would be required to pay Tectonic a termination fee of $2,712,500. Additionally, 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AVROBIO will have incurred significant fees and expenses, which must be paid whether or not the merger is completed.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the AVROBIO Board, in discharging its fiduciary obligations to AVROBIO stockholders, would evaluate other strategic alternatives or financing options that may be available, which alternatives may not be as favorable to AVROBIO stockholders as the merger, including a liquidation and dissolution. Any future sale or merger, financing or other transaction, including a liquidation or dissolution, may be subject to further stockholder approval. AVROBIO may also be unable to find, evaluate or complete other strategic alternatives, which may have a materially adverse effect on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Until the merger is completed, the Merger Agreement restricts Tectonic and AVROBIO from taking specified actions without the consent of the other party, and requires AVROBIO to operate in the ordinary course of business consistent with past practice. These restrictions may prevent Tectonic and AVROBIO from making appropriate changes to AVROBIO respective businesses or pursuing attractive business opportunities that may arise prior to the completion of the merger. Further, if AVROBIOs net cash at closing is lower than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either because expenses exceed current estimates or due to delays prior to closing, then the pre-merger AVROBIO stockholders will own less of the combined company pursuant to the exchange ratio adjustment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Any delay in completing the proposed merger may materially and adversely affect the timing and benefits that are expected to be achieved from the proposed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AVROBIO and the members of the AVROBIO Board arising out of the proposed merger, which may delay or prevent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AVROBIO, the AVROBIO Board, Tectonic, the Tectonic Board and others in connection with the transactions contemplated by the Merger Agreement. The outcome of litigation is uncertain, and AVROBIO may not be successful in defending against any such future claims. Lawsuits that may be filed against AVROBIO, the AVROBIO Board, Tectonic or the Tectonic Board could delay or prevent the merger, divert the attention of AVROBIOs management and employees from AVROBIOs day-to-day business and otherwise adversely affect AVROBIOs financial condition. Litigation may also impact AVROBIOs ability to consummate a potential strategic transaction or the ultimate value its stockholders receive in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proposed merger, one action has been filed in the United States District Court for the Southern District of New York captioned </w:t>
      </w:r>
      <w:r>
        <w:rPr>
          <w:rFonts w:ascii="Times New Roman" w:hAnsi="Times New Roman"/>
          <w:i/>
          <w:sz w:val="20"/>
        </w:rPr>
        <w:t>Garofalo v. Avrobio, Inc. et al</w:t>
      </w:r>
      <w:r>
        <w:rPr>
          <w:rFonts w:ascii="Times New Roman" w:hAnsi="Times New Roman"/>
          <w:sz w:val="20"/>
        </w:rPr>
        <w:t xml:space="preserve">., 24-cv-1493 (filed February 27, 2024). The foregoing complaint is referred to as the Merger Action. </w:t>
      </w:r>
    </w:p>
    <w:p>
      <w:pPr>
        <w:pStyle w:val="TextBody"/>
        <w:bidi w:val="0"/>
        <w:spacing w:before="240" w:after="0"/>
        <w:jc w:val="left"/>
        <w:rPr>
          <w:rFonts w:ascii="Times New Roman" w:hAnsi="Times New Roman"/>
          <w:sz w:val="20"/>
        </w:rPr>
      </w:pPr>
      <w:r>
        <w:rPr>
          <w:rFonts w:ascii="Times New Roman" w:hAnsi="Times New Roman"/>
          <w:sz w:val="20"/>
        </w:rPr>
        <w:t xml:space="preserve">The Merger Action alleges that the Form S-4 registration statement filed by AVROBIO on February 14, 2024 in connection the merger misrepresents and/or omits certain purportedly material information in connection with the merger, potential conflicts of interest of AVROBIOs officers and directors, and the events that led to the signing of the Merger Agreement. The Merger Action asserts violations of Section 14(a) of the Exchange Act and Rule 14a-9 promulgated thereunder against all defendants (AVROBIO and the AVROBIO Board) and violations of Section 20(a) of the Exchange Act against AVROBIOs directors. The Merger Action seeks, among other things, an injunction enjoining the consummation of the merger, costs of the action, including plaintiffs attorneys fees and experts fees and other relief the court may deem just and proper. </w:t>
      </w:r>
    </w:p>
    <w:p>
      <w:pPr>
        <w:pStyle w:val="TextBody"/>
        <w:bidi w:val="0"/>
        <w:spacing w:before="240" w:after="0"/>
        <w:jc w:val="left"/>
        <w:rPr>
          <w:rFonts w:ascii="Times New Roman" w:hAnsi="Times New Roman"/>
          <w:sz w:val="20"/>
        </w:rPr>
      </w:pPr>
      <w:r>
        <w:rPr>
          <w:rFonts w:ascii="Times New Roman" w:hAnsi="Times New Roman"/>
          <w:sz w:val="20"/>
        </w:rPr>
        <w:t xml:space="preserve">Also in connection with the Merger Agreement, AVROBIO has received demand letters from four purported AVROBIO stockholders demanding that AVROBIO disclose certain additional information relating to the merger (the Demands).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predict the outcome of the Merger Action or the Demands. AVROBIO believes that the allegations and claims asserted in the Merger Action and the Demands are without merit and intends to defend against them vigorously. Additional lawsuits and demand letters arising out of the merger may also be filed or received in the future, though AVROBIO will not provide additional disclosures unless those new complaints or letters contain material differences from those received to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stockholders potentially may not receive any payment on the CVRs and the CVRs may otherwise expire valueless.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or prior to the effective time, AVROBIO, the holders representative and a rights agent will execute and deliver the CVR Agreement, pursuant to which AVROBIO stockholders of record as of immediately prior to the effective time (including holders of shares of AVROBIO common stock issued upon settlement of the AVROBIO RSUs) will receive one non-transferable CVR for each outstanding share of AVROBIO common stock held by such stockholder on such date, subject to and in accordance with the terms and conditions of the CVR Agreement. Pursuant to the CVR Agreement, each CVR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 is entitled to certain rights to receive a pro rata portion of 80% of the net proceeds (as defined in the CVR Agreement), if any, received by AVROBIO as a result of an AVROBIO disposition (including a license) of AVROBIOs pre-closing assets after the effective date and prior to the 18-month anniversary of the closing, received within a 10-year period following the closing; provided that no contingent payment will be payable to any holder of the CVRs until such time as the then-outstanding and undistributed proceeds exceeds $350,000 in the aggregate. Such proceeds are subject to certain permitted deductions, including for applicable tax payments, certain expenses incurred by AVROBIO or its affiliates, losses incurred or reasonably expected to be incurred by AVROBIO or its subsidiaries due to a third party proceeding in connection with a disposition and certain wind-down costs. The contingent payments under the CVR Agreement, if they become payable, will become payable to the rights agent for subsequent distribution to the holders of the CVRs. In the event that no proceeds are received, holders of the CVRs will not receive any payment pursuant to the CVR Agreement. There can be no assurance that any holders of CVRs will receive payments with respect thereto. </w:t>
      </w:r>
    </w:p>
    <w:p>
      <w:pPr>
        <w:pStyle w:val="TextBody"/>
        <w:bidi w:val="0"/>
        <w:spacing w:before="240" w:after="0"/>
        <w:jc w:val="left"/>
        <w:rPr>
          <w:rFonts w:ascii="Times New Roman" w:hAnsi="Times New Roman"/>
          <w:sz w:val="20"/>
        </w:rPr>
      </w:pPr>
      <w:r>
        <w:rPr>
          <w:rFonts w:ascii="Times New Roman" w:hAnsi="Times New Roman"/>
          <w:sz w:val="20"/>
        </w:rPr>
        <w:t>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For a more detailed description of the CVRs and the CVR Agreement, see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may not be able to achieve successful results from the disposition of such assets as described above. If this is not achieved for any reason within the time periods specified in the CVR Agreement, no payments will be made under the CVRs, and the CVRs will expire valueless.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does not successfully consummate the merger or another strategic transaction, the AVROBIO Board may decide to pursue a dissolution and liquidation of AVROBIO. In such an event, the amount of cash available for distribution to AVROBIO stockholders will depend heavily on the timing of such liquidation as well as the amount of cash that will need to be reserved for commitments and contingent liabilities, as to which AVROBIO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the AVROBIO Board may decide to pursue a dissolution and liquidation of AVROBIO. In such an event, the amount of cash available for distribution to AVROBIO stockholders will depend heavily on the timing of such decision and, ultimately, such liquidation, since the amount of cash available for distribution continues to decrease as AVROBIO funds its operations while pursuing the merger. In addition, if the AVROBIO Board were to approve and recommend, and AVROBIO stockholders were to approve, a dissolution and liquidation of the company, AVROBIO would be required under Delaware corporate law to pay AVROBIOs outstanding obligations, as well as to make reasonable provision for contingent and unknown obligations, prior to making any distributions in liquidation to stockholders. AVROBIOs commitments and contingent liabilities may include obligations under AVROBIOs employment and related agreements with certain employees that provide for severance and other payments following a termination of employment occurring for various reasons, including a change in control of the company, litigation against AVROBIO, and other various claims and legal actions arising in the ordinary course of business, and other unexpected and/or contingent liabilities. As a result of this requirement, a portion of AVROBIOs assets would need to be reserved pending the resolution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AVROBIO may be subject to litigation or other claims related to a dissolution and liquidation of AVROBIO. If a dissolution and liquidation were to be pursued, the AVROBIO Board, in consultation with AVROBIOs advisors, would need to evaluate these matters and make a determination about a reasonable amount to reserve. Accordingly, holders of AVROBIO common stock could lose all or a significant portion of their investment in the event of liquidation, dissolution or winding up of the company. A liquidation would be a lengthy and uncertain process with no assurance of any value ever being returned to AVROBIO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 is substantially dependent on AVROBIOs remaining employees to facilitate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AVROBIOs ability to consummate a strategic transaction depends upon its ability to retain its employees required to consummate such a transaction, the loss of whose services may adversely impact the ability to consummate such transaction. In January 2022, and then between July 2023 and February 2024, AVROBIO implemented reductions in force that significantly reduced its workforce in order to conserve its capital resources. As of March 15, 2024, AVROBIO had only 13 full-time employees. AVROBIOs ability to successfully complete the merger depends in large part on AVROBIOs ability to retain certain remaining personnel. Despite AVROBIOs efforts to retain these employees, one or more may terminate their employment with AVROBIO on short notice. AVROBIOs cash conservation activities may yield other unintended consequences, such as attrition beyond its planned reduction in workforce and reduced employee morale, which may cause remaining employees to seek alternative employment. The loss of the services of certain employees could potentially harm AVROBIOs ability to consummate the merger, to run AVROBIOs day-to-day business operations and to fulfill AVROBIOs reporting obligations as a public company. </w:t>
      </w:r>
    </w:p>
    <w:p>
      <w:pPr>
        <w:pStyle w:val="TextBody"/>
        <w:bidi w:val="0"/>
        <w:spacing w:before="360" w:after="0"/>
        <w:jc w:val="left"/>
        <w:rPr>
          <w:rFonts w:ascii="Times New Roman" w:hAnsi="Times New Roman"/>
          <w:b/>
          <w:sz w:val="20"/>
        </w:rPr>
      </w:pPr>
      <w:bookmarkStart w:id="26" w:name="toc770053_24"/>
      <w:bookmarkEnd w:id="26"/>
      <w:r>
        <w:rPr>
          <w:rFonts w:ascii="Times New Roman" w:hAnsi="Times New Roman"/>
          <w:b/>
          <w:sz w:val="20"/>
        </w:rPr>
        <w:t xml:space="preserve">Risks Related to AVROBIO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AVROBIOs Financial Position and Need for Additional Capital in Event the Merger is Not Consummated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 has incurred net losses since inception, expects to incur net losses for the foreseeable future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except for the year ended December 31, 2023, AVROBIO has incurred annual net losses. AVROBIO incurred net income (loss) of $12.2 million and $(105.9) million for the years ended December 31, 2023 and 2022, respectively. AVROBIO historically financed AVROBIOs operations primarily through private placements of AVROBIO preferred stock and, more recently, AVROBIOs initial public offering (IPO) and follow-on public offerings of AVROBIO common stock, as well as sales of AVROBIO common stock under AVROBIOs at-the-market facility (the ATM facility). Although AVROBIO had established its ATM facility, as of the filing date of its Quarterly Report on Form 10-Q for the quarter ended September 30, 2023, AVROBIO had not made any sales under its ATM facility, and AVROBIO will not make sales under its ATM facility unless and until a new shelf registration statement on Form S-3 is filed and declared effective. In addition, on November 2, 2021, AVROBIO entered into the Loan and Security Agreement (the Term Loan Agreement), by and among AVROBIO, the lenders party thereto from time to time and Silicon Valley Bank or its successor, Silicon Valley Bank, a division of First-Citizens Bank &amp; Trust company (SVB). In May 2023, AVROBIO announced that it had entered into an asset purchase agreement (the Asset Purchase Agreement) with Novartis Pharma AG and Novartis Pharmaceuticals Corporation (collectively Novartis), providing for the sale of AVROBIOs cystinosis gene therapy program (designated AVR-RD-04) and all other assets of AVROBIO specifically related to this program for an aggregate cash payment of $87.5 million upon closing of the transaction. In June 2023, AVROBIO announced the closing of this transaction, as well as the pay-off of all outstanding amounts due and owed, including principal, interest and other charges, under the Term Loan Agreement and the 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AVROBIO has devoted substantially all of AVROBIOs efforts to research and development, including clinical and preclinical development of AVROBIOs product candidates, as well as assembling AVROBIOs team. In July 2023, AVROBIO announced the decision to halt further development of AVROBIOs programs and to conduct a comprehensive exploration of strategic alternatives, and as such, AVROBIOs research and development expenses have decreased. Should AVROBIO resume development of AVROBIOs product candidates, AVROBIO expects that research and development costs would increase significantly, that it would be several years, if ever, before AVROBIO commercializes any product candidates, and that AVROBIO would continue to incur significant expenses and increasing operating losses for the foreseeable future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also anticipates that its expenses would increase substantially should AVROBIO resume development of AVROBIOs product candidates and if, and as, AVROBIO: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resumes clinical enrollment activities, particularly if and as AVROBIO commences and continues clinical-stage activities for AVROBIOs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initiates additional clinical trials and preclinical studies for AVROBIOs product candidates,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experiences delays or interruptions in preclinical studies, clinical trials, or AVROBIOs supply chain due to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and develop or in-license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marketing approvals for AVROBIOs product candidates that successfully complete clinical trials,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 candidates for which AVROBIO may obtain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AVROBIOs implementation of AVROBIOs plato® platform as AVROBIO seeks to industrialize its HSC gene therapy approach into a robust, scalable and, if approved, commercially viable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and retains additional personnel, such as clinical, quality control, regulatory and scientific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expands AVROBIOs office space, infrastructure and facilities as needed to accommodate AVROBIOs employee base, including adding equipment and physical infrastructure to support AVROBIOs research and development;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to incur additional public company-related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expects to continue to incur costs and expenditures in connection with AVROBIOs strategic alternatives process. Should AVROBIO resume development of its product candidates, to become and remain profitable, it must successfully develop and eventually commercialize product candidates with significant market potential and acceptance. This will require AVROBIO to be successful in a range of challenging activities, and its expenses will increase substantially as AVROBIO seeks to resume, initiate, conduct and complete preclinical and clinical trials of AVROBIOs product candidates, and manufacture, market and sell these or any future product candidates for which AVROBIO may obtain marketing approval, if any, and satisfy any post-marketing requirements. Should AVROBIO resume development of its product candidates, AVROBIO may never succeed in any or all of these activities and, even if AVROBIO does, AVROBIO may never generate revenues that are significant or large enough to achieve profitability. If AVROBIO does achieve profitability, AVROBIO may not be able to sustain or increase profitability on a quarterly or annual basis. AVROBIOs failure to become and remain profitable would decrease the value of AVROBIO and could impair their ability to raise capital, maintain their research and development efforts, expand their business or continue operations. A decline in the value of AVROBIO also could cause you to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In July 2023, AVROBIO announced that it was undertaking a comprehensive exploration of strategic alternatives focused on maximizing stockholder value, and in January 2024, AVROBIO announced its proposed merger with Tectonic. There can be no assurance that the proposed merger with Tectonic, or any other course of action, business arrangement or transaction, or series of transactions, will be pursued, successfully consummated or lead to increased stockholder value. Further, if AVROBIO does not obtain additional funding and/or if a strategic transaction is not completed and are unable to continue as a going concern, AVROBIO may have to liquidate its assets and the values AVROBIO receives for the assets in liquidation or dissolution could be significantly lower than the values reflected in AVROBIOs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AVROBIO has never generated revenue from product sales and does not expect to do so for the next several years, if ever.</w:t>
      </w:r>
    </w:p>
    <w:p>
      <w:pPr>
        <w:pStyle w:val="TextBody"/>
        <w:bidi w:val="0"/>
        <w:spacing w:before="120" w:after="0"/>
        <w:jc w:val="left"/>
        <w:rPr>
          <w:rFonts w:ascii="Times New Roman" w:hAnsi="Times New Roman"/>
          <w:sz w:val="20"/>
        </w:rPr>
      </w:pPr>
      <w:r>
        <w:rPr>
          <w:rFonts w:ascii="Times New Roman" w:hAnsi="Times New Roman"/>
          <w:sz w:val="20"/>
        </w:rPr>
        <w:t>AVROBIOs ability to generate revenue from product sales and achieve profitability depends on AVROBIOs ability, alone or with collaborative partners, to successfully resume and complete the development of, and obtain the regulatory approvals necessary to commercialize, AVROBIOs product candidates. AVROBIO does not anticipate generating revenues from product sales for the next several years, if ever. Should AVROBIO resume development of its product candidates, AVROBIOs ability to generate future revenues from product sales depends heavily on AVROBIOs success in:</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re-initiating and completing research and preclinical and clinical development of AVROBIOs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seeking and obtaining regulatory and marketing approvals for product candidates for which AVROBIO completes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launching and commercializing product candidates for which AVROBIO obtains regulatory and marketing approval by establishing a sales force, marketing and distribution infrastructure or, alternatively, collaborating with a commercialization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qualifying for adequate coverage and reimbursement by government and third-party payors for AVROBIOs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supply and manufacturing processes and relationships with third parties that can provide adequate, in both amount and quality, products and services to support clinical development and the commercial market demand for AVROBIOs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market acceptance of AVROBIOs product candidates, if approved, as a viable treatment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competing technological and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into which AVROBIO may enter and performing AVROBIOs obligations under such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one or more of the product candidates that AVROBIO develops is approved for commercial sale, AVROBIO anticipates incurring significant costs associated with commercializing any approved product candidate. AVROBIOs expenses could increase beyond expectations if AVROBIO is required by the U.S. Food and Drug Administration (FDA) or other foreign regulatory authorities to perform clinical and other studies in addition to those that AVROBIO currently anticipates would be required. Even if AVROBIO is able to generate revenues from the sale of any approved products, AVROBIO may not become profitable and may need to obtain additional funding to continue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AVROBIO decides to resume development of its product candidates, AVROBIO will need additional funding, which may not be available on acceptable terms, or at all. Failure to obtain this necessary capital when needed may force AVROBIO to delay, limit or terminate AVROBIOs product development efforts or other operations.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particularly if AVROBIO continues the research and development of, initiate further clinical trials of and seek marketing approval for, AVROBIOs product candidates and continue to enhance and optimize AVROBIOs vector technology and manufacturing processes, AVROBIO expects its expenses would increase in connection with such activities. In July 2023, AVROBIO announced it was halting further development of its programs. Following such announcement, in September 2023 AVROBIO terminated its agreements with the University of Manchester for the license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a gene therapy for MPSII (Hunter syndrome) and discontinued AVROBIOs AVR-RD-05, a Hunter syndrome gene therapy program. Previously, in June 2023, AVROBIO sold its cystinosis gene therapy program to Novartis. AVROBIO currently has a total of three gene therapy product candidates, for Gaucher, Pompe and Fabry diseases, none of which is currently in clinical development. Resumption of the development of these product candidates, if that were to occur, would require AVROBIO to expend significant resources to advance these candidates. In addition, should AVROBIO resume development of its product candidates and thereafter obtains marketing approval for any of AVROBIOs product candidates, AVROBIO expects to incur significant expenses related to product sales, medical affairs, marketing, manufacturing and distribution. Though AVROBIO has halted further development of its programs to conduct a comprehensive exploration of strategic alternatives and has conducted reductions in force, AVROBIO may incur significant costs in connection with a comprehensive review of strategic alternatives, and AVROBIO has incurred, and may in the future incur, significant costs related to this continued evaluation. AVROBIO may also incur additional unanticipated expenses in connection with this process. Furthermore, AVROBIO expects to continue to incur additional costs associated with operating as a public company. Accordingly, should AVROBIO resume development of its product candidates, AVROBIO will need to obtain substantial additional funding in connection with AVROBIOs continuing operations. If AVROBIO is unable to raise capital when needed or on reasonable terms, and/or if a strategic transaction is not completed, AVROBIO may have to liquidate its assets. AVROBIOs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exploration of strategic alternatives to maximize stockholder value, including whether AVROBIO is able to identify and implement any potential strategic alternatives, in a timely manner or at all, whether AVROBIO realizes all or any of the anticipated benefits of any such transaction and whether any such transactions would generate value for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scope, progress, results and costs of drug discovery, laboratory testing, preclinical development and clinical trials for AVROBIOs product candidates, including the extent of any impacts from the COVID-19 pandemic or similar public health crisis on these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costs, timing and outcome of regulatory review of AVROBIOs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future activities, including, should AVROBIO resume development of its product candidates, product sales, medical affairs, marketing, manufacturing and distribution, for any of AVROBIOs product candidates for which AVROBIO receives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AVROBIOs product candidates, the costs associated with AVROBIOs manufacturing process development and evaluation of third-party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if any, should AVROBIO resume development of its product candidates, received from commercial sale of AVROBIOs products, should any of AVROBIOs product candidates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if any, raised from potential financings and capital raising activities should AVROBIO resume development of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AVROBIOs intellectual property rights and defending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defending against and resolving adverse litigation,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AVROBIOs current and any future license agreements and collaborations;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AVROBIO acquires or in-license other product candidates, technologies and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product candidates and conducting preclinical testing and clinical trials is a time-consuming, expensive and uncertain process that takes years to complete, and should AVROBIO resume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its product candidates, AVROBIO may never generate the necessary data or results required to obtain marketing approval and achieve product sales. In addition, AVROBIOs product candidates, if approved, may not achieve commercial success. AVROBIOs product revenues, if any, will be derived from or based on sales of products that may not be commercially available for many years, if at all. Accordingly, AVROBIO will need to continue to rely on additional financing to achieve AVROBIOs business objectives. Adequate additional financing may not be available to AVROBIO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Entry into an acquisition, merger, business combination, or other strategic transaction, or raising additional capital may cause dilution to AVROBIOs existing stockholders, restrict AVROBIOs operations or cause AVROBIO to relinquish valuable rights. </w:t>
      </w:r>
    </w:p>
    <w:p>
      <w:pPr>
        <w:pStyle w:val="TextBody"/>
        <w:bidi w:val="0"/>
        <w:spacing w:before="120" w:after="0"/>
        <w:jc w:val="left"/>
        <w:rPr>
          <w:rFonts w:ascii="Times New Roman" w:hAnsi="Times New Roman"/>
          <w:sz w:val="20"/>
        </w:rPr>
      </w:pPr>
      <w:r>
        <w:rPr>
          <w:rFonts w:ascii="Times New Roman" w:hAnsi="Times New Roman"/>
          <w:sz w:val="20"/>
        </w:rPr>
        <w:t xml:space="preserve">In July 2023, AVROBIO announced its intention to explore strategic alternatives, including a potential acquisition, merger, business combination, or other strategic transaction, and in January 2024 announced entrance into the Merger Agreement with Tectonic. If the merger with Tectonic is not consummated, the terms of any other strategic transaction that AVROBIO might enter into, if any, could result in the issuance of securities in the company, such as AVROBIO common stock, which could result in significant dilution to AVROBIO stockholders. Additionally, in connection with any other such strategic alternatives, AVROBIO may seek to raise additional capital through a combination of public and private equity offerings or other financing arrangements. To the extent that AVROBIO enters into any other strategic transaction and/or raises additional capital through the sale of equity, convertible debt securities or other equity-based derivative securities, stockholders ownership interest will be diluted and the terms may include liquidation or other preferences that adversely affect rights of stockholders. Any indebtedness AVROBIO incurs would result in increased fixed payment obligations and could involve restrictive covenants, such as limitations on AVROBIOs ability to incur additional debt, limitations on AVROBIOs ability to acquire or license intellectual property rights and other operating restrictions that could adversely impact AVROBIOs ability to conduct AVROBIOs business. Furthermore, the issuance of additional securities, whether equity or debt, by AVROBIO, or the possibility of such issuance, may cause the market price of AVROBIO common stock to decline and existing stockholders may not agree with AVROBIOs strategic or financing plans or the terms of such strategic transaction or financings. If AVROBIO raises additional funds through strategic partnerships and alliances and licensing arrangements with third parties, AVROBIO may have to relinquish valuable rights to AVROBIOs technologies, or AVROBIOs product candidates, or grant licenses on terms unfavorable to AVROBIO. Adequate additional financing may not be available to AVROBIO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limited operating history may make it difficult to evaluate the success of AVROBIOs business to date and to assess AVROBIOs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AVROBIO was founded in November 2015. AVROBIOs operations to date have been limited to corporate organization, recruiting key personnel, business planning, raising capital, acquiring rights to AVROBIOs technology, identifying potential product candidates, undertaking preclinical studies and planning and supporting clinical trials of certain of AVROBIOs product candidates and establishing research and development and manufacturing capabilities. AVROBIO has not yet demonstrated the ability to complete clinical trials of AVROBIOs product candidates, obtain marketing approvals, manufacture products on a commercial scale or conduct sales and marketing activities necessary for successful commercialization. Consequently, any predictions you make about AVROBIOs future success or viability, should AVROBIO resume development of its programs, may not be as accurate as they could be if AVROBIO had a longer operating history. In addition, as an early-stage company, AVROBIO may encounter unforeseen expenses, difficulties, complications, delays and other known and unknown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AVROBIOs current and projected business operations and its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Uncertainty remains over liquidity concerns in the broader financial services industry, and if any of AVROBIOs contract organizations, vendors, suppliers or other parties with whom AVROBIO conducts business are unable to access funds pursuant to their own arrangements with such a financial institution, such partys ability to perform their obligations could be adversely affected. Similar impacts have occurred in the past, such as during the 2008-2010 financial crisis. </w:t>
      </w:r>
    </w:p>
    <w:p>
      <w:pPr>
        <w:pStyle w:val="TextBody"/>
        <w:bidi w:val="0"/>
        <w:spacing w:before="240" w:after="0"/>
        <w:jc w:val="left"/>
        <w:rPr>
          <w:rFonts w:ascii="Times New Roman" w:hAnsi="Times New Roman"/>
          <w:sz w:val="20"/>
        </w:rPr>
      </w:pPr>
      <w:r>
        <w:rPr>
          <w:rFonts w:ascii="Times New Roman" w:hAnsi="Times New Roman"/>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bidi w:val="0"/>
        <w:spacing w:before="240" w:after="0"/>
        <w:jc w:val="left"/>
        <w:rPr>
          <w:rFonts w:ascii="Times New Roman" w:hAnsi="Times New Roman"/>
          <w:sz w:val="20"/>
        </w:rPr>
      </w:pPr>
      <w:r>
        <w:rPr>
          <w:rFonts w:ascii="Times New Roman" w:hAnsi="Times New Roman"/>
          <w:sz w:val="20"/>
        </w:rPr>
        <w:t xml:space="preserve">Although AVROBIO assesses its banking relationships as AVROBIO believes necessary or appropriate, AVROBIOs access to funding sources and other credit arrangements in amounts adequate to finance or capitalize AVROBIOs current and projected future business operations could be significantly impaired by factors that affect AVROBIOs company, the financial institutions with which AVROBIO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AVROBIO has financial or business relationships, but could also include factors involving financial markets or the financial services industry generally. The results of events or concerns that involve one or more of these factors could include a variety of material and adverse impacts on AVROBIOs current and projected business operations and AVROBIOs financial condition and results of operations. These could include, but may not be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access to deposits or other financial assets or the uninsured loss of deposits or other financial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contractual obligations that require AVROBIO to maintain letters of credit or other credit support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financial covenants in AVROBIOs credit agreements or credit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cross-defaults in other credit agreements, credit arrangements or operating or financing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cash management arrangements and/or delays in accessing or actual loss of funds subject to cash management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AVROBIO to acquire financing on acceptable terms or at all. Any decline in available funding or access to AVROBIOs cash and liquidity resources could, among other risks, adversely impact AVROBIOs ability to meet AVROBIOs operating expenses, financial obligations or fulfill AVROBIOs other obligations, result in breaches of AVROBIOs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AVROBIOs liquidity and AVROBIOs current and/or projected business operations and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further deterioration in the macroeconomic economy or financial services industry could lead to losses or defaults by AVROBIOs contract organizations, vendors, suppliers or other parties with whom AVROBIO conducts business, which in turn, could have a material adverse effect on AVROBIOs current and/or projected business operations and results of operations and financial condition. For example, contract organizations, vendors, suppliers or other parties with whom AVROBIO conducts business could be adversely affected by any of the liquidity or other risks that are described above as factors that could result in material adverse impacts on AVROBIOs company, including but not limited to delayed access or loss of access to uninsured deposits or loss of the ability to draw on existing credit facilities involving a troubled or failed financial institution. Any bankruptcy or insolvency involving AVROBIOs contract organizations, vendors, suppliers or other parties with whom AVROBIO conducts business, or any breach or default by such parties, or the loss of any significant relationships with such parties, could result in a material adverse impact on AVROBIOs business. </w:t>
      </w:r>
    </w:p>
    <w:p>
      <w:pPr>
        <w:pStyle w:val="TextBody"/>
        <w:bidi w:val="0"/>
        <w:spacing w:before="360" w:after="0"/>
        <w:jc w:val="left"/>
        <w:rPr>
          <w:rFonts w:ascii="Times New Roman" w:hAnsi="Times New Roman"/>
          <w:b/>
          <w:sz w:val="20"/>
        </w:rPr>
      </w:pPr>
      <w:bookmarkStart w:id="27" w:name="toc770053_25"/>
      <w:bookmarkEnd w:id="27"/>
      <w:r>
        <w:rPr>
          <w:rFonts w:ascii="Times New Roman" w:hAnsi="Times New Roman"/>
          <w:b/>
          <w:sz w:val="20"/>
        </w:rPr>
        <w:t xml:space="preserve">Risks Related to AVROBIOs Business if Merger is Not Consummated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 may not be successful in completing the merger, and any strategic transactions that it may consummate in the future could have negative consequences. </w:t>
      </w:r>
    </w:p>
    <w:p>
      <w:pPr>
        <w:pStyle w:val="TextBody"/>
        <w:bidi w:val="0"/>
        <w:spacing w:before="120" w:after="0"/>
        <w:jc w:val="left"/>
        <w:rPr>
          <w:rFonts w:ascii="Times New Roman" w:hAnsi="Times New Roman"/>
          <w:sz w:val="20"/>
        </w:rPr>
      </w:pPr>
      <w:r>
        <w:rPr>
          <w:rFonts w:ascii="Times New Roman" w:hAnsi="Times New Roman"/>
          <w:sz w:val="20"/>
        </w:rPr>
        <w:t xml:space="preserve">AVROBIO is exploring strategic transactions regarding any product candidates and related assets, including, without limitation, licensing transactions and asset sales. There can be no assurance that AVROBIO will be able to successfully consummate the merger or that the merger will be completed on attractive terms, within the anticipated timing, or at all. The process of continuing to evaluate these strategic options may be very costly, time-consuming and complex and AVROBIO has incurred, and may in the future incur, significant costs related to this continued evaluation, such as legal and accounting fees and expenses and other related charges. AVROBIO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its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strategic business combination or other transactions that AVROBIO may consummate in the future could have a variety of negative consequences and it may implement a course of action or consummate a transaction that yields unexpected results that adversely affects its business and decreases the remaining cash available for use in its business or the execution of its strategic plan. There can be no assurances that any particular course of action, business arrangement or transaction, or series of transactions, will be pursued, successfully consummated, lead to increased stockholder value or achieve the anticipated results. Any potential transaction would be dependent on a number of factors that may be beyond its control, including, among other things, market conditions, industry trends, the interest of third parties in a potential transaction with AVROBIO, obtaining stockholder approval and the availability of financing to third parties in a potential transaction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on reasonable terms. Any failure of such a potential transaction to achieve the anticipated results could significantly impair its ability to enter into any future strategic transactions and may significantly diminish or delay any future distributions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AVROBIO is not successful in setting forth a new strategic path for AVROBIO, or if its plans are not executed in a timely fashion, this may cause reputational harm with its stockholders and the value of its securities may be adversely impacted. In addition, speculation regarding any developments related to the review of strategic alternatives and perceived uncertainties related to the future of AVROBIO could cause its stock price to fluctuate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is successful in completing the merger, it may be exposed to other operational and financial risks. </w:t>
      </w:r>
    </w:p>
    <w:p>
      <w:pPr>
        <w:pStyle w:val="TextBody"/>
        <w:bidi w:val="0"/>
        <w:spacing w:before="120" w:after="0"/>
        <w:jc w:val="left"/>
        <w:rPr>
          <w:rFonts w:ascii="Times New Roman" w:hAnsi="Times New Roman"/>
          <w:sz w:val="20"/>
        </w:rPr>
      </w:pPr>
      <w:r>
        <w:rPr>
          <w:rFonts w:ascii="Times New Roman" w:hAnsi="Times New Roman"/>
          <w:sz w:val="20"/>
        </w:rPr>
        <w:t xml:space="preserve">Although there can be no assurance that the merger will be completed, the negotiation and consummation of the merger has required and will continue to require significant time on the part of its management, and the diversion of managements attention may disrupt its business. </w:t>
      </w:r>
    </w:p>
    <w:p>
      <w:pPr>
        <w:pStyle w:val="TextBody"/>
        <w:bidi w:val="0"/>
        <w:spacing w:before="240" w:after="0"/>
        <w:jc w:val="left"/>
        <w:rPr>
          <w:rFonts w:ascii="Times New Roman" w:hAnsi="Times New Roman"/>
          <w:sz w:val="20"/>
        </w:rPr>
      </w:pPr>
      <w:r>
        <w:rPr>
          <w:rFonts w:ascii="Times New Roman" w:hAnsi="Times New Roman"/>
          <w:sz w:val="20"/>
        </w:rPr>
        <w:t xml:space="preserve">The negotiation and consummation of the merger may also require more time or greater cash resources than AVROBIO anticipates and exposes AVROBIO to other operational and financial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near-term and long-term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unknown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than expected acquisition or integration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substantial debt or dilutive issuances of equity securities to fund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write-downs of assets or goodwill or incurrence of non-recurring, impairment or other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amortization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and cost in combining the operations and personnel of any acquired business with its operations and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of relationships with key suppliers or customers of any acquired business due to changes in management and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retain key employees of AVROBIO or any acquired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possibility of future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risks could have a material adverse effect on its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corporate restructuring and the associated reduction in workforce may not result in anticipated savings, could result in total costs and expenses that are greater than expected and could disrupt its business.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2022, and then between July 2023 and February 2024, AVROBIO implemented reductions in force that significantly reduced its workforce in order to conserve its capital expenditures. AVROBIO may not realize, in full or in part, the anticipated benefits, savings and improvements in its cost structure from its restructuring efforts due to unforeseen difficulties, delays or unexpected costs. If AVROBIO is unable to realize the expected operational efficiencies and cost savings from the restructuring, its operating results and financial condition will be adversely affected. Furthermore, its restructuring plan may be disruptive to its operations. For example, its headcount reductions could yield unanticipated consequences, such as increased difficulties in implementing its business strategy, including retention of its remaining employees. Employee litigation related to the headcount reduction could be costly and prevent management from fully concentrating on the business. </w:t>
      </w:r>
    </w:p>
    <w:p>
      <w:pPr>
        <w:pStyle w:val="TextBody"/>
        <w:bidi w:val="0"/>
        <w:spacing w:before="240" w:after="0"/>
        <w:jc w:val="left"/>
        <w:rPr>
          <w:rFonts w:ascii="Times New Roman" w:hAnsi="Times New Roman"/>
          <w:sz w:val="20"/>
        </w:rPr>
      </w:pPr>
      <w:r>
        <w:rPr>
          <w:rFonts w:ascii="Times New Roman" w:hAnsi="Times New Roman"/>
          <w:sz w:val="20"/>
        </w:rPr>
        <w:t xml:space="preserve">Any future growth of AVROBIOs business would impose significant added responsibilities on members of management, including the need to identify, recruit, maintain and integrate additional employees. Due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resources, AVROBIO may not be able to effectively manage its operations or recruit and retain qualified personnel, which may result in weaknesses in its infrastructure and operations, risks that AVROBIO may not be able to comply with legal and regulatory requirements, loss of employees and reduced productivity among remaining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and results of AVROBIOs ongoing strategic process are uncertain and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remains dedicated to diligent deliberations and the making of informed decisions that the directors believe are in the best interests of the company and its stockholders. There can be no assurance, however, that the companys current strategic direction, or the AVROBIO Boards evaluation of strategic alternatives, will result in any initiatives, agreements, transactions or plans that will further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In addition, given the substantial restructuring of AVROBIOs operations over the past several years, it may be difficult to evaluate its current business and future prospects on the basis of historical operating performance. </w:t>
      </w:r>
    </w:p>
    <w:p>
      <w:pPr>
        <w:pStyle w:val="TextBody"/>
        <w:bidi w:val="0"/>
        <w:spacing w:before="360" w:after="0"/>
        <w:jc w:val="left"/>
        <w:rPr>
          <w:rFonts w:ascii="Times New Roman" w:hAnsi="Times New Roman"/>
          <w:b/>
          <w:sz w:val="20"/>
        </w:rPr>
      </w:pPr>
      <w:bookmarkStart w:id="28" w:name="toc770053_26"/>
      <w:bookmarkEnd w:id="28"/>
      <w:r>
        <w:rPr>
          <w:rFonts w:ascii="Times New Roman" w:hAnsi="Times New Roman"/>
          <w:b/>
          <w:sz w:val="20"/>
        </w:rPr>
        <w:t xml:space="preserve">Risks Related to the Discovery and Development of AVROBIOs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interruptions resulting from the COVID-19 pandemic or similar public health crises have caused and may in the future cause a disruption of the development of AVROBIOs product candidates and adversely impact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Public health crises such as pandemics, epidemics, or any outbreak of an infectious disease or similar public health crises could adversely impact AVROBIOs business. For example, the COVID-19 pandemic disrupted normal business operations both in and outside of affected areas and has had significant negative impacts on businesses and financial markets worldwide. While AVROBIO currently has no ongoing clinical development activities following AVROBIOs decision to halt its clinical development programs while AVROBIO considers strategic alternatives, AVROBIO continues to monitor AVROBIOs operations and follow applicable government recommendations, and the majority of AVROBIOs employees have adopted a hybrid work schedule which generally limits the number of people in AVROBIOs office at any particular time. Notwithstanding these measures, the COVID-19 pandemic, including potential outbreaks of new variants, or any other public health crisis could affect the health and availability of AVROBIOs workforce as well as those of the third parties on which AVROBIO relies. If members of AVROBIOs management and other key personnel are unable to perform their duties or have limited availability due to any outbreak of an infectious disease or similar public health crises, AVROBIO may not be able to execute on AVROBIOs business strategy and/or AVROBIOs operations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clinical trial activities, should AVROBIO resume any such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AVROBIOs clinical sites, temporarily paused elective procedures, which included dosing of new patients with AVROBIOs investigational gene therapies. While AVROBIO substantially resumed data collection and dosing of new patients until halting AVROBIOs development programs in July 2023, AVROBIOs ability to continue clinical activities without further delay or interruption, should AVROBIO resume development of its programs, will depend on future developments that are highly uncertain and cannot be accurately predicted.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from any public health crisis that may delay or otherwise adversely affect enrollment in or the progress of the clinical trials of AVROBIOs product candidates if AVROBIO resumes development of its programs, as well as AVROBIOs business generally,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diversion of healthcare resources away from the conduct of clinical trials to focus on pandemic concerns, including the attention of physicians serving as AVROBIOs clinical trial investigators, hospitals serving as AVROBIOs clinical trial sites and hospital staff supporting the conduct of AVROBIOs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AVROBIOs clinical trial sites or secure visas or entry permissions, any of which could delay or adversely impact the conduct or progress of AVROBIOs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in global shipping affecting the transport of clinical trial materials, such as patient samples, investigational drug product and conditioning drugs and other supplies used in AVROBIOs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AVROBIOs business operations or those of third party service providers, contractors, or suppliers on whom AVROBIO relies, impair the productivity of AVROBIOs personnel, subject AVROBIO to additional cybersecurity risks, create data accessibility problems, cause AVROBIO to become more susceptible to communication disruptions, or delay necessary interactions with local regulators, ethics committees and other important agencies and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disruptions involving AVROBIOs third parties on whom AVROBIO relies, including contract research organizations (CROs) and other collaborators for the conduct of AVROBIOs clinical trials or AVROBIOs third party suppliers or manufacturers, which could impact their ability to perform adequately or disrupt AVROBIOs supply chain;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hospital or research institution policies or government regulations, which could delay or adversely impact AVROBIOs ability to conduct AVROBIOs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arising from the public health crises could reemerge or worsen and adversely impact AVROBIOs ability to conduct clinical trials and AVROBIOs business generally, and could have a material adverse impact on AVROBIOs operations and financial condition and results. The extent to which any public health crisis impacts AVROBIOs operations or those of AVROBIOs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HSC lentiviral-based gene therapy product candidates are based on a novel technology, which makes it difficult to predict the time and cost of product candidate development and of subsequently obtaining regulatory approval, should AVROBIO resume development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has concentrated AVROBIOs research and development efforts on AVROBIOs HSC gene therapy approach, and should AVROBIO resume development of its product candidates AVROBIOs future success would depend on AVROBIOs successful development of viable gene therapy product candidates. There can be no assurance that AVROBIO will not experience problems or delays in developing new product candidates, should AVROBIO resume development of its product candidates, and that such problems or delays will not cause unanticipated costs, or that any such development problems can be solved. For example, timely enrollment in AVROBIOs clinical trials is dependent upon global clinical trial sites which were adversely affected by the COVID-19 pandemic. In addition, AVROBIO may also experience delays in developing a sustainable, reproducible and scalable manufacturing process or transferring that process to commercial, additional or alternative partners, which should AVROBIO resume development of its product candidates may prevent AVROBIO from completing clinical studies or commercializing AVROBIOs products on a timely or profitable basis, if at all. For example, as of July 12, 2023, the date on which AVROBIO announced that AVROBIO was halting all further development activities in AVROBIOs programs, AVROBIO had dosed 11 patients using AVROBIOs plato platform, including six patients in AVROBIOs FAB-GT clinical trial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AVROBIO previously halted enrollment) and five patients in AVROBIOs Guard1 clinical trial. AVROBIOs implementation of the LV2 lentiviral vector or of AVROBIOs cell processing to an industrialized, automated closed system using disposable supplies may not be successful or may experience unforeseen delays, should AVROBIO resume development of its product candidates, which may cause shortages or delays in the supply of AVROBIOs products available for clinical trials and future commercial sales, if any, or impair AVROBIOs research and development efforts, including those in any future clinical trials. In addition, there is no assurance that preliminary results observed to date in products manufactured using AVROBIOs proprietary LV2 lentiviral vector or manufactured using this automated system will be replicated in future studies or trials, should AVROBIO resume development of any of its product candidates. Furthermore, the FDA generally prefers that clinical trials be double-blinded and potentially include sham controls. Such a trial design could be challenging to implement due to the nature of the treatment regimen of HSC gene therapy.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AVROBIOs can be more expensive and take longer than for other, better known or more extensively studied product candidates. To date, only a limited number of HSC gene therapies have received marketing authorization from the FDA or foreign regulatory authorities. Should AVROBIO resume development of its product candidates, it is difficult to determine how long it would take or how much it would cost to obtain regulatory approvals for those product candidates in the United States, Canada, Europe, Japan or other major markets or how long it would take to commercialize those product candidates, if any were to be approved. Approvals by foreign regulatory authorities may not be indicative of what the FDA may require for approval,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Gene therapy clinical trials conducted at institutions that receive funding for recombinant DNA research from the United States National Institutes of Health (the NIH) also are subject to the NIH Guidelines, under which supervision of human gene transfer trials includes evaluation and assessment by an institutional biosafety committee (IBC) a local institutional committee that reviews and oversees research utilizing recombinant or synthetic nucleic acid molecules at that institution. Before a clinical trial can begin at any institution, that institutions review board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AVROBIOs product candidates should AVROBIO resume their development. Similarly, foreign regulatory authorities may issue new guidelines concerning the development and marketing authorization for gene therapy medicinal products and require that AVROBIO complies with these new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FDA, NIH and the European Medicines Agency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(OTAT) within the Center for Biologics Evaluation and Research (CBER) to consolidate the review of gene therapy and related products, and to advise the CBER on its review. In September 2022, the FDA announced retitling of OTAT to the Office of Therapeutic Products (OTP) and elevation of OTP to a Super Office to meet its growing cell and gene therapy workload. Although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FDA has indicated that this change of name and responsibilities is intended to, among other things, increase review capabilities and enhance expertise on new cell and gene therapies, AVROBIO cannot be certain that this approach will improve the time and cost associated with navigating gene therapy regulatory requirements, AVROBIOs regulatory strategy or the potential success of AVROBIOs product candidates. Such regulatory action and developments could, instead, delay, impede or even prevent commercialization of some or all of AVROBIOs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These regulatory review committees and advisory groups and any new guidelines they promulgate may lengthen the regulatory review process, require AVROBIO to perform additional studies, increase AVROBIOs development costs, lead to changes in regulatory positions and interpretations, delay or prevent approval and commercialization of these product candidates or lead to significant post-approval limitations or restrictions. Should AVROBIO resume development of AVROBIOs product candidates, AVROBIO will be required to consult with these regulatory and advisory groups, and comply with applicable guidelines. If AVROBIO fails to do so, AVROBIO may be required to delay or discontinue development of certain of those product candidates. These additional processes may result in a review and approval process that is longer than AVROBIO otherwise would have expected. Should AVROBIO resume development of its product candidates, the delay or failure to obtain, or unexpected costs in obtaining, the regulatory approval necessary to bring a potential product to market could decrease AVROBIOs ability to generate sufficient product revenue, and AVROBIOs business, financial condition, results of operations and prospects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FDA continues to develop its guidance for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Foreign regulatory agencies also may have requirements for long term follow-up studies of patients following human gene therapy administration.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product candidates and the process for administering AVROBIOs product candidates may cause undesirable side effects or have other properties that, should AVROBIO resume development of its product candidates, could delay or prevent their regulatory approval, limit their commercial potential or result in significant negative consequences following any potential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During the conduct of clinical trials, patients may experience changes in their health, including illnesses, injuries, discomforts or a fatal outcome. It is possible that as AVROBIO tests AVROBIOs product candidates in larger, longer and more extensive clinical programs, or as use of AVROBIOs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AVROBIOs investigational therapies, such as through expanded or Right to Try access or compassionate use, may lead to discovery of undesirable side effects, or other negative consequences that could have adverse impacts on AVROBIOs development programs for AVROBIOs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unless otherwise agreed by the FDA. If additional clinical or long-term follow-up experience indicates that any of AVROBIOs product candidates have side effects or cause serious or life-threatening side effects, AVROBIO may be unable to resume its development programs and any further development of the product candidate may ultimately fail or be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AVROBIOs HSC gene therapy approach has been designed to avoid insertional oncogenesis, there can be no assurance that patients will not experience such adverse effects, including death. Should AVROBIO resume development of its gene therapy product candidates and any of those product candidates demonstrates adverse side effects at unacceptable rates or degrees of severity, AVROBIO may decide or be required to halt or delay clinical development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side effects caused by AVROBIOs product candidates, the conditioning, administration process or related procedures,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 </w:t>
      </w:r>
    </w:p>
    <w:p>
      <w:pPr>
        <w:pStyle w:val="TextBody"/>
        <w:bidi w:val="0"/>
        <w:spacing w:before="240" w:after="0"/>
        <w:jc w:val="left"/>
        <w:rPr>
          <w:rFonts w:ascii="Times New Roman" w:hAnsi="Times New Roman"/>
          <w:sz w:val="20"/>
        </w:rPr>
      </w:pPr>
      <w:r>
        <w:rPr>
          <w:rFonts w:ascii="Times New Roman" w:hAnsi="Times New Roman"/>
          <w:sz w:val="20"/>
        </w:rPr>
        <w:t xml:space="preserve">In 2019, AVROBIO began transitioning, in connection with AVROBIO-sponsored clinical trials, towards a new conditioning regimen for AVROBIOs product candidates utilizing busulfan as the myeloablative conditioning agent instead of the melphalan that AVROBIO previously used. The use of this conditioning regimen AVROBIO designed to utilize a precision dosing program to achieve a balance between the removal of a sufficient amount of bone marrow cells from a patient to aid engraftment of AVROBIOs genetically modified cells against potential risks, such as toxicity or graft failure. AVROBIOs conditioning regimens may not be successful or may nevertheless result in adverse side effects. For example, busulfan, the myeloablative agent most recently used in AVROBIOs conditioning regimen, has been known to carry certain safety risks, including the risk of impairment to fertility in both men and women, and such impairment has been reported in some patients in AVROBIOs clinical trials. Moreover, in each of AVROBIOs previous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unexpected rates or degrees of severity, the FDA or other foreign regulatory authorities could order the cessation of development of, or deny approval of,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Even if AVROBIO is able to demonstrate that adverse events are not product-related, such occurrences could adversely affect patient recruitment (should AVROBIO resume development of its product candidates) or the ability of enrolled patients to complete the clinical trial, and lead to a decline in AVROBIOs stock price.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AVROBIO resume development of its programs and any of AVROBIOs product candidates receives marketing approval, the FDA could require AVROBIO to adopt a Risk Evaluation and Mitigation Strategy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AVROBIO or others later identify undesirable side effects caused by AVROBIOs product candidates, several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suspend or withdraw approvals of such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additional or boxed warnings on the label;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may be required to change the way a product candidate is distributed, dispensed, or administered or conduct additional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could be sued and held liable for harm caused to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AVROBIO from achieving or maintaining market acceptance of AVROBIOs product candidates, lead to a decline in AVROBIOs stock price, and significantly harm AVROBIOs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has never completed a pivotal or registrational clinical trial, and may be unable to do so for any product candidates AVROBIO may develop, should AVROBIO resume development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is at an early stage of development for all of AVROBIOs product candidates, and has currently halted further development of AVROBIOs programs. Twenty-five patients were dosed in AVROBIOs clinical trials, which includes 14 patients from AVROBIOs Fabry program that AVROBIO deprioritized in January 2022, six patients in AVROBIOs cystinosis program that AVROBIO sold to Novartis in June 2023, and five patients in AVROBIOs Gaucher disease type 1 program. Should AVROBIO resume development of its product candidates, further clinical trials must be completed in order to obtain FDA or other regulatory approval to market these product candidates. AVROBIO has limited experience in preparing, submitting and prosecuting regulatory filings, and has not previously submitted a biologics license application (BLA) for any product candidate. Carrying out later-stage clinical trials is a complicated and lengthy process, and AVROBIO does not expect that all data from patients participating in the clinical trials will be relevant or meaningful.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across AVROBIO-sponsored clinical trials AVROBIO has dosed four patients in the United States, and AVROBIOs interactions with the FDA have generally been limited. AVROBIO cannot be certain how many additional clinical trials of any of AVROBIOs product candidates would be required or how such trials should be designed, should AVROBIO resume development of its programs. In order to commence a clinical trial in the United States, AVROBIO is required to seek FDA acceptance of an IND for each of AVROBIOs product candidates. AVROBIO cannot be sure any IND AVROBIO submits to the FDA, or any similar CTA AVROBIO submits in other countries, will be accepted. Should AVROBIO resume development of its product candidates, there can be no assurance that AVROBIO would be able to submit and secure similar clearances for any of AVROBIOs other product candidates. AVROBIO may also be required to conduct additional preclinical testing prior to filing an IND for any of AVROBIOs product candidates, and the results of any such testing may not be positive. Consequently, AVROBIO may be unable to successfully and efficiently execute and complete necessary clinical trials in a way that leads to a BLA submission and approval of any of AVROBIOs product candidates. AVROBIO may require more time and incur greater costs than AVROBIOs competitors and may not succeed in obtaining regulatory approvals of product candidates that AVROBIO develops. Failure to commence or complete, or delays in, the necessary clinical trials, could prevent AVROBIO from or delay AVROBIO in commercializing any of AVROBIOs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Success in preclinical studies or early clinical trials may not be indicative of results obtained in later trials, should AVROBIO resume development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future studies or trials, should AVROBIO resume development of any of its programs. Furthermore, preliminary results may not be indicative of the final results of a trial after all data have been collected and analyzed. For example, in January 2022 AVROBIO announced the deprioritization of AVROBIOs Fabry program due to several factors, including new clinical data showing variable engraftment patterns from the five most recently dosed Phase 2 FAB-GT patients. Although previously reported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13 patients treated across AVROBIOs clinical-stage programs had shown durable engraftment out 9 to 54 months, the new data from the five most recently dosed Phase 2 FAB-GT patients were discordant with these other data and showed variable engraftment. Should AVROBIO resume development of its product candidates, there can be no assurance that similar engraftment or other issues will not occur in clinical trials of AVROBIOs other product candidates, which are all based on AVROBIOs technology and the same HSC approach utilized for AVR-RD-01. </w:t>
      </w:r>
    </w:p>
    <w:p>
      <w:pPr>
        <w:pStyle w:val="TextBody"/>
        <w:bidi w:val="0"/>
        <w:spacing w:before="240" w:after="0"/>
        <w:jc w:val="left"/>
        <w:rPr>
          <w:rFonts w:ascii="Times New Roman" w:hAnsi="Times New Roman"/>
          <w:sz w:val="20"/>
        </w:rPr>
      </w:pPr>
      <w:r>
        <w:rPr>
          <w:rFonts w:ascii="Times New Roman" w:hAnsi="Times New Roman"/>
          <w:sz w:val="20"/>
        </w:rPr>
        <w:t xml:space="preserve">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AVROBIO has limited experience in designing and conducting clinical trials and AVROBIO may be unable to design and execute a clinical trial to support regulatory approval,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AVROBIO also may experience regulatory delays or rejections as a result of many factors, including due to changes in regulatory policy or the approval of competitive therapies during the period of AVROBIOs product candidate development. Should AVROBIO resume development of any of AVROBIOs product candidates, those product candidates may fail to show the desired safety and efficacy in clinical development despite positive results in preclinical studies. Any such failure would cause AVROBIO to abandon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As is typical in open-label studies in which interim reports are provided, the safety and efficacy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find it difficult to enroll patients in AVROBIOs clinical trials, which could delay or prevent AVROBIO from proceeding with clinical trials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the timing and success of AVROBIOs patient enrollment and clinical trial activities would depend on AVROBIOs ability to recruit patients to participate as well as the completion of required follow-up periods. Patients may be unwilling to participate in AVROBIOs gene therapy clinical trials because of negative publicity from adverse events related to the biotechnology or gene therapy fields, competitive clinical trials for similar patient populations, clinical trials in product candidates employing AVROBIOs vectors, the existence of current treatments or for other reasons. In addition, the indications that AVROBIO has targeted and may in the future target are rare diseases, which may limit the pool of patients that may be enrolled in AVROBIOs clinical trials. Should AVROBIO resume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its product candidates, the timeline for recruiting patients, conducting studies and obtaining regulatory approval of AVROBIOs product candidates may be delayed, which could result in increased costs, delays in advancing AVROBIOs product candidates, delays in testing the effectiveness of AVROBIOs product candidates or termination of the clinical trials altogether. Should AVROBIO resume development of its product candidates, AVROBIO may not be able to identify, recruit and enroll a sufficient number of patients, or those with required or desired characteristics, to complete AVROBIOs clinical trials in a timely manner or at all. There can be no assurance AVROBIO will achieve that goal or any of AVROBIOs other patient enrollment goals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and trial completion is affected by factors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of the patient population and process for identifying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of the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gene therapy-based approaches to treatment of diseases, including any required pretreatment conditioning regimens;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competing therapies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genetic testing for potential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subject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monitor patients adequately during and after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historically expanded AVROBIOs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AVROBIO has encountered and, should AVROBIO resume development of its product candidates,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AVROBIOs progress and completion of planned clinical trials and which would have an adverse effect on AVROBIOs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 </w:t>
      </w:r>
    </w:p>
    <w:p>
      <w:pPr>
        <w:pStyle w:val="TextBody"/>
        <w:bidi w:val="0"/>
        <w:spacing w:before="240" w:after="0"/>
        <w:jc w:val="left"/>
        <w:rPr>
          <w:rFonts w:ascii="Times New Roman" w:hAnsi="Times New Roman"/>
          <w:sz w:val="20"/>
        </w:rPr>
      </w:pPr>
      <w:r>
        <w:rPr>
          <w:rFonts w:ascii="Times New Roman" w:hAnsi="Times New Roman"/>
          <w:sz w:val="20"/>
        </w:rPr>
        <w:t xml:space="preserve">AVROBIOs product candidates were being developed to treat rare conditions. Should AVROBIO resume development of its product candidates, AVROBIO would expect to seek initial marketing approvals in the United States, Europe and certain other major markets, including Japan. However, AVROBIO may not be able to resume, initiate or continue clinical trials if AVROBIO cannot enroll a sufficient number of eligible patients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participate in the clinical trials required by FDA or other foreign regulatory authorities. AVROBIOs ability to successfully resume, initiate, enroll and complete a clinical trial in any foreign country is subject to numerous risks unique to conducting business in foreign countries,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in establishing or managing relationships with contract research organizations (CROs) clinical study sites and physicians;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standards for the conduct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in some countries of established groups with sufficient regulatory expertise for review of gene therapy protocols;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inability to locate qualified local consultants, physicians and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burden of complying with a variety of foreign laws, medical standards and regulatory requirements, including the regulation of pharmaceutical and biotechnology products and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if AVROBIO has difficulty enrolling a sufficient number of patients to conduct AVROBIOs clinical trials, AVROBIO may need to delay, limit or terminate the resumption or continuation of clinical trials, any of which would have an adverse effect on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encounter substantial delays in resuming its clinical trials or AVROBIO may fail to demonstrate safety and efficacy to the satisfaction of applicable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AVROBIOs product candidates, AVROBIO must conduct extensive clinical studies to demonstrate the safety and efficacy of the product candidates in humans. Clinical testing is expensive, time-consuming and uncertain as to outcome. Should AVROBIO resume development of its product candidates, AVROBIO cannot guarantee that any clinical studies will be conducted as planned or completed on schedule, if at all. A failure of one or more clinical studies can occur at any stage of testing. Events that may prevent successful or timely completion of clinical development, should AVROBIO resume any clinical development programs,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on study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prospective CROs and clinical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required IRB approval at each clinical study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suitable patients to participate in AVROBIOs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clinical hold by regulatory agencies, after an inspection of AVROBIOs clinical study operations or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AVROBIOs CROs, other third parties or AVROBIO to adhere to clinical study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in accordance with the FDAs good clinical practices (GCP) or applicable regulatory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the testing, validation, manufacturing and delivery of AVROBIOs product candidates to the clinical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having patients complete participation in a study or return for post-treatment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study sites or patients dropping out of a study;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serious adverse events associated with the product candidate that are viewed to outweigh its potential benefits;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and guidance that require amending or submitting new clinical protocols.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any inability to successfully complete preclinical and clinical development could result in additional costs to AVROBIO or impair AVROBIOs ability to generate revenues. In addition, if AVROBIO makes changes to AVROBIOs product candidates, or if collaborator-sponsored trials utilize different materials or manufacturing processes from AVROBIOs to generate data, AVROBIO may need to conduct additional studies to compare or bridge AVROBIOs modified product candidates to earlier versions, which could delay AVROBIOs clinical development plan or marketing approval for AVROBIOs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following such resumption, if the results of AVROBIOs clinical studies are inconclusive or if there are safety concerns or adverse events associated with AVROBIOs product candidates, AVROBIO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delayed in obtaining marketing approval for AVROBIOs product candidates,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or a REMS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subject to changes with the way the product is administered;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required to perform additional clinical studies to support approval or be subject to additional post-marketing testing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regulatory authorities withdraw their approval of the product or impose restrictions on its distribution in the form of a REMS;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subject to the addition of labeling statements, such as warnings or contraindications;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damage to AVROBIOs reputation.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AVROBIO from achieving or maintaining market acceptance of AVROBIOs product candidates and impair AVROBIOs ability to commercialize AVROBIOs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even if AVROBIO completes the necessary preclinical and clinical studies, AVROBIO cannot predict whether or when AVROBIO would be able to obtain regulatory approval to commercialize a product candidate, and any approval could be for a narrower indication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AVROBIO cannot commercialize a product until the appropriate regulatory authorities have reviewed and approved the product candidate. Even if AVROBIO resumes development of its product candidates and they are able to demonstrate safety and efficacy in clinical studies to support submitting such programs for marketing approval, the regulatory agencies may not complete their review processes in a timely manner, or AVROBIO may not be able to obtain regulatory approval. Additional delays may result if an FDA Advisory Committee or other regulatory authority recommends non-approval or restrictions on approval. In addition, AVROBIO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regulatory agencies may not approve the labeling claims that are necessary or desirable for the successful commercialization of AVROBIOs product candidates. If AVROBIO is unable to obtain necessary regulatory approvals or labeling claims, AVROBIOs business, prospects, financial condition and results of operations would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commercially-scalable plato platform has been used in only two of AVROBIOs clinical trials and clinical development has been halted. </w:t>
      </w:r>
    </w:p>
    <w:p>
      <w:pPr>
        <w:pStyle w:val="TextBody"/>
        <w:bidi w:val="0"/>
        <w:spacing w:before="120" w:after="0"/>
        <w:jc w:val="left"/>
        <w:rPr>
          <w:rFonts w:ascii="Times New Roman" w:hAnsi="Times New Roman"/>
          <w:sz w:val="20"/>
        </w:rPr>
      </w:pPr>
      <w:r>
        <w:rPr>
          <w:rFonts w:ascii="Times New Roman" w:hAnsi="Times New Roman"/>
          <w:sz w:val="20"/>
        </w:rPr>
        <w:t xml:space="preserve">While AVROBIO has submitted and, should AVROBIO resume development of its product candidates, intends to continue to submit comparability studies to the FDA and other regulatory agencies, as needed, with respect to AVROBIOs implementation of AVROBIOs scalable plato platform, there can be no assurance that the FDA or other regulatory agencies will not in the future require AVROBIO to conduct additional preclinical studies or clinical trials that could result in delays and additional costs in AVROBIOs development or commercialization programs for AVROBIOs product candidates, which could adversely affect AVROBIOs business. Should AVROBIO resume development of its product candidates, AVROBIO intends to continue implementing AVROBIOs scalable plato platform, including heightened vector efficiency, AVROBIOs closed, automated manufacturing system and utilization of a customized conditioning regimen, in connection with each of AVROBIOs investigational product candidates. AVROBIO has developed the plato platform to form the backbone of AVROBIOs commercial programs, with the intent of replacing AVROBIOs original academic platforms with improved solutions for delivering AVROBIOs gene therapy candidates to patients in multiple disease indications. In order to implement this transition, AVROBIO was and would continue to be required to conduct additional studies to bridge AVROBIOs modified product candidates to earlier versions, including any earlier version that may have been utilized in a collaborator-sponsored clinical study, which could delay clinical development or marketing approvals. Clinical trial delays could also shorten any periods during which AVROBIO may have the exclusive right to commercialize AVROBIOs product candidates, if approved, or allow AVROBIOs competitors to bring products to market before AVROBIO does, which could impair AVROBIOs ability to successfully commercialize AVROBIOs product candidates and may harm AVROBIOs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faces significant competition in AVROBIOs industry and, should AVROBIO resume development of its product candidates, there can be no assurance that AVROBIOs product candidates, if approved, will achieve acceptance in the market over existing established therapies. In addition, AVROBIOs competitors may develop therapies that are more advanced or effective than AVROBIOs, which may adversely affect AVROBIOs ability to successfully market or commercialize any of AVROBIOs product candidates, should AVROBIO resume development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operates in a highly competitive segment of the biopharmaceutical market. AVROBIO faces competition from many different sources, including larger pharmaceutical, specialty pharmaceutical and biotechnology companies, as well as from academic institutions, government agencies and private and public research institutions. Should AVROBIO resume development of its product candidates, AVROBIOs product candidates, if successfully developed and approved, will compete with established therapies, some of which are being marketed by large and international companies. In addition, should AVROBIO resume development of its product candidates, AVROBIO expects to compete with new treatments that are under development or may be advanced into the clinic by AVROBIOs competitors. There are a variety of product candidates, including gene therapies, in development for the indications that AVROBIO is targeting.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anticipates competing with biotechnology and pharmaceutical companies, many of which may have significantly greater resources than AVROBIO does. For example, for Gaucher disease, Sanofi, Pfizer, and Takeda market existing ERTs that represent the standard of care for Gaucher patients. For Gaucher disease AVROBIO also expects that AVROBIO would compete with oral therapies marketed by Johnson &amp; Johnson and Sanofi. Sanofi also markets an enzyme replacement therapy for Pompe disease. In addition, AVROBIO may compete with other gene therapy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AVROBIOs industry. Moreover, a number of gene therapy companies have announced preclinical or clinical non-viral and adeno-associated viral based gene therapy programs that, if successful in obtaining regulatory approval, could compete with AVROBIOs gene therapies. </w:t>
      </w:r>
    </w:p>
    <w:p>
      <w:pPr>
        <w:pStyle w:val="TextBody"/>
        <w:bidi w:val="0"/>
        <w:spacing w:before="240" w:after="0"/>
        <w:jc w:val="left"/>
        <w:rPr>
          <w:rFonts w:ascii="Times New Roman" w:hAnsi="Times New Roman"/>
          <w:sz w:val="20"/>
        </w:rPr>
      </w:pPr>
      <w:r>
        <w:rPr>
          <w:rFonts w:ascii="Times New Roman" w:hAnsi="Times New Roman"/>
          <w:sz w:val="20"/>
        </w:rPr>
        <w:t xml:space="preserve">Many of AVROBIOs competitors have significantly greater financial, product candidate development, manufacturing and marketing resources than AVROBIO does.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AVROBIO develops obsolete. Competition may increase further as a result of advances in the commercial applicability of technologies and greater availability of capital for investment in these industries. AVROBIOs business would be materially and adversely affected if competitors develop and commercialize products that are safer, more effective, have fewer or less severe side effects, have broader market acceptance, are more convenient or are less expensive than any product candidate that AVROBIO may develop. </w:t>
      </w:r>
    </w:p>
    <w:p>
      <w:pPr>
        <w:pStyle w:val="TextBody"/>
        <w:bidi w:val="0"/>
        <w:spacing w:before="240" w:after="0"/>
        <w:jc w:val="left"/>
        <w:rPr>
          <w:rFonts w:ascii="Times New Roman" w:hAnsi="Times New Roman"/>
          <w:sz w:val="20"/>
        </w:rPr>
      </w:pPr>
      <w:r>
        <w:rPr>
          <w:rFonts w:ascii="Times New Roman" w:hAnsi="Times New Roman"/>
          <w:sz w:val="20"/>
        </w:rPr>
        <w:t xml:space="preserve">Even if AVROBIO obtains regulatory approval of AVROBIOs product candidates, the availability and price of AVROBIOs competitors products could limit the demand and the price AVROBIO is able to charge for AVROBIOs product candidates. AVROBIO may not be able to implement AVROBIOs business plan if the acceptance of AVROBIOs product candidates is inhibited by price competition or the reluctance of physicians to switch from existing methods of treatment to AVROBIOs product candidates, or if physicians switch to other new drug or biologic products or choose to reserve AVROBIOs product candidates for use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would expect to seek designations for AVROBIOs product candidates with the FDA and comparable foreign regulatory authorities that are intended to confer benefits such as a faster development process or an accelerated regulatory pathway. However, there can be no assurance that AVROBIO could successfully obtain such designations. In addition, even if one or more of AVROBIOs product candidates are granted such designations, AVROBIO may not be able to realize the intended benefits of such designations. </w:t>
      </w:r>
    </w:p>
    <w:p>
      <w:pPr>
        <w:pStyle w:val="TextBody"/>
        <w:bidi w:val="0"/>
        <w:spacing w:before="240" w:after="0"/>
        <w:jc w:val="left"/>
        <w:rPr>
          <w:rFonts w:ascii="Times New Roman" w:hAnsi="Times New Roman"/>
          <w:sz w:val="20"/>
        </w:rPr>
      </w:pPr>
      <w:r>
        <w:rPr>
          <w:rFonts w:ascii="Times New Roman" w:hAnsi="Times New Roman"/>
          <w:sz w:val="20"/>
        </w:rPr>
        <w:t xml:space="preserve">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AVROBIO will successfully obtain such designations for any of AVROBIOs product candidates. In addition, while such designations could expedite the development or approval process, they generally do not change the standards for approval. Even if AVROBIO obtains such designations for one or more of AVROBIOs product candidates, there can be no assurance that AVROBIO will realize their intended benefits. </w:t>
      </w:r>
    </w:p>
    <w:p>
      <w:pPr>
        <w:pStyle w:val="TextBody"/>
        <w:bidi w:val="0"/>
        <w:spacing w:before="240" w:after="0"/>
        <w:jc w:val="left"/>
        <w:rPr>
          <w:rFonts w:ascii="Times New Roman" w:hAnsi="Times New Roman"/>
          <w:sz w:val="20"/>
        </w:rPr>
      </w:pPr>
      <w:r>
        <w:rPr>
          <w:rFonts w:ascii="Times New Roman" w:hAnsi="Times New Roman"/>
          <w:sz w:val="20"/>
        </w:rPr>
        <w:t xml:space="preserve">AVROBIO may seek a Breakthrough Therapy Designation for some of AVROBIOs product candidates should AVROBIO resume development of its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AVROBIO believes one of AVROBIOs product candidates meets the criteria for designation as a breakthrough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AVROBIOs product candidates qualify as breakthrough therapies, the FDA may later decide that such product candidates no longer meet the conditions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seek an accelerated approval pathway for one or more of AVROBIOs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prior to seeking accelerated approval, AVROBIO would expect to seek feedback from the FDA or comparable foreign regulatory authorities and would otherwise evaluate AVROBIOs ability to seek and receive such accelerated approval. There can be no assurance that after AVROBIOs evaluation of the feedback and other factors AVROBIO would decide to pursue or submit a BLA for accelerated approval or any other form of expedited development, review or approval. Similarly, there can be no assurance that after subsequent feedback from the FDA or comparable foreign regulatory authorities, AVROBIO would continue to pursue or apply for accelerated approval or any other form of expedited development, review or approval, even if AVROBIO initially decides to do so. Furthermore, if AVROBIO decides to submit an application for accelerated approval, there can be no assurance that such application will be accepted or that any approval will be granted on a timely basis, or at all. The FDA, EMA or other comparable foreign regulatory authorities could also require AVROBIO to conduct further studies prior to considering AVROBIOs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AVROBIOs product candidate would result in a longer time period to commercialization of such product candidate, could increase the cost of development of such product candidate and could harm AVROBIOs competitive position in the marketplace. Moreover, even if AVROBIO is able to obtain accelerated approval for any of AVROBIOs product candidates, there is no guarantee that post-approval studies will be able to confirm the clinical benefit, which could cause FDA to withdraw AVROBIOs approval.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also pursue programs or designations from foreign regulatory authorities, such as the UKs Innovative Licensing and Access Pathway (ILAP) which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its product candidates, AVROBIO may seek Fast Track designation for some of AVROBIOs product candidates. If a therapy is intended for the treatment of a serious or life-threatening condition and the therapy demonstrates the potential to address unmet medical needs for this condition, the therapy sponsor may apply for Fast Track designation. However, the FDA has broad discretion whether or not to grant Fast Track designation, so even if AVROBIO believes a product candidate is eligible for this designation, there can be no assurance that the FDA would decide to grant it. Even if AVROBIO does receive Fast Track designation, AVROBIO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AVROBIOs clinical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AVROBIOs product candidates, AVROBIO may seek a regenerative medicine advanced therapy (RMAT) designation for some of AVROBIOs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AVROBIO believes one of AVROBIOs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AVROBIOs product candidates qualify for RMAT designation, the FDA may later decide that the biological products no longer meet the conditions for qualification.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be unable to obtain orphan drug designation for AVROBIOs product candidates and, even if AVROBIO obtains such designation, AVROBIO may not be able to realize the benefits of such designation, including potential marketing exclusivity of AVROBIOs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European Commission grants an orphan designation in respect of a product after receiving the opinion of the EMAs Committee for Orphan Medicinal Products on an orphan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 application. Orphan designation in the European Union may be granted to products where the sponsor can establish that such product is intended for the diagnosis, prevention or treatment of a life-threatening or chronically debilitating condition affecting not more than 5 in 10,000 persons in the European Union when the application is made. Additionally, orphan designation may be granted for products intended for the diagnosis, prevention or treatment of a life-threatening, seriously debilitating or serious and chronic condition when, without incentives, it is unlikely that sales of the product would generate sufficient returns in the European Union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would be of a significant benefit to those affected by the condition. </w:t>
      </w:r>
    </w:p>
    <w:p>
      <w:pPr>
        <w:pStyle w:val="TextBody"/>
        <w:bidi w:val="0"/>
        <w:spacing w:before="240" w:after="0"/>
        <w:jc w:val="left"/>
        <w:rPr>
          <w:rFonts w:ascii="Times New Roman" w:hAnsi="Times New Roman"/>
          <w:sz w:val="20"/>
        </w:rPr>
      </w:pPr>
      <w:r>
        <w:rPr>
          <w:rFonts w:ascii="Times New Roman" w:hAnsi="Times New Roman"/>
          <w:sz w:val="20"/>
        </w:rPr>
        <w:t xml:space="preserve">If AVROBIO requests orphan drug designation (or the foreign equivalent) for any other product candidates, there can be no assurances that the FDA or applicable foreign regulatory authorities will grant such designation. Additionally, the designation of any of AVROBIOs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AVROBIOs product candidates prior to AVROBIOs product candidates receiving exclusive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AVROBIO does (regardless of AVROBIOs orphan drug designation), AVROBIO will be precluded from receiving marketing approval for AVROBIOs product for the applicable exclusivity period. The applicable period is seven years in the United States and 10 years in the European Union. The exclusivity period in the European Union can be reduced to six years, if at the end of the fifth year, a product no longer meets the criteria for orphan designation or if the product is sufficiently profitable so that market exclusivity is no longer justified. The European Commission introduced a legislative proposal in April 2023 that, if implemented, could reduce the current ten-year marketing exclusivity period in the European Union for certain orphan medicines. Orphan drug exclusivity may be revoked if any regulatory agency determines that the request for designation was materially defective or if the manufacturer is unable to assure sufficient quantity of the product to meet the needs of patients with the rare disease or condition. </w:t>
      </w:r>
    </w:p>
    <w:p>
      <w:pPr>
        <w:pStyle w:val="TextBody"/>
        <w:bidi w:val="0"/>
        <w:spacing w:before="240" w:after="0"/>
        <w:jc w:val="left"/>
        <w:rPr>
          <w:rFonts w:ascii="Times New Roman" w:hAnsi="Times New Roman"/>
          <w:sz w:val="20"/>
        </w:rPr>
      </w:pPr>
      <w:r>
        <w:rPr>
          <w:rFonts w:ascii="Times New Roman" w:hAnsi="Times New Roman"/>
          <w:sz w:val="20"/>
        </w:rPr>
        <w:t xml:space="preserve">Even if AVROBIO obtains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a marketing authorization may be granted to a similar medicinal product for the same orphan indication at any time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applicant can establish in its application that its medicinal product, although similar to the orphan medicinal product already authorized, is safer, more effective or otherwise clinically superior;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the marketing authorization for the original orphan medicinal product consents to a second orphan medicinal product application;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the marketing authorization for the original orphan medicinal product cannot supply sufficient quantities of orphan medicinal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 marketing application for a product candidate with rare pediatric disease designation ( RPDD), if approved, may not meet the eligibility criteria for a Priority Review Voucher (PRV), or the RPDD program may sunset before the FDA is able to consider eligibility for a voucher. </w:t>
      </w:r>
    </w:p>
    <w:p>
      <w:pPr>
        <w:pStyle w:val="TextBody"/>
        <w:bidi w:val="0"/>
        <w:spacing w:before="120" w:after="0"/>
        <w:jc w:val="left"/>
        <w:rPr>
          <w:rFonts w:ascii="Times New Roman" w:hAnsi="Times New Roman"/>
          <w:sz w:val="20"/>
        </w:rPr>
      </w:pPr>
      <w:r>
        <w:rPr>
          <w:rFonts w:ascii="Times New Roman" w:hAnsi="Times New Roman"/>
          <w:sz w:val="20"/>
        </w:rPr>
        <w:t xml:space="preserve">Designation of a drug or biologic as a product for a rare pediatric disease does not guarantee that a BLA for such drug or biologic will meet the eligibility criteria for a rare pediatric disease PRV at the time the application is approved. Under the Federal Food, Drug, and Cosmetic Act (FD&amp;C Act), should AVROBIO resume development of AVROBIOs product candidates, AVROBIO would need to request a rare pediatric disease PRV in AVROBIOs original BLA for any of AVROBIOs product candidates that previously received RPDD. The FDA may determine that any such BLA, if approved, does not meet the eligibility criteria for a PRV, including for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disease indication no longer meets the definition of a rare pediatric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BLA contains an active ingredient that has been previously approved in a BLA;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BLA is not deemed eligible for priority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BLA is approved for a different adult indication than the rare pediatric disease for which the product candidate is designated.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authority for the FDA to award rare pediatric disease PRVs for drugs that have received rare pediatric disease designation prior to September 30, 2024 currently expires on September 30, 2026. If the BLA for any of AVROBIOs product candidates with RPDD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even if AVROBIO obtains regulatory approval for a product candidate, AVROBIOs products will remain subject to regulatory oversight.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even if AVROBIO obtains any regulatory approval for AVROBIOs product candidates, they will be subject to ongoing regulatory requirements for manufacturing, labeling, packaging, storage, advertising, promotion, sampling, record-keeping and submission of safety and other post-market information. Any regulatory approvals that AVROBIO receives for AVROBIOs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unless otherwise agreed by the FDA.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product manufacturers and their facilities are subject to payment of user fees and continual review and periodic inspections by the FDA and other regulatory authorities for compliance with current good manufacturing practices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manufacturing procedures conform to cGMP regulations and applicable product tracking and tracing requirements. If AVROBIO,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AVROBIO, including requiring recall or withdrawal of the product from the market or suspension of manufacturing.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comply with applicable regulatory requirements following approval of any of AVROBIOs product candidates, a regulatory authority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 warning letter asserting that AVROBIO is in violation of the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an injunction or impose administrative, civil or criminal penalties or monetary fines;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or withdraw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any ongoing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approve a pending BLA or comparable foreign marketing application (or any supplements thereto) submitted by AVROBIO or AVROBIOs strategic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the marketing or manufacturing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seize or detain the product or otherwise require the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permit the import or export of products;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allow AVROBIO to enter into supply contracts, including government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government investigation of alleged violations of law could require AVROBIO to expend significant time and resources in response and could generate negative publicity. The occurrence of any event or penalty described above may inhibit AVROBIOs ability to commercialize AVROBIOs product candidates and adversely affect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FDAs policies, and those of equivalent foreign regulatory agencies, may change and additional government regulations may be enacted that could prevent, limit or delay regulatory approval of AVROBIOs product candidates. AVROBIO cannot predict the likelihood, nature or extent of government regulation that may arise from future legislation or administrative action, either in the United States or abroad. If AVROBIO is slow or unable to adapt to changes in existing requirements or the adoption of new requirements or policies, or if AVROBIO is not able to maintain regulatory compliance, AVROBIO may lose any marketing approval that AVROBIO may have obtained and AVROBIO may not achieve or sustain profitability, which would materially and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AVROBIOs focus on developing such product candidates may not yield any commercially viable products, and AVROBIOs failure to successfully identify and develop additional product candidates could impair AVROBIOs ability to grow. </w:t>
      </w:r>
    </w:p>
    <w:p>
      <w:pPr>
        <w:pStyle w:val="TextBody"/>
        <w:bidi w:val="0"/>
        <w:spacing w:before="120" w:after="0"/>
        <w:jc w:val="left"/>
        <w:rPr>
          <w:rFonts w:ascii="Times New Roman" w:hAnsi="Times New Roman"/>
          <w:sz w:val="20"/>
        </w:rPr>
      </w:pPr>
      <w:r>
        <w:rPr>
          <w:rFonts w:ascii="Times New Roman" w:hAnsi="Times New Roman"/>
          <w:sz w:val="20"/>
        </w:rPr>
        <w:t xml:space="preserve">While AVROBIO initially pursued a growth strategy to identify, develop and market additional product candidates, AVROBIO has halted further development of AVROBIOs programs and, should AVROBIO resume development of its product candidates, AVROBIO does not anticipate actively seeking additional product candidates beyond AVROBIOs existing product candidates. Should AVROBIO resume development of its product candidates, AVROBIO may spend several years completing AVROBIOs development of any particular product candidates, and failure can occur at any stage. The product candidates to which AVROBIO allocates AVROBIOs resources may not end up being successful. Because AVROBIO has limited resources, AVROBIO may forego or delay pursuit of opportunities with certain programs or product candidates or for indications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prove to have greater commercial potential than AVROBIOs product candidates. AVROBIOs spending on any future research and development programs may not yield any commercially viable product candidates. Should AVROBIO resume development of its product candidates, if AVROBIO does not accurately evaluate the commercial potential for a particular product candidate, AVROBIO may relinquish valuable rights to that product candidate through strategic collaborations, licensing or other arrangements in cases in which it would have been more advantageous for AVROBIO to retain sole development and commercialization rights to such product candidate. If any of these events occur, AVROBIO may be forced to abandon AVROBIOs development efforts with respect to a particular product candidate or fail to develop a potentially successful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its product candidates, certain of AVROBIOs product candidates may not demonstrate in patients any or all of the pharmacological benefits AVROBIO believes they may possess or compare favorably to existing, approved therapies, such as ERT. AVROBIO has not yet succeeded and may never succeed in demonstrating efficacy and safety of AVROBIOs product candidates in clinical trials or in obtaining marketing approval thereafter. Accordingly, AVROBIOs focus on treating these diseases may not result in the development of commercially viable products.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if AVROBIO is unsuccessful in AVROBIOs development efforts, AVROBIO may not be able to advance the development of AVROBIOs product candidates, commercialize products, raise capital, expand AVROBIOs business or continue AVROBIOs operations. </w:t>
      </w:r>
    </w:p>
    <w:p>
      <w:pPr>
        <w:pStyle w:val="TextBody"/>
        <w:bidi w:val="0"/>
        <w:spacing w:before="360" w:after="0"/>
        <w:jc w:val="left"/>
        <w:rPr>
          <w:rFonts w:ascii="Times New Roman" w:hAnsi="Times New Roman"/>
          <w:b/>
          <w:sz w:val="20"/>
        </w:rPr>
      </w:pPr>
      <w:bookmarkStart w:id="29" w:name="toc770053_27"/>
      <w:bookmarkEnd w:id="29"/>
      <w:r>
        <w:rPr>
          <w:rFonts w:ascii="Times New Roman" w:hAnsi="Times New Roman"/>
          <w:b/>
          <w:sz w:val="20"/>
        </w:rPr>
        <w:t xml:space="preserve">Risks Related to Manufacturing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 therapies are novel, complex and difficult to manufacture. Should AVROBIO resume development of its product candidates, AVROBIO could experience production problems that result in delays in AVROBIOs development or commercialization programs or otherwise adversely affect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The manufacturing process AVROBIO uses to produce AVROBIOs product candidates is complex, novel and has not been validated for commercial use. Should AVROBIO resume development of its product candidates, several factors could cause production interruptions, including equipment malfunctions, facility contamination, raw material shortages or contamination, natural disasters, disruption in utility services, human error or disruptions in the operations of AVROBIOs suppliers. </w:t>
      </w:r>
    </w:p>
    <w:p>
      <w:pPr>
        <w:pStyle w:val="TextBody"/>
        <w:bidi w:val="0"/>
        <w:spacing w:before="240" w:after="0"/>
        <w:jc w:val="left"/>
        <w:rPr>
          <w:rFonts w:ascii="Times New Roman" w:hAnsi="Times New Roman"/>
          <w:sz w:val="20"/>
        </w:rPr>
      </w:pPr>
      <w:r>
        <w:rPr>
          <w:rFonts w:ascii="Times New Roman" w:hAnsi="Times New Roman"/>
          <w:sz w:val="20"/>
        </w:rPr>
        <w:t xml:space="preserve">AVROBIOs product candidates require processing steps that are more complex than those required for most chemical pharmaceuticals. Moreover, unlike chemical pharmaceuticals, the physical and chemical properties of a biologic such as AVROBIOs generally cannot be fully characterized. As a result, assays of the finished product may not be sufficient to ensure that the product will perform in the intended manner. Accordingly, AVROBIO and AVROBIOs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AVROBIO may encounter problems achieving adequate quantities and quality of clinical-grade materials that meet FDA or other applicable regulatory standards or specifications with consistent and acceptable production yields and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 and other foreign regulatory authorities may require AVROBIO to submit samples of any lot of any approved product together with the protocols showing the results of applicable tests at any time. Under some circumstances, the FDA or other foreign regulatory authorities may require that AVROBIO not distribute a lot until the agency authorizes its release. Even slight deviations in the manufacturing process, including those affecting quality attributes and stability, may result in unacceptable changes in the product that could result in lot failures or product recalls. Should AVROBIO resume development of AVROBIOs product candidates, there is no assurance AVROBIO will not experience lot failures in the future. Lot failures or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recalls could cause AVROBIO to delay clinical trials, or, if approved, commercial product launches, which could be costly to AVROBIO and otherwise harm AVROBIOs business, financial condition, results of operations and prospects. AVROBIOs manufacturing process relies on a platform structure, which AVROBIO refers to as AVROBIOs plato platform, and, if AVROBIO experiences delays, deviations or failures that impact that platform, such delays, deviations or failures could have an adverse impact on AVROBIOs development products or future commercialization programs. </w:t>
      </w:r>
    </w:p>
    <w:p>
      <w:pPr>
        <w:pStyle w:val="TextBody"/>
        <w:bidi w:val="0"/>
        <w:spacing w:before="360" w:after="0"/>
        <w:jc w:val="left"/>
        <w:rPr>
          <w:rFonts w:ascii="Times New Roman" w:hAnsi="Times New Roman"/>
          <w:b/>
          <w:sz w:val="20"/>
        </w:rPr>
      </w:pPr>
      <w:bookmarkStart w:id="30" w:name="toc770053_28"/>
      <w:bookmarkEnd w:id="30"/>
      <w:r>
        <w:rPr>
          <w:rFonts w:ascii="Times New Roman" w:hAnsi="Times New Roman"/>
          <w:b/>
          <w:sz w:val="20"/>
        </w:rPr>
        <w:t xml:space="preserve">Risks Related to AVROBIOs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AVROBIO expects to rely on third parties to conduct some or all aspects of AVROBIOs vector production, product manufacturing, protocol development, research and preclinical and clinical testing, and these third parties may not perform satisfactorily.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does not expect to independently conduct AVROBIOs vector production, product manufacturing, protocol development, research and preclinical and clinical testing. AVROBIO has historically relied, and, should AVROBIO resume development of its product candidates, expects to continue to rely, on third parties with respect to these items. Any of these third parties may terminate their engagements with AVROBIO or renegotiate the terms of AVROBIOs agreements at any time. If AVROBIO needs to enter into alternative arrangements, it could delay AVROBIOs product development activities. AVROBIOs reliance on these third parties for research and development activities will reduce AVROBIOs control over these activities but will not relieve AVROBIO of AVROBIOs responsibility to ensure compliance with all required regulations and study protocols. For example, for product candidates that AVROBIO develops and commercializes on AVROBIOs own, AVROBIO will remain responsible for ensuring that each of AVROBIOs preclinical and clinical studies are conducted in accordance with the study plan, protocols and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Even with relevant experience and expertise, AVROBIOs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AVROBIO cannot make any assurances that these difficulties will not occur in the future, or that AVROBIO will be able to resolve or address them in a timely manner or at all as problems arise.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if AVROBIOs contract counterparties do not successfully carry out their contractual duties, meet expected deadlines or conduct AVROBIOs studies in accordance with regulatory requirements or AVROBIOs stated study plans and protocols, AVROBIO will not be able to complete, or may be delayed in completing, the preclinical and clinical studies required to support approval of AVROBIOs product candidates or the FDA or other regulatory agencies may refuse to accept AVROBIOs clinical or preclinical data.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reliance on third-party manufacturers entails risks to which AVROBIO would not be subject if AVROBIO manufactured the product candidates itself,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negotiate manufacturing agreements with third parties under commercially reasonable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control as a result of using third-party manufacturers for all aspects of manufacturing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manufacturing agreements with third parties in a manner or at a time that is costly or damaging to AVROBIO;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the operations of AVROBIOs third-party manufacturers or suppliers caused by conditions unrelated to AVROBIOs business or operations, including the impact of the COVID-19 pandemic or the bankruptcy of the manufacturer or supplier.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lead to delays of AVROBIOs preclinical and clinical studies or failure to obtain regulatory approval, or impact AVROBIOs ability to successfully commercialize future products. Some of these events could be the basis for FDA action, including injunction, recall, seizure or total or partial suspension of production.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has historically relied, and, should AVROBIO resume development of its product candidates, expects to continue to rely, on sole source suppliers for AVROBIOs automated, closed cell processing system; vector supply; plasmid supply; cell culture media supply; and drug product manufacturing. In addition, AVROBIO is dependent on a limited number of suppliers for some of AVROBIOs other components and materials used in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has moved AVROBIOs cell processing to an automated, closed system with a sole source supplier. In addition, AVROBIO has historically relied, and, should AVROBIO resume development of its product candidates, expect to continue to rely, on sole source suppliers for vector supply, plasmid supply and cell culture media, as well as drug product manufacturing for AVROBIO-sponsored clinical trials. Should AVROBIO resume development of its product candidates, AVROBIOs sole source suppliers may be unwilling or unable to supply product to AVROBIO reliably, continuously or at the levels AVROBIO anticipates or are required by AVROBIOs clinical trial activities. Such suppliers could still delay, suspend, or terminate supply of product to AVROBIO for a number of reasons, including manufacturing or quality issues, payment disputes with AVROBIO, intellectual property disputes with third parties, bankruptcy or insolvency, earthquakes or other natural disasters or other occurrences.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AVROBIO depends on a limited number of suppliers for some of the other components necessary for AVROBIOs product candidates. Should AVROBIO resume development of its product candidates, AVROBIO cannot be sure that any of AVROBIOs suppliers will remain in business, or that they will not be purchased by one of AVROBIOs competitors or another company that is not interested in continuing to produce these materials for AVROBIOs intended purpose. AVROBIOs use of a sole source or limited number of suppliers of raw materials, components and finished goods exposes AVROBIO to several risks, including disruptions in supply, price increases, late deliveries and an inability to meet customer demand. There are, in general, relatively few alternative sources of supply for these components and equipment. Any of AVROBIOs vendors may be unable or unwilling to meet AVROBIOs future demands for AVROBIOs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AVROBIO is required to switch to a replacement supplier or manufacture materials itself, the manufacture and delivery of AVROBIOs product candidates could be interrupted for an extended period, adversely affecting AVROBIOs business. Establishing additional or replacement suppliers may not be accomplished quickly, and AVROBIO may not be able to enter agreements with replacement suppliers on reasonable terms, if at all. In either scenario, AVROBIOs clinical trials supply could be delayed significantly as AVROBIO establishes alternative supply sources. In some cases, the technical skills required to manufacture AVROBIOs products or product candidates may be unique or proprietary to the original CMO and AVROBIO may have difficulty, or there may be contractual restrictions prohibiting AVROBIO from, transferring such skills to a back-up or alternate supplier, or AVROBIO may be unable to transfer such skills at all. If AVROBIO is able to find a replacement supplier, the replacement supplier would need to be qualified and may require additional regulatory authority approval, which could result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delay. For example, the FDA could require additional supplemental bridging data if AVROBIO relies upon a new supplier. AVROBIO may be unsuccessful in demonstrating the comparability of clinical supplies which could require the conduct of additional clinical trials. If AVROBIO resumes development of its product candidates, AVROBIO would seek to maintain adequate inventory of the components and materials used in AVROBIOs product candidates; however, any interruption or delay in the supply of components or materials, or AVROBIOs inability to obtain components or materials from alternate sources at acceptable prices in a timely manner, could impair AVROBIOs ability to conduct AVROBIOs clinical trials and, if AVROBIOs product candidates are approved, to meet the demand of AVROBIOs customers and cause them to cancel orders.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part of the FDAs approval of AVROBIOs product candidates, the FDA must review and approve the individual components of AVROBIOs production process, which includes the manufacturing processes and facilities of AVROBIOs suppliers. AVROBIOs current suppliers have not undergone this process, nor have they had any components included in any product approved by the FDA. </w:t>
      </w:r>
    </w:p>
    <w:p>
      <w:pPr>
        <w:pStyle w:val="TextBody"/>
        <w:bidi w:val="0"/>
        <w:spacing w:before="240" w:after="0"/>
        <w:jc w:val="left"/>
        <w:rPr>
          <w:rFonts w:ascii="Times New Roman" w:hAnsi="Times New Roman"/>
          <w:sz w:val="20"/>
        </w:rPr>
      </w:pPr>
      <w:r>
        <w:rPr>
          <w:rFonts w:ascii="Times New Roman" w:hAnsi="Times New Roman"/>
          <w:sz w:val="20"/>
        </w:rPr>
        <w:t xml:space="preserve">AVROBIOs reliance on suppliers subjects AVROBIO to a number of risks that, should AVROBIO resume development of its product candidates, could materially harm AVROBIOs reputation, business, and financial condition,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production, supply, shipment or delivery as a result of the COVID-19 pandemic or trade sanctions, embargoes, and heightened export requirements resulting from the war in Ukraine and the evolving conflicts in Israel and the Gaza Strip;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interruption of supply resulting from modifications to or discontinuation of a suppliers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 shipments resulting from uncorrected defects, reliability issues, or a suppliers variation in a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lack of long-term supply arrangements for key components with AVROBIOs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obtain adequate supply in a timely manner, or to obtain adequate supply on commercially reasonable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and cost associated with locating and qualifying alternative suppliers for AVROBIOs components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delays related to the evaluation and testing of products from alternative suppliers, and corresponding regulatory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delay in delivery due to AVROBIOs suppliers prioritizing other customer orders over AVROBIOs;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AVROBIOs reputation caused by defective components produced by AVROBIOs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 of AVROBIOs warranty program due to product repair or replacement based upon defects in components produced by AVROBIOs suppliers;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 in delivery by AVROBIOs suppliers due to changes in demand from AVROBIO or their other customers.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risks materialize, AVROBIOs costs could significantly increase and AVROBIOs ability to conduct AVROBIOs clinical trials and, if AVROBIOs product candidates are approved, to meet demand for AVROBIOs products could be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AVROBIOs contract manufacturers are subject to significant regulation with respect to manufacturing AVROBIOs products. The manufacturing facilities on which AVROBIO has relied may not continue to meet regulatory requirements and have limited capacity. </w:t>
      </w:r>
    </w:p>
    <w:p>
      <w:pPr>
        <w:pStyle w:val="TextBody"/>
        <w:bidi w:val="0"/>
        <w:spacing w:before="120" w:after="0"/>
        <w:jc w:val="left"/>
        <w:rPr>
          <w:rFonts w:ascii="Times New Roman" w:hAnsi="Times New Roman"/>
          <w:sz w:val="20"/>
        </w:rPr>
      </w:pPr>
      <w:r>
        <w:rPr>
          <w:rFonts w:ascii="Times New Roman" w:hAnsi="Times New Roman"/>
          <w:sz w:val="20"/>
        </w:rPr>
        <w:t xml:space="preserve">In AVROBIOs development activities to date, AVROBIO has relied on sole source suppliers of AVROBIOs automated, closed cell processing system; vector supply; plasmid supply; cell culture media;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well as drug product manufacturing for AVROBIO-sponsored clinical trials. In addition, AVROBIO has depended on a limited number of suppliers for some of the other components necessary for AVROBIOs product candidates. Each of AVROBIOs suppliers may require licenses to manufacture such components if such processes are not owned by the supplier or in the public domain, and AVROBIO may be unable to transfer or sublicense the intellectual property rights AVROBIO may have with respect to such activities. </w:t>
      </w:r>
    </w:p>
    <w:p>
      <w:pPr>
        <w:pStyle w:val="TextBody"/>
        <w:bidi w:val="0"/>
        <w:spacing w:before="240" w:after="0"/>
        <w:jc w:val="left"/>
        <w:rPr>
          <w:rFonts w:ascii="Times New Roman" w:hAnsi="Times New Roman"/>
          <w:sz w:val="20"/>
        </w:rPr>
      </w:pPr>
      <w:r>
        <w:rPr>
          <w:rFonts w:ascii="Times New Roman" w:hAnsi="Times New Roman"/>
          <w:sz w:val="20"/>
        </w:rPr>
        <w:t xml:space="preserve">All entities involved in the preparation of therapeutics for clinical studies or commercial sale, including AVROBIOs contract manufacturers for AVROBIOs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AVROBIOs product candidates that may not be detectable in final product testing. AVROBIO or AVROBIOs contract manufacturers must supply all necessary documentation in support of a BLA on a timely basis and must adhere to the FDAs good laboratory practices (GLP) and cGMP regulations enforced by the FDA through its facilities inspection program. Some of AVROBIOs contract manufacturers have not produced a commercially-approved product and have never been inspected by the FDA before. AVROBIOs facilities and quality systems and the facilities and quality systems of some or all of AVROBIOs third-party contractors must pass a pre-approval inspection for compliance with the applicable regulations as a condition of regulatory approval of AVROBIOs product candidates or any of AVROBIOs other potential products. In addition, the regulatory authorities may, at any time, audit or inspect a manufacturing facility involved with the preparation of AVROBIOs product candidates or AVROBIOs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or similar public health crisis, the FDA may issue a complete response letter or defer action on AVROBIOs applications, and approval of the products may be delayed or may not be granted.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authorities also may, at any time following approval of a product for sale, audit AVROBIOs manufacturing facilities or those of AVROBIOs third-party contractors. If any such inspection or audit identifies a failure to comply with applicable regulations or if a violation of AVROBIOs product specifications or applicable regulations occurs independent of such an inspection or audit, AVROBIO or the relevant regulatory authority may require remedial measures that may be costly and/or time-consuming for AVROBIO or a third party to implement and that may include the temporary or permanent suspension of a clinical study or commercial sales or the temporary or permanent closure of a facility. Any such remedial measures imposed upon AVROBIO or third parties with whom AVROBIO contracts could materially harm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If AVROBIO or any of AVROBIOs third-party manufacturers fail to maintain regulatory compliance, the FDA can impose regulatory sanctions including, among other things, refusal to approve a pending application for a new drug product or biologic product, or revocation of a pre-existing approval. As a result, AVROBIOs business, financial condition and results of operations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these factors could cause the delay of clinical studies, regulatory submissions, required approvals or commercialization of AVROBIOs product candidates, cause AVROBIO to incur higher costs and prevent AVROBIO from commercializing AVROBIOs products successfully. Furthermore, if AVROBIOs suppliers fail to meet contractual requirements, and AVROBIO is unable to secure one or more replacement suppliers capable of production at a substantially equivalent cost, AVROBIOs preclinical and clinical studies may be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AVROBIOs reliance on third parties requires AVROBIO to share AVROBIOs trade secrets, which increases the possibility that a competitor will discover them or that AVROBIOs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AVROBIO has relied and, should AVROBIO resume development of its product candidates, would expect to continue to rely on third parties to manufacture AVROBIOs vectors and AVROBIOs product candidates, and because AVROBIO collaborates with various organizations and academic institutions on the advancement of AVROBIOs gene therapy approach, AVROBIO must, at times, share trade secrets with them. AVROBIO seeks to protect AVROBIOs proprietary technology in part by entering into confidentiality agreements and, if applicable, material transfer agreements, collaborative research agreements, consulting agreements or other similar agreements with AVROBIOs collaborators, advisors, employees and consultants prior to beginning research or disclosing proprietary information. These agreements typically limit the rights of the third parties to use or disclose AVROBIOs confidential information, such as trade secrets. </w:t>
      </w:r>
    </w:p>
    <w:p>
      <w:pPr>
        <w:pStyle w:val="TextBody"/>
        <w:bidi w:val="0"/>
        <w:spacing w:before="240" w:after="0"/>
        <w:jc w:val="left"/>
        <w:rPr>
          <w:rFonts w:ascii="Times New Roman" w:hAnsi="Times New Roman"/>
          <w:sz w:val="20"/>
        </w:rPr>
      </w:pPr>
      <w:r>
        <w:rPr>
          <w:rFonts w:ascii="Times New Roman" w:hAnsi="Times New Roman"/>
          <w:sz w:val="20"/>
        </w:rPr>
        <w:t xml:space="preserve">Despite the contractual provisions employed when working with third parties, the need to share trade secrets and other confidential information increases the risk that such trade secrets become known by AVROBIOs competitors, are inadvertently incorporated into the technology of others, or are disclosed or used in violation of these agreements. Given that AVROBIOs proprietary position is based, in part, on AVROBIOs know-how and trade secrets, a competitors discovery of AVROBIOs trade secrets or other unauthorized use or disclosure would impair AVROBIOs competitive position and may have a material adverse effect on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these agreements typically restrict the ability of AVROBIOs collaborators, advisors, employees and consultants to publish data potentially relating to AVROBIOs trade secrets. AVROBIOs academic collaborators typically have rights to publish data, provided that AVROBIO is notified in advance and may delay publication for a specified time in order to secure AVROBIOs intellectual property rights arising from the collaboration. In other cases, publication rights are controlled exclusively by AVROBIO, although in some cases AVROBIO may share these rights with other parties. Despite AVROBIOs efforts to protect AVROBIOs trade secrets, AVROBIOs competitors may discover AVROBIOs trade secrets, either through breach of these agreements, independent development or publication of information including AVROBIOs trade secrets in cases where AVROBIO does not have proprietary or otherwise protected rights at the time of publication. A competitors discovery of AVROBIOs trade secrets would impair AVROBIOs competitive position and have an adverse impact on AVROBIOs business. </w:t>
      </w:r>
    </w:p>
    <w:p>
      <w:pPr>
        <w:pStyle w:val="TextBody"/>
        <w:bidi w:val="0"/>
        <w:spacing w:before="360" w:after="0"/>
        <w:jc w:val="left"/>
        <w:rPr>
          <w:rFonts w:ascii="Times New Roman" w:hAnsi="Times New Roman"/>
          <w:b/>
          <w:sz w:val="20"/>
        </w:rPr>
      </w:pPr>
      <w:bookmarkStart w:id="31" w:name="toc770053_29"/>
      <w:bookmarkEnd w:id="31"/>
      <w:r>
        <w:rPr>
          <w:rFonts w:ascii="Times New Roman" w:hAnsi="Times New Roman"/>
          <w:b/>
          <w:sz w:val="20"/>
        </w:rPr>
        <w:t xml:space="preserve">Risks Related to Commercialization of AVROBIOs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and obtain approval of any of AVROBIOs product candidates, and AVROBIO is unable to establish sales, distribution and marketing capabilities or enter into agreements with third parties to market and sell AVROBIOs product candidates, AVROBIO will be unable to generate any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To successfully commercialize any of AVROBIOs product candidates, if approved, AVROBIO will need to develop AVROBIOs commercial capabilities, either on AVROBIOs own or with others, should AVROBIO resume development of its product candidates. The establishment and development of AVROBIOs own commercial team or the establishment of a contract sales force to market any product candidate AVROBIO may develop will be expensive and time-consuming and could delay any product launch. Moreover, AVROBIO cannot be certain that AVROBIO will be able to successfully develop this capability. AVROBIO may enter into collaborations regarding any approved product candidates with other entities to utilize their established marketing and distribution capabilities, but AVROBIO may be unable to enter into such agreements on favorable terms, if at all. If any future collaborators do not commit sufficient resources to commercialize AVROBIOs product candidates, or AVROBIO is unable to develop the necessary capabilities on AVROBIOs own, AVROBIO will be unable to generate sufficient product revenue to sustain AVROBIOs business. AVROBIO competes with many companies that currently have extensive, experienced and well-funded sales,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marketing operations to recruit, hire, train and retain marketing and sales personnel. AVROBIO also faces competition in AVROBIOs search for third parties to assist AVROBIO with the sales and marketing efforts of AVROBIOs product candidates, if approved. Without an internal team or the support of a third-party to perform marketing and sales functions, AVROBIO may be unable to compete successfully against these more established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and the market opportunities for AVROBIOs product candidates are smaller than AVROBIO believes they are, AVROBIOs product revenues may be adversely affected and AVROBIOs business may suffer. </w:t>
      </w:r>
    </w:p>
    <w:p>
      <w:pPr>
        <w:pStyle w:val="TextBody"/>
        <w:bidi w:val="0"/>
        <w:spacing w:before="120" w:after="0"/>
        <w:jc w:val="left"/>
        <w:rPr>
          <w:rFonts w:ascii="Times New Roman" w:hAnsi="Times New Roman"/>
          <w:sz w:val="20"/>
        </w:rPr>
      </w:pPr>
      <w:r>
        <w:rPr>
          <w:rFonts w:ascii="Times New Roman" w:hAnsi="Times New Roman"/>
          <w:sz w:val="20"/>
        </w:rPr>
        <w:t xml:space="preserve">AVROBIO has historically focused AVROBIOs research and product development on treatments for serious lysosomal disorders. AVROBIOs understanding of both the number of people who have these diseases, as well as the subset of people with these diseases who have the potential to benefit from treatment with AVROBIOs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AVROBIOs products, patients may become increasingly difficult to identify and access, and any approval AVROBIO receives from regulatory agencies may be for a narrower indication and smaller patient population than anticipated, all of which, should AVROBIO resume development of its product candidates, would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the commercial success of any current or future product candidate will depend upon the degree of market acceptance by physicians, patients, third-party payors and others in the medical community.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and thereafter if AVROBIO obtains any regulatory approval for AVROBIOs product candidates, the commercial success of AVROBIOs product candidates will depend in part on the medical community, patients, and third-party payors accepting gene therapy products in general, and AVROBIOs product candidates in particular, as effective, safe and cost-effective. Any product that AVROBIO brings to the market may not gain market acceptance by physicians, patients, third-party payors and others in the medical community. The degree of market acceptance of these product candidates, if approved for commercial sale,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efficacy and potential advantages over alternative treatments, including any similar generic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as demonstrated in pivotal clinical trials and published in peer-reviewed journals;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adverse events or side effects, including any limitations or warnings contained in a products approved labeling or that are later found to be associated with a product, including in findings from long-term follow-up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resulting from the conditioning regimen for the administration of AVROBIOs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offer the products for sale at competitive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products are approved by the FDA or comparable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dosing and administration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marketing and distribution support and timing of market introduction of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how the product is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accessible and skilled healthcare centers capable of administering AVROBIOs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publicity concerning AVROBIOs products or competing products and treatments;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favorable third-party insurance coverage and sufficient reimbursement.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AVROBIO cannot predict whether physicians, physicians organizations, hospitals, other healthcare providers, government agencies or private insurers will determine that AVROBIOs product is safe, therapeutically effective and cost effective as compared with competing treatments. </w:t>
      </w:r>
    </w:p>
    <w:p>
      <w:pPr>
        <w:pStyle w:val="TextBody"/>
        <w:bidi w:val="0"/>
        <w:spacing w:before="240" w:after="0"/>
        <w:jc w:val="left"/>
        <w:rPr>
          <w:rFonts w:ascii="Times New Roman" w:hAnsi="Times New Roman"/>
          <w:sz w:val="20"/>
        </w:rPr>
      </w:pPr>
      <w:r>
        <w:rPr>
          <w:rFonts w:ascii="Times New Roman" w:hAnsi="Times New Roman"/>
          <w:sz w:val="20"/>
        </w:rPr>
        <w:t xml:space="preserve">Even if a product candidate displays a favorable efficacy and safety profile in preclinical and clinical studies, market acceptance of the product, if approved for commercial sale, will not be known until after it is launched. AVROBIOs efforts to educate the medical community and third-party payors on the benefits of AVROBIOs product candidates may require significant resources and may never be successful. Such efforts to educate the marketplace may require more resources than are required by the conventional technologies marketed by AVROBIOs competitors. If these products do not achieve an adequate level of acceptance, AVROBIO may not generate significant product revenue and may not become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if AVROBIO obtains approval to commercialize AVROBIOs product candidates outside of the United States, a variety of risks associated with international operations could materially adversely affect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had been conducting clinical trials for AVROBIOs product candidates in the United States, Canada and Australia, and should AVROBIO resume development of its product candidates, AVROBIO would expect to expand AVROBIOs clinical trials to other geographies. If any of AVROBIOs product candidates are approved for commercialization, AVROBIO may enter into agreements with third parties to market them on a worldwide basis or in more limited geographical regions. AVROBIO expects that AVROBIO will be subject to additional risks related to entering into international business relationships,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regulatory requirements for approval of drugs and biologics in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tariffs, trade barriers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fluctuating interest rates, or political instability in particular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revenues, and other obligations incident to doing business in another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more common than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or natural disasters including earthquakes, typhoons, floods and fires.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insurance coverage and reimbursement status of newly-approved products are uncertain. Should AVROBIO resume development of its product candidates, failure to obtain or maintain adequate coverage and reimbursement for any of AVROBIOs product candidates, if approved, could limit AVROBIOs ability to market those products and decrease AVROBIOs ability to generate revenue. </w:t>
      </w:r>
    </w:p>
    <w:p>
      <w:pPr>
        <w:pStyle w:val="TextBody"/>
        <w:bidi w:val="0"/>
        <w:spacing w:before="120" w:after="0"/>
        <w:jc w:val="left"/>
        <w:rPr>
          <w:rFonts w:ascii="Times New Roman" w:hAnsi="Times New Roman"/>
          <w:sz w:val="20"/>
        </w:rPr>
      </w:pPr>
      <w:r>
        <w:rPr>
          <w:rFonts w:ascii="Times New Roman" w:hAnsi="Times New Roman"/>
          <w:sz w:val="20"/>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AVROBIO might obtain marketing approval for a product in a particular country, but then be subject to price regulations that delay AVROBIOs or their commercial launch of the product, possibly for lengthy time periods, and negatively impact the revenue AVROBIO is able to generate from the sale of the product in that country. Adverse pricing limitations may hinder AVROBIOs ability to recoup AVROBIOs investment in one or more product candidates, even if any product candidates AVROBIO may develop obtain marketing approval. Please see the section titled </w:t>
      </w:r>
      <w:r>
        <w:rPr>
          <w:rFonts w:ascii="Times New Roman" w:hAnsi="Times New Roman"/>
          <w:i/>
          <w:sz w:val="20"/>
        </w:rPr>
        <w:t>AVROBIOs Business  Government Regulation  Coverage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obtain regulatory approval for such candidates, AVROBIOs ability to successfully commercialize AVROBIOs product candidates or any other products that AVROBIO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AVROBIOs product candidates will depend substantially, both domestically and abroad, on the extent to which the costs of AVROBIOs product candidates will be paid by health maintenance, managed care, pharmacy benefit and similar healthcare management organizations, or reimbursed by government health administration authorities, private health coverage insurers and other third-party payors. AVROBIO may not be able to provide data sufficient to gain acceptance with respect to coverage and reimbursement. If reimbursement is not available, or is available only at limited levels, AVROBIO may not be able to successfully commercialize AVROBIOs product candidates, if approved. Even if coverage is provided, the approved reimbursement amount may not be high enough to allow AVROBIO to establish or maintain pricing sufficient to realize a sufficient return on AVROBIOs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the insurance coverage and reimbursement of newly approved products. In the United States, the principal decisions about reimbursement for new medicines are typically made by Centers for Medicare &amp; Medicaid Services (CMS) an agency within the U.S. Department of Health and Human Services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AVROBIOs,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other third-party payors have attempted to control costs by limiting coverage and the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reimbursement for particular medications. Outside the United States, international operations are generally subject to extensive governmental price controls and other market regulations, and AVROBIO believes the increasing emphasis on cost-containment initiatives in Europe and certain other major markets where AVROBIO plans to commercialize may put pressure on the pricing and usage of AVROBIOs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AVROBIO may be required to conduct a clinical trial that compares the cost effectiveness of AVROBIOs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AVROBIO is able to charge for AVROBIOs product candidates. Accordingly, in markets outside the United States, the reimbursement for AVROBIOs products may be reduced compared with the United States and may be insufficient to generate commercially reasonable revenues and profits. </w:t>
      </w:r>
    </w:p>
    <w:p>
      <w:pPr>
        <w:pStyle w:val="TextBody"/>
        <w:bidi w:val="0"/>
        <w:spacing w:before="240" w:after="0"/>
        <w:jc w:val="left"/>
        <w:rPr>
          <w:rFonts w:ascii="Times New Roman" w:hAnsi="Times New Roman"/>
          <w:sz w:val="20"/>
        </w:rPr>
      </w:pPr>
      <w:r>
        <w:rPr>
          <w:rFonts w:ascii="Times New Roman" w:hAnsi="Times New Roman"/>
          <w:sz w:val="20"/>
        </w:rPr>
        <w:t xml:space="preserve">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AVROBIOs product candidates. Should AVROBIO resume development of its product candidates, AVROBIO expects to experience pricing pressures in connection with the sale of any of AVROBIOs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the novel nature of AVROBIOs technology and the potential for AVROBIOs product candidates to offer therapeutic benefit in a single administration, AVROBIO faces uncertainty related to pricing and reimbursement for these product candidates should AVROBIO resume their development.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AVROBIOs target patient populations are relatively small, as a result of which the pricing and reimbursement of AVROBIOs product candidates, if approved, must be adequate to support commercial infrastructure. If AVROBIO is unable to obtain adequate levels of reimbursement, AVROBIOs ability to successfully market and sell AVROBIOs product candidates will be adversely affected. The manner and level at which reimbursement is provided for services related to AVROBIOs product candidates (e.g., for administration of AVROBIOs product to patients) is also important. Inadequate reimbursement for such services may lead to physician resistance and adversely affect AVROBIOs ability to market or sell AVROBIOs product candidates, if approved. Moreover, if approved for marketing, because AVROBIOs product candidates are designed to provide their intended therapeutic benefit from a single administration, treatment with AVROBIOs product candidates may result in a decrease in the available pool of target patients.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legislative reform measures and constraints on national budget social security systems may have a material adverse effect on AVROBIOs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The United States and many foreign jurisdictions have enacted or proposed legislative and regulatory changes affecting the healthcare system that could prevent or delay marketing approval of AVROBIOs product candidates or any future product candidates, restrict or regulate post-approval activities and affect AVROBIOs ability to profitably sell any product for which AVROBIO obtains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Please see the section titled </w:t>
      </w:r>
      <w:r>
        <w:rPr>
          <w:rFonts w:ascii="Times New Roman" w:hAnsi="Times New Roman"/>
          <w:i/>
          <w:sz w:val="20"/>
        </w:rPr>
        <w:t>Business  Government Regulation  Healthcare Reform.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continuing efforts of the government, insurance companies, managed care organizations and other payers of healthcare services to contain or reduce costs of healthcare may adversely affect: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any of AVROBIOs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set a price that AVROBIO believes is fair for any of AVROBIOs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ability to generate revenues and achieve or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AVROBIO is required to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Legislative and regulatory proposals have been made to expand post-approval requirements and restrict sales and promotional activities for pharmaceutical and biologic products. AVROBIO cannot be sure whether additional legislative changes will be enacted, or whether existing regulations, guidance or interpretations will be changed, or what the impact of such changes on the marketing approvals of AVROBIOs product candidates, if any, may be. In addition, increased scrutiny by Congress of the FDAs approval process may significantly delay or prevent marketing approval, as well as subject AVROBIO to more stringent product labeling and post-marketing testing and other requirements. </w:t>
      </w:r>
    </w:p>
    <w:p>
      <w:pPr>
        <w:pStyle w:val="TextBody"/>
        <w:bidi w:val="0"/>
        <w:spacing w:before="240" w:after="0"/>
        <w:jc w:val="left"/>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AVROBIOs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It is expected that the healthcare reform measures that have been adopted and may be adopted in the future, may result in more rigorous coverage criteria and in additional downward pressure on the price that AVROBIO receives for any approved product and could seriously harm AVROBIOs future revenues. Any reduction in reimbursement from Medicare or other government programs may result in a similar reduction in payments from private payors. Should AVROBIO resume development of its product candidates, the implementation of cost containment measures or other healthcare reforms may prevent AVROBIO from being able to generate revenue, attain profitability or commercialize AVROBIOs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AVROBIOs business may rely, which could negatively impact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AVROBIOs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new drugs to be reviewed and/or approved by necessary government agencies, which would adversely affect AVROBIOs business.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AVROBIOs regulatory submissions, should AVROBIO resume development of its product candidates, which could have a material adverse effect on AVROBIOs business. Further, future shutdowns of other government agencies, such as the SEC, may also impact AVROBIOs business through review of AVROBIOs public filings and AVROBIOs ability to access the public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any contamination in AVROBIOs manufacturing process, shortages of materials or failure of any of AVROBIOs key suppliers to deliver necessary components could result in interruption in the supply of AVROBIOs product candidates and delays in AVROBIOs clinical development or commercialization schedules. </w:t>
      </w:r>
    </w:p>
    <w:p>
      <w:pPr>
        <w:pStyle w:val="TextBody"/>
        <w:bidi w:val="0"/>
        <w:spacing w:before="120" w:after="0"/>
        <w:jc w:val="left"/>
        <w:rPr>
          <w:rFonts w:ascii="Times New Roman" w:hAnsi="Times New Roman"/>
          <w:sz w:val="20"/>
        </w:rPr>
      </w:pPr>
      <w:r>
        <w:rPr>
          <w:rFonts w:ascii="Times New Roman" w:hAnsi="Times New Roman"/>
          <w:sz w:val="20"/>
        </w:rPr>
        <w:t xml:space="preserve">Given the nature of biologics manufacturing, there is a risk of contamination in AVROBIOs manufacturing processes. Should AVROBIO resume development of AVROBIOs product candidates, any contamination could materially adversely affect AVROBIOs ability to produce product candidates on schedule and could, therefore, harm AVROBIOs results of operations and cause reputational damage. </w:t>
      </w:r>
    </w:p>
    <w:p>
      <w:pPr>
        <w:pStyle w:val="TextBody"/>
        <w:bidi w:val="0"/>
        <w:spacing w:before="240" w:after="0"/>
        <w:jc w:val="left"/>
        <w:rPr>
          <w:rFonts w:ascii="Times New Roman" w:hAnsi="Times New Roman"/>
          <w:sz w:val="20"/>
        </w:rPr>
      </w:pPr>
      <w:r>
        <w:rPr>
          <w:rFonts w:ascii="Times New Roman" w:hAnsi="Times New Roman"/>
          <w:sz w:val="20"/>
        </w:rPr>
        <w:t xml:space="preserve">Some of the materials required in AVROBIOs manufacturing process are derived from biologic sources. Such materials are difficult to procure and may be subject to contamination or recall. A material shortage, contamination, recall or restriction on the use of biologically derived substances in the manufacture of AVROBIOs product candidates could adversely impact or disrupt the commercial manufacturing or the production of clinical material, which could materially and adversely affect AVROBIOs development timelines and AVROBIOs business, financial condition, results of operations and prospects. </w:t>
      </w:r>
    </w:p>
    <w:p>
      <w:pPr>
        <w:pStyle w:val="TextBody"/>
        <w:bidi w:val="0"/>
        <w:spacing w:before="360" w:after="0"/>
        <w:jc w:val="left"/>
        <w:rPr>
          <w:rFonts w:ascii="Times New Roman" w:hAnsi="Times New Roman"/>
          <w:b/>
          <w:sz w:val="20"/>
        </w:rPr>
      </w:pPr>
      <w:bookmarkStart w:id="32" w:name="toc770053_30"/>
      <w:bookmarkEnd w:id="32"/>
      <w:r>
        <w:rPr>
          <w:rFonts w:ascii="Times New Roman" w:hAnsi="Times New Roman"/>
          <w:b/>
          <w:sz w:val="20"/>
        </w:rPr>
        <w:t xml:space="preserve">Risks Related to AVROBIOs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AVROBIOs gene therapy approach utilizes lentiviral vectors derived from viruses, which may be perceived as unsafe or may result in unforeseen adverse events. Negative public opinion and increased regulatory scrutiny of gene therapy and genetic research may damage public perception of AVROBIOs product candidates or adversely affect AVROBIOs ability to conduct AVROBIOs business or obtain regulatory approvals for AVROBIOs product candidates, should AVROBIO resume their development. </w:t>
      </w:r>
    </w:p>
    <w:p>
      <w:pPr>
        <w:pStyle w:val="TextBody"/>
        <w:bidi w:val="0"/>
        <w:spacing w:before="120" w:after="0"/>
        <w:jc w:val="left"/>
        <w:rPr>
          <w:rFonts w:ascii="Times New Roman" w:hAnsi="Times New Roman"/>
          <w:sz w:val="20"/>
        </w:rPr>
      </w:pPr>
      <w:r>
        <w:rPr>
          <w:rFonts w:ascii="Times New Roman" w:hAnsi="Times New Roman"/>
          <w:sz w:val="20"/>
        </w:rPr>
        <w:t xml:space="preserve">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AVROBIOs success will depend upon physicians specializing in the treatment of those diseases that AVROBIOs product candidates target prescribing treatments that involve the use of AVROBIOs product candidates in lieu of, or in addition to, existing treatments they are already familiar with and for which greater clinical data may be available. More restrictive government regulations or negative public opinion would have a negative effect on AVROBIOs business or financial condition and may delay or impair the development and commercialization of AVROBIOs product candidates or demand for any products should AVROBIO resume development of its product candidates. For example,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earlier gene therapy trials led to several well-publicized adverse events, including cases of leukemia, myelodysplastic syndromes and deaths seen in other trials using other vectors. Adverse events in AVROBIOs clinical studies or discovered in long-term follow-up, even if not ultimately attributable to AVROBIOs product candidates (such as the many adverse events that typically arise from the conditioning process), or adverse events in other gene therapy trials, and the resulting publicity could result in a decline in AVROBIOs stock price, increased governmental regulation, unfavorable public perception and, should AVROBIO resume development of its product candidates, potential regulatory delays in the testing or approval of AVROBIOs potential product candidates, stricter labeling requirements for those product candidates that are approved and a decrease in demand for any such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future success depends on AVROBIOs ability to retain key employees, consultants and advisors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AVROBIO is highly dependent on principal members of AVROBIOs executive team and key employees, the loss of whose services may adversely impact the achievement of AVROBIOs objectives. While AVROBIO has entered into employment agreements with each of AVROBIOs executive officers, any of them could leave AVROBIOs employment at any time, as all of AVROBIOs employees are at will employees. Following the resignation of AVROBIOs former President and Chief Executive Officer, Geoff MacKay, on May 1, 2023, AVROBIO appointed its Chief Financial Officer, Erik Ostrowski, to serve in the additional roles of President and Interim Chief Executive Officer, effective on May 1, 2023. In July 2023, in connection with the determination to halt further development of AVROBIOs programs and to conduct a comprehensive exploration of strategic alternatives, AVROBIO paused AVROBIOs search for a permanent Chief Executive Officer. Accordingly, no assurance can be made as to when or whether AVROBIO will hire a permanent Chief Executive Officer. AVROBIO does not maintain key person insurance policies on the lives of these individuals or the lives of any of AVROBIOs other employees. The loss of the services of one or more of AVROBIOs current executive or key employees might impede the achievement of AVROBIOs ongoing business commitments and strategic objectives. </w:t>
      </w:r>
    </w:p>
    <w:p>
      <w:pPr>
        <w:pStyle w:val="TextBody"/>
        <w:bidi w:val="0"/>
        <w:spacing w:before="240" w:after="0"/>
        <w:jc w:val="left"/>
        <w:rPr>
          <w:rFonts w:ascii="Times New Roman" w:hAnsi="Times New Roman"/>
          <w:sz w:val="20"/>
        </w:rPr>
      </w:pPr>
      <w:r>
        <w:rPr>
          <w:rFonts w:ascii="Times New Roman" w:hAnsi="Times New Roman"/>
          <w:sz w:val="20"/>
        </w:rPr>
        <w:t xml:space="preserve">Retaining other qualified employees, consultants and advisors for AVROBIOs business, including scientific and technical personnel, remains critical to AVROBIOs success. AVROBIO implemented a reduction in force in January 2022 in connection with the deprioritization of AVROBIOs Fabry disease program, and through the first half of 2022 AVROBIO continued to streamline employee headcount including senior management. In July 2023, in connection with the determination to halt further development of AVROBIOs programs and to conduct a comprehensive exploration of strategic alternatives, AVROBIO implemented a reduction in force by approximately 50% across different areas. AVROBIOs remaining workforce was further reduced by 11 employees in a workforce reduction implemented effective as of October 31, 2023, three employees in a workforce reduction implemented effective as of November 30, 2023, and five employees in a further workforce reduction implemented effective as of December 31, 2023. Reductions in force, management changes and program reprioritizations can have an adverse impact on employee morale. While AVROBIO believes AVROBIOs relations with AVROBIOs continuing employees to be good, there can be no assurance that AVROBIO can avoid retention challenges for skilled personnel as AVROBIO explores potential strategic alternatives. There is currently a shortage of skilled executives and other personnel in AVROBIOs industry, which is likely to continue. As a result, competition for skilled personnel, including in gene therapy research and vector manufacturing, is intense and the turnover rate can be high. AVROBIO may not be able to retain personnel on acceptable terms given the competition among numerous pharmaceutical and biotechnology companies for individuals with similar skill sets. In addition, AVROBIOs ability to retain qualified personnel could be impacted by other factors, such as remote or hybrid working arrangements, which could impact employees productivity and morale. In addition, in recent months, the market price of AVROBIOs common stock has experienced significant downward pressure, resulting in underwater or out-of-the-money stock options for many of AVROBIOs employees, thereby limiting the desired retentive effect that AVROBIOs equity incentive program was intended to achieve. The inability to recruit, if necessary, or the loss of the services of any executive, key employee, skilled personnel, consultant or advisor may impede AVROBIOs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objectives. Furthermore, AVROBIO may not realize, in full or in part, the anticipated benefits, savings and improvements in AVROBIOs cost structure from AVROBIOs workforce reductions and restructuring efforts due to unforeseen difficulties, delays or unexpected costs. If AVROBIO is unable to realize the expected operational efficiencies and cost savings from the restructuring, AVROBIOs operating results and financial condition would be adversely affected. AVROBIOs restructuring plan may also be disruptive to AVROBIOs operations, for example, AVROBIOs reductions in force could yield unanticipated consequences, such as increased difficulties in implementing AVROBIOs pursuit of strategic alternatives, including retention of AVROBIOs remaining employees, attrition beyond AVROBIOs reductions in force and employee litigation related to the reductions in force could be costly and prevent management from fully concentrating on the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need to expand or streamline AVROBIOs operations and AVROBIO may experience difficulties in managing any such changes, which could disrupt AVROBIOs operations.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may need to rapidly expand AVROBIOs full-time employee base and to hire more consultants and contractors. AVROBIOs management may need to divert a disproportionate amount of its attention away from AVROBIOs day-to-day activities and devote a substantial amount of time to managing these growth activities. AVROBIO may not be able to effectively manage the expansion of AVROBIOs operations, which may result in weaknesses in AVROBIOs infrastructure, operational mistakes, loss of business opportunities, loss of employees and reduced productivity among remaining employees. AVROBIOs expected growth could require significant capital expenditures and may divert financial resources from other projects if AVROBIOs management is unable to effectively manage AVROBIOs growth, AVROBIOs expenses may increase more than expected, AVROBIOs ability to generate and/or grow revenues could be reduced, and AVROBIO may not be able to implement AVROBIOs business strategy. AVROBIOs future financial performance and AVROBIOs ability to commercialize product candidates and compete effectively will depend, in part, on AVROBIOs ability to effectively manage any future growth. </w:t>
      </w:r>
    </w:p>
    <w:p>
      <w:pPr>
        <w:pStyle w:val="TextBody"/>
        <w:bidi w:val="0"/>
        <w:spacing w:before="240" w:after="0"/>
        <w:jc w:val="left"/>
        <w:rPr>
          <w:rFonts w:ascii="Times New Roman" w:hAnsi="Times New Roman"/>
          <w:sz w:val="20"/>
        </w:rPr>
      </w:pPr>
      <w:r>
        <w:rPr>
          <w:rFonts w:ascii="Times New Roman" w:hAnsi="Times New Roman"/>
          <w:sz w:val="20"/>
        </w:rPr>
        <w:t xml:space="preserve">Conversely, headwinds in the overall economy and limited availability of suitable financing to meet AVROBIOs needs could constrain AVROBIOs ability to achieve AVROBIOs growth objectives, and could in turn lead to further reductions in force or scaling back of business operations, that could impact employee morale and adversely impact AVROBIOs ability to manage ongoing operations, should AVROBIO resume development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and AVROBIO is unable to manage expected growth in the scale and complexity of AVROBIOs operations, AVROBIOs performance may suffer.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will need to expand AVROBIOs managerial, operational, financial and other systems and resources to manage AVROBIOs operations, resume AVROBIOs research and development activities and, in the longer term, build a commercial infrastructure to support commercialization of any of AVROBIOs product candidates that are approved for sale. Future growth would impose significant added responsibilities on members of management. It is likely that AVROBIOs management, finance, development personnel, systems and facilities currently in place may not be adequate to support this future growth. AVROBIOs need to effectively manage AVROBIOs operations, growth and product candidates requires that AVROBIO continues to develop more robust business processes and improve AVROBIOs systems and procedures in each of these areas and to attract and retain sufficient numbers of talented employees. AVROBIO may be unable to successfully implement these tasks on a larger scale and, accordingly, may not achieve AVROBIOs research, development and growth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AVROBIOs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AVROBIO is exposed to the risk of fraud or other misconduct by AVROBIOs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AVROBIO. In particular, sales, marketing and business conduct in 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AVROBIOs reputation. AVROBIO has adopted a code of conduct applicable to all of AVROBIOs employees, but it is not always possible to identify and deter employee misconduct, and the precautions AVROBIO takes to detect and prevent this activity may not be effective in controlling unknown or unmanaged risks or losses or in protecting AVROBIO from governmental investigations or other actions or lawsuits stemming from a failure to comply with these laws or regulations. If any such actions are instituted against AVROBIO, and AVROBIO is not successful in defending itself or asserting AVROBIOs rights, those actions could have a significant impact on AVROBIOs business, including the imposition of significant fines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is subject to certain U.S. and foreign anti-corruption, anti-money laundering, export control, sanctions, and other trade laws and regulations. AVROBIO can face serious consequences for violations. </w:t>
      </w:r>
    </w:p>
    <w:p>
      <w:pPr>
        <w:pStyle w:val="TextBody"/>
        <w:bidi w:val="0"/>
        <w:spacing w:before="120" w:after="0"/>
        <w:jc w:val="left"/>
        <w:rPr>
          <w:rFonts w:ascii="Times New Roman" w:hAnsi="Times New Roman"/>
          <w:sz w:val="20"/>
        </w:rPr>
      </w:pPr>
      <w:r>
        <w:rPr>
          <w:rFonts w:ascii="Times New Roman" w:hAnsi="Times New Roman"/>
          <w:sz w:val="20"/>
        </w:rPr>
        <w:t xml:space="preserve">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AVROBIO has direct or indirect interactions with officials and employees of government agencies or government-affiliated hospitals, universities, and other organizations. AVROBIO also expects, should AVROBIO resume development of its product candidates, that AVROBIOs non-U.S. activities would increase in time. Should AVROBIO resume development of its product candidates, AVROBIO would also expect to engage third parties for clinical trials and/or to obtain necessary permits, licenses, patent registrations, and other regulatory approvals and AVROBIO can be held liable for the corrupt or other illegal activities of AVROBIOs personnel, agents, or partners, even if AVROBIO does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is subject, directly or indirectly, to federal and state healthcare fraud and abuse laws, false claims laws health information privacy and security laws, and other health care laws and regulations. If AVROBIO is unable to comply, or have not fully complied, with such laws, AVROBIO could face substantial penalties.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and may be increasingly subject if AVROBIO obtains FDA approval for any of AVROBIOs product candidates, to various federal and state fraud and abuse laws and regulations,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without limitation, the federal Health Care Program Anti-Kickback Statute, the federal civil and criminal False Claims Act and Physician Payments Sunshine Act and regulations. Please see the section titled </w:t>
      </w:r>
      <w:r>
        <w:rPr>
          <w:rFonts w:ascii="Times New Roman" w:hAnsi="Times New Roman"/>
          <w:i/>
          <w:sz w:val="20"/>
        </w:rPr>
        <w:t>Business  Government Regulation  Other Healthcare Laws and Compliance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laws will impact, among other things, AVROBIOs clinical trial programs, healthcare professional interactions, grant making activities, and AVROBIOs anticipated sales, marketing and medical educational programs. In addition, AVROBIO may be subject to patient privacy laws by both the federal government and the states in which AVROBIO conducts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time-and resource-consuming and can divert a companys attention from the business. </w:t>
      </w:r>
    </w:p>
    <w:p>
      <w:pPr>
        <w:pStyle w:val="TextBody"/>
        <w:bidi w:val="0"/>
        <w:spacing w:before="240" w:after="0"/>
        <w:jc w:val="left"/>
        <w:rPr>
          <w:rFonts w:ascii="Times New Roman" w:hAnsi="Times New Roman"/>
          <w:sz w:val="20"/>
        </w:rPr>
      </w:pPr>
      <w:r>
        <w:rPr>
          <w:rFonts w:ascii="Times New Roman" w:hAnsi="Times New Roman"/>
          <w:sz w:val="20"/>
        </w:rPr>
        <w:t xml:space="preserve">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AVROBIOs operations, as well as additional reporting obligations and oversight if AVROBIO becomes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AVROBIO expects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 </w:t>
      </w:r>
    </w:p>
    <w:p>
      <w:pPr>
        <w:pStyle w:val="TextBody"/>
        <w:bidi w:val="0"/>
        <w:spacing w:before="240" w:after="0"/>
        <w:jc w:val="left"/>
        <w:rPr>
          <w:rFonts w:ascii="Times New Roman" w:hAnsi="Times New Roman"/>
          <w:sz w:val="20"/>
        </w:rPr>
      </w:pPr>
      <w:r>
        <w:rPr>
          <w:rFonts w:ascii="Times New Roman" w:hAnsi="Times New Roman"/>
          <w:sz w:val="20"/>
        </w:rPr>
        <w:t xml:space="preserve">Efforts to ensure that AVROBIOs business arrangements will comply with applicable healthcare laws may involve substantial costs. It is possible that governmental and enforcement authorities will conclude that AVROBIOs business practices may not comply with current or future statutes, regulations or case law interpreting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candidates outside the United States will also likely subject AVROBIO to foreign equivalents of the healthcare laws mentioned above, among other foreign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health and data protection laws and regulations could lead to government enforcement actions (which could include civil or criminal penalties), private litigation, and/or adverse publicity and could negatively affect AVROBIOs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health-related and other personal information could apply to AVROBIOs operations or the operations of AVROBIOs collaborators. In addition, AVROBIO may obtain health information from third parties (including research institutions from which AVROBIO obtains clinical trial data) that are subject to privacy and security requirements under Health Insurance Portability and Accountability Act of 1996 (HIPAA), as amended by Health Information Technology for Economic and Clinical Health Act of 2009 (HITECH). Depending on the facts and circumstances, AVROBIO could be subject to civil, criminal, and administrative penalties if AVROBIO knowingly obtain, use, or disclose individually identifiable health information maintained by a HIPAA-covered entity in a manner that is not authorized or permitted by HIPAA.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AVROBIO to take on more onerous obligations in AVROBIOs contracts, restrict AVROBIOs ability to collect, use and disclose data, or in some cases, impact AVROBIOs ability to operate in certain jurisdictions. Failure to comply with these laws and regulations could result in government enforcement actions (which could include civil, criminal and administrative penalties), private litigation, and/or adverse publicity and could negatively affect AVROBIOs operating results and business. Moreover, clinical trial patients, employees and other individuals about whom AVROBIO or AVROBIOs potential collaborators obtain personal information, as well as the providers who share this information with AVROBIO, may limit AVROBIOs ability to collect, use and disclose the information. Claims that AVROBIO has violated individuals privacy rights, failed to comply with data protection laws, or breached AVROBIOs contractual obligations, even if AVROBIO is not found liable, could be expensive and time-consuming to defend and could result in adverse publicity that could harm AVROBIOs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data collection is governed by restrictive regulations governing the use, processing and cross-border transfer of personal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would expect to conduct clinical trials in the European Economic Area (EEA), and the UK and as a result would be subject to additional privacy restrictions. The collection, use, disclosure, transfer or other processing of personal health data in the EU and the UK is governed by the provisions of the European Union General Data Protection Regulation (GDPR) (references to the GDPR include both the EU GDPR and UK GDPR unless specified otherwise). The GDPR is wide-ranging in scope and imposes numerous requirements on companies that process personal data, including requirements relating to ensuring a legal basis or condition applies to the processing of personal data, stricter requirements relating to the processing of sensitive data (such as health data), providing information to individuals regarding data processing activities, when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AVROBIOs obligations with respect to any clinical trials conducted in the EEA or the UK. Its definition of personal data includes coded data, requires changes to informed consent practices and detailed notices for clinical trial subjects and investigators. In addition, the GDPR imposes strict rules on the transfer of personal data out of the EEA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for the UK),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EEA member states or the UK may make their own further laws and regulations limiting the processing of personal data, including genetic, biometric, or health data. </w:t>
      </w:r>
    </w:p>
    <w:p>
      <w:pPr>
        <w:pStyle w:val="TextBody"/>
        <w:bidi w:val="0"/>
        <w:spacing w:before="240" w:after="0"/>
        <w:jc w:val="left"/>
        <w:rPr>
          <w:rFonts w:ascii="Times New Roman" w:hAnsi="Times New Roman"/>
          <w:sz w:val="20"/>
        </w:rPr>
      </w:pPr>
      <w:r>
        <w:rPr>
          <w:rFonts w:ascii="Times New Roman" w:hAnsi="Times New Roman"/>
          <w:sz w:val="20"/>
        </w:rPr>
        <w:t xml:space="preserve">The GDPR prohibits cross-border data transfers of personal data to countries outside the EEA or the UK that are not considered by the European Commission and UK government as providing adequate protection to personal data, or third countries, including the United States in certain circumstances, unless a valid GDPR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transfer mechanism (for example, the European Commission approved Standard Contractual Clauses (the SCCs) and the UK International Data Transfer Agreement/Addendum (the UK IDTA)) has been put in place. Where relying on the SCCs/UK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AVROBIO needing to make strategic considerations around where EEA and UK personal data is located and which service providers AVROBIO can utilize for the processing of EEA and UK personal data. </w:t>
      </w:r>
    </w:p>
    <w:p>
      <w:pPr>
        <w:pStyle w:val="TextBody"/>
        <w:bidi w:val="0"/>
        <w:spacing w:before="240" w:after="0"/>
        <w:jc w:val="left"/>
        <w:rPr>
          <w:rFonts w:ascii="Times New Roman" w:hAnsi="Times New Roman"/>
          <w:sz w:val="20"/>
        </w:rPr>
      </w:pPr>
      <w:r>
        <w:rPr>
          <w:rFonts w:ascii="Times New Roman" w:hAnsi="Times New Roman"/>
          <w:sz w:val="20"/>
        </w:rPr>
        <w:t xml:space="preserve">AVROBIO has yet to adopt and implement comprehensive processes, systems and other relevant measures within AVROBIOs organization, and/or with AVROBIOs relevant collaborators, service providers, contractors or consultants, which are appropriate to address relevant requirements relating to international transfers of personal data from Europe, and to minimize the potential impacts and risks resulting from those requirements, across AVROBIOs organization. Failure to implement valid mechanisms for personal data transfers from Europe may result in AVROBIOs facing increased exposure to regulatory actions, substantial fines and injunctions against processing personal data from Europe. Inability to export personal data may also: restrict AVROBIOs activities outside Europe; limit AVROBIOs ability to collaborate with partners as well as other service providers, contractors and other companies outside of Europe; and/or require AVROBIO to increase AVROBIOs processing capabilities within Europe at significant expense or otherwise cause AVROBIO to change the geographical location or segregation of AVROBIOs relevant systems and operations  any or all of which could adversely affect AVROBIOs operations or financial results. Additionally, other countries outside of Europe have enacted or are considering enacting similar cross-border data transfer restrictions and laws requiring local data residency, which could increase the cost and complexity of delivering AVROBIOs services and operating AVROBIOs business. The type of challenges AVROBIO faces in Europe will likely also arise in other jurisdictions that adopt laws similar in construction to the GDPR or regulatory frameworks of equivalent complexity. </w:t>
      </w:r>
    </w:p>
    <w:p>
      <w:pPr>
        <w:pStyle w:val="TextBody"/>
        <w:bidi w:val="0"/>
        <w:spacing w:before="240" w:after="0"/>
        <w:jc w:val="left"/>
        <w:rPr>
          <w:rFonts w:ascii="Times New Roman" w:hAnsi="Times New Roman"/>
          <w:sz w:val="20"/>
        </w:rPr>
      </w:pPr>
      <w:r>
        <w:rPr>
          <w:rFonts w:ascii="Times New Roman" w:hAnsi="Times New Roman"/>
          <w:sz w:val="20"/>
        </w:rPr>
        <w:t xml:space="preserve">Although the UK is regarded as a third country under the EU GDPR, the European Commission has issued an adequacy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EU remain free flowing. The UK Government has also now introduced a Data Protection and Digital Information Bill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AVROBIOs handling of personal data and AVROBIOs privacy and data security compliance programs and could require AVROBIO to implement different compliance measures for the UK and the EEA. </w:t>
      </w:r>
    </w:p>
    <w:p>
      <w:pPr>
        <w:pStyle w:val="TextBody"/>
        <w:bidi w:val="0"/>
        <w:spacing w:before="240" w:after="0"/>
        <w:jc w:val="left"/>
        <w:rPr>
          <w:rFonts w:ascii="Times New Roman" w:hAnsi="Times New Roman"/>
          <w:sz w:val="20"/>
        </w:rPr>
      </w:pPr>
      <w:r>
        <w:rPr>
          <w:rFonts w:ascii="Times New Roman" w:hAnsi="Times New Roman"/>
          <w:sz w:val="20"/>
        </w:rPr>
        <w:t xml:space="preserve">Given the breadth and depth of its obligations, complying with the GDPRs requirements is rigorous and time intensive and requires significant resources and assessment of AVROBIOs technologies, systems and practices, as well as those of any third-party collaborators, service providers, contractors, or consultants that process or transfer personal data collected in the EEA or the UK. Compliance with the GDPR will be a rigorous and time-intensive process that may increase AVROBIOs cost of doing business and require AVROBIO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 AVROBIOs business practices, and despite those efforts, there is a risk that AVROBIO may be subject to fines and penalties, litigation, and reputational harm in connection with European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faces potential product liability, and, if successful claims are brought against AVROBIO, AVROBIO may incur substantial liability and costs. If the use of AVROBIOs product candidates harms patients, or is perceived to harm patients even when such harm is unrelated to AVROBIOs product candidates, AVROBIOs regulatory approvals could be revoked or otherwise negatively impacted and AVROBIO could be subject to costly and damaging product liability claims. </w:t>
      </w:r>
    </w:p>
    <w:p>
      <w:pPr>
        <w:pStyle w:val="TextBody"/>
        <w:bidi w:val="0"/>
        <w:spacing w:before="120" w:after="0"/>
        <w:jc w:val="left"/>
        <w:rPr>
          <w:rFonts w:ascii="Times New Roman" w:hAnsi="Times New Roman"/>
          <w:sz w:val="20"/>
        </w:rPr>
      </w:pPr>
      <w:r>
        <w:rPr>
          <w:rFonts w:ascii="Times New Roman" w:hAnsi="Times New Roman"/>
          <w:sz w:val="20"/>
        </w:rPr>
        <w:t xml:space="preserve">The use of AVROBIOs product candidates including in clinical studies and, should AVROBIO resume the development of its product candidates, the future sale of any products for which AVROBIO may obtain marketing approval, exposes AVROBIO to the risk of product liability claims. Product liability claims might be brought against AVROBIO by consumers, healthcare providers, pharmaceutical companies or others selling or otherwise coming into contact with AVROBIOs products. There is a risk that AVROBIOs product candidates may induce adverse events. If AVROBIO cannot successfully defend against product liability claims, AVROBIO could incur substantial liability and costs. In addition, regardless of merit or eventual outcome, product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impairment of AVROBIOs business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of clinical study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due to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distraction of managements attention from AVROBIOs primary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patients or other claimants;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AVROBIOs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AVROBIOs product candidates, if approved for commercial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carries master product liability insurance of $5.0 million per occurrence and $5.0 million in the aggregate in the United States. For studies conducted in certain countries outside the United States, AVROBIO maintains local admitted policies with varying limits. AVROBIO believes AVROBIOs product liability insurance coverage is sufficient in light of AVROBIOs current clinical programs; however, AVROBIO may not be able to maintain insurance coverage at a reasonable cost or in sufficient amounts to protect AVROBIO against losses due to liability. If AVROBIO resume development of its product candidates and thereafter obtain marketing approval for product candidates, AVROBIO expects that AVROBIO would expand AVROBIOs insurance coverage to include the sale of commercial products; however, AVROBIO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AVROBIO could cause AVROBIOs stock price to decline and, if judgments exceed AVROBIOs insurance coverage, could adversely affect AVROBIOs results of operations and business. </w:t>
      </w:r>
    </w:p>
    <w:p>
      <w:pPr>
        <w:pStyle w:val="TextBody"/>
        <w:bidi w:val="0"/>
        <w:spacing w:before="240" w:after="0"/>
        <w:jc w:val="left"/>
        <w:rPr>
          <w:rFonts w:ascii="Times New Roman" w:hAnsi="Times New Roman"/>
          <w:sz w:val="20"/>
        </w:rPr>
      </w:pPr>
      <w:r>
        <w:rPr>
          <w:rFonts w:ascii="Times New Roman" w:hAnsi="Times New Roman"/>
          <w:sz w:val="20"/>
        </w:rPr>
        <w:t xml:space="preserve">Patients with the diseases targeted by certain of AVROBIOs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AVROBIOs product candidates. Such events could subject AVROBIO to costly litigation, require AVROBIO to pay substantial amounts of money to injured patients, delay, negatively impact or end AVROBIOs opportunity to receive or maintain regulatory approval to market AVROBIOs products, or require AVROBIO to suspend or abandon AVROBIOs commercialization efforts. Even in a circumstance in which AVROBIO does not believe that an adverse event is related to AVROBIOs products, the investigation into the circumstance may be time-consuming or inconclusive. These investigations may interrupt AVROBIOs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efforts, delay AVROBIOs regulatory approval process in other countries, or impact and limit the type of regulatory approvals AVROBIOs product candidates receive or maintain. As a result of these factors, a product liability claim, even if successfully defended, could have a material adverse effect on AVROBIOs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fails to comply with environmental, health and safety laws and regulations, AVROBIO could become subject to fines or penalties or incur costs that could have a material adverse effect on the success of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to numerous environmental, health and safety laws and regulations, including those governing laboratory procedures and the handling, use, storage, treatment and disposal of hazardous materials and wastes. AVROBIOs operations involve the use of hazardous and flammable materials, including chemicals and biological materials. AVROBIOs operations also produce hazardous waste products. AVROBIO generally contracts with third parties for the disposal of these materials and wastes. AVROBIO cannot eliminate the risk of contamination or injury from these materials. In the event of contamination or injury resulting from AVROBIOs use of hazardous materials, AVROBIO could be held liable for any resulting damages, and any liability could exceed AVROBIOs resources. AVROBIO also could incur significant costs associated with civil or criminal fines and penalties. Furthermore, environmental laws and regulations are complex, change frequently and have tended to become more stringent. AVROBIO cannot predict the impact of such changes and cannot be certain of AVROBIOs future compliance.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AVROBIO maintains workers compensation insurance to cover AVROBIO for costs and expenses AVROBIO may incur due to injuries to AVROBIOs employees resulting from the use of hazardous materials or other work-related injuries, this insurance may not provide adequate coverage against potential liabilities.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 or liabilities, which could materially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might not be able to utilize a significant portion of AVROBIOs net operating loss carryforwards and research and development tax credit carryforwards. </w:t>
      </w:r>
    </w:p>
    <w:p>
      <w:pPr>
        <w:pStyle w:val="TextBody"/>
        <w:bidi w:val="0"/>
        <w:spacing w:before="120" w:after="0"/>
        <w:jc w:val="left"/>
        <w:rPr>
          <w:rFonts w:ascii="Times New Roman" w:hAnsi="Times New Roman"/>
          <w:sz w:val="20"/>
        </w:rPr>
      </w:pPr>
      <w:r>
        <w:rPr>
          <w:rFonts w:ascii="Times New Roman" w:hAnsi="Times New Roman"/>
          <w:sz w:val="20"/>
        </w:rPr>
        <w:t>As of December 31, 2023 and 2022, AVROBIO had federal and state net operating loss carryforwards of $575.9 million and $657.0 million, respectively, and federal research and development tax credit carryforwards of approximately $6.4 million and $6.8 million, respectively. If not utilized, the net operating loss carryforwards and research and development credits will generally expire at various dates through 2041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AVROBIO may have experienced ownership changes in the past. AVROBIO may also experience ownership changes in the future as a result of subsequent shifts in AVROBIOs stock ownership, some of which may be outside of AVROBIOs control. In addition, the merger, if consummated, may also constitute an ownership change (within the meaning of Section 382 of the Code) which could eliminate or otherwise substantially limit AVROBIOs ability to use its pre-change net operating loss carryforwards and other pre-change tax attributes.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ownership change occurred or occurs and AVROBIOs ability to use AVROBIOs historical net operating loss and tax credit carryforwards is materially limited (or entirely eliminated), or if AVROBIOs research and development carryforwards are adjusted, it would harm AVROBIOs future operating results by effectively increasing AVROBIOs future tax obligations. For taxable years beginning after December 31, 2020, deductions for federal net operating losses arising in taxable years beginning after December 31, 2017 may only offset 80% of taxable income. </w:t>
      </w:r>
    </w:p>
    <w:p>
      <w:pPr>
        <w:pStyle w:val="TextBody"/>
        <w:bidi w:val="0"/>
        <w:spacing w:before="360" w:after="0"/>
        <w:jc w:val="left"/>
        <w:rPr>
          <w:rFonts w:ascii="Times New Roman" w:hAnsi="Times New Roman"/>
          <w:b/>
          <w:sz w:val="20"/>
        </w:rPr>
      </w:pPr>
      <w:bookmarkStart w:id="33" w:name="toc770053_31"/>
      <w:bookmarkEnd w:id="33"/>
      <w:r>
        <w:rPr>
          <w:rFonts w:ascii="Times New Roman" w:hAnsi="Times New Roman"/>
          <w:b/>
          <w:sz w:val="20"/>
        </w:rPr>
        <w:t xml:space="preserve">Risks Related to AVROBIOs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third-party claims of intellectual property infringement may prevent or delay AVROBIOs development and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AVROBIOs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parties reexamination proceedings before the U.S. Patent and Trademark Office (USPTO) and corresponding foreign patent offices. Numerous U.S. and foreign issued patents and pending patent applications, which are owned by third parties, exist in the fields in which AVROBIO is pursuing development candidates. As the biotechnology and pharmaceutical industries expand and more patents are issued, the risk increases that AVROBIOs product candidates may be subject to claims of infringement of the patent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AVROBIO or AVROBIOs licensors are employing their proprietary technology without authorization. There may be third-party patents or patent applications with claims to materials, formulations, methods of manufacture or methods for treatment related to the use or manufacture of AVROBIOs product candidates. In particular, AVROBIO is aware of issued patents in the United States that cover the lentiviral vectors used in the manufacture of AVROBIOs product candidates. While AVROBIO believes that AVROBIO has reasonable defenses against a claim of infringement, potentially including that certain of these patents are expected to expire prior to commercializing AVROBIOs product candidates, if approved, in the United States, there can be no assurance that AVROBIO will prevail in any such action by the holder of these patents. In the event that the holder of these patents seeks to enforce its patent rights and AVROBIOs defenses against a claim of infringement are unsuccessful, AVROBIO may not be able to commercialize AVROBIOs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AVROBIOs management from AVROBIOs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Because patent applications can take many years to issue, there may be currently pending patent applications which may later result in issued patents that AVROBIOs product candidates may infringe or be alleged to infringe. In addition, third parties may obtain patents in the future and claim that use of AVROBIOs or AVROBIOs licensors technologies infringes upon these patents. If any third-party patents were held by a court of competent jurisdiction to cover the manufacturing process of any of AVROBIOs product candidates, any molecules formed during the manufacturing process or any final product itself, the holders of any such patents may be able to block AVROBIOs ability to commercialize such product candidate unless AVROBIO obtained a license under the applicable patents, or until such patents expire. </w:t>
      </w:r>
    </w:p>
    <w:p>
      <w:pPr>
        <w:pStyle w:val="TextBody"/>
        <w:bidi w:val="0"/>
        <w:spacing w:before="240" w:after="0"/>
        <w:jc w:val="left"/>
        <w:rPr>
          <w:rFonts w:ascii="Times New Roman" w:hAnsi="Times New Roman"/>
          <w:sz w:val="20"/>
        </w:rPr>
      </w:pPr>
      <w:r>
        <w:rPr>
          <w:rFonts w:ascii="Times New Roman" w:hAnsi="Times New Roman"/>
          <w:sz w:val="20"/>
        </w:rPr>
        <w:t xml:space="preserve">Similarly, if any third-party patents were held by a court of competent jurisdiction to cover aspects of AVROBIOs formulations, processes for manufacture or methods of use, including combination therapy, the holders of any such patents may be able to block AVROBIOs ability to develop and commercialize the applicable product candidate unless AVROBIO obtained a license or until such patent expires. In either case, such a license may not be available on commercially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AVROBIO may obtain injunctive or other equitable relief, which could effectively block AVROBIOs ability to further develop and commercialize one or more of AVROBIOs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candidates. Defense of these claims, regardless of their merit, would involve substantial litigation expense and would be a substantial diversion of employee resources from AVROBIOs business. In the event of a successful claim of infringement against AVROBIO, AVROBIO may have to pay substantial damages, including treble damages and attorneys fees for willful infringement, pay royalties, redesign AVROBIOs infringing products or obtain one or more licenses from third parties, which may be impossible or require substantial time and monetary expenditure. Even in the absence of a finding of infringement, AVROBIO may choose to obtain a license, if such a license is available. A successful claim of patent or other intellectual property infringement against AVROBIO could materially adversely affect AVROBIOs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rights to develop and commercialize its product candidates, should AVROBIO resume development of its product candidates, are subject, in part, to the terms and conditions of licenses granted to AVROBIO by others. </w:t>
      </w:r>
    </w:p>
    <w:p>
      <w:pPr>
        <w:pStyle w:val="TextBody"/>
        <w:bidi w:val="0"/>
        <w:spacing w:before="120" w:after="0"/>
        <w:jc w:val="left"/>
        <w:rPr>
          <w:rFonts w:ascii="Times New Roman" w:hAnsi="Times New Roman"/>
          <w:sz w:val="20"/>
        </w:rPr>
      </w:pPr>
      <w:r>
        <w:rPr>
          <w:rFonts w:ascii="Times New Roman" w:hAnsi="Times New Roman"/>
          <w:sz w:val="20"/>
        </w:rPr>
        <w:t xml:space="preserve">AVROBIO depends upon the intellectual property rights granted to AVROBIO under licenses from third parties that are important or necessary to the development of AVROBIOs technology and products, including technology related to AVROBIOs manufacturing process and AVROBIOs gene therapy product candidates. In particular, AVROBIO had in-licensed certain intellectual property rights and know-how from the University Health Network (UHN) (relevant to AVR-RD-01 and AVROBIOs Fabry program, which AVROBIO deprioritized in January 2022) and affiliates of Lund University (relevant to AVR-RD-02 and AVROBIOs Gaucher type 1 and type 3 programs), and AVROBIOs Fabry license agreement with UHN was terminated as of January 4, 2024. In addition, AVROBIO has in-licensed patents and patent applications from BioMarin Pharmaceutical Inc. (BioMarin) (relevant to AVR-RD-03 and AVROBIOs Pompe program) directed to compositions and methods related to the manufacture and use of AVR-RD-03. AVROBIO also previously had in place in-licensed patent applications from The University of Manchester relevant to AVR-RD-05 and AVROBIOs Hunter program, which license agreement was terminated as of September 8, 2023. Any termination of AVROBIOs remaining licenses could result in the loss of significant rights and could harm or prevent AVROBIOs ability to commercialize AVROBIOs product candidates, should AVROBIO resume development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Each of AVROBIOs existing licenses with affiliates of Lund University and BioMarin are exclusive but are limited to particular fields, such as Gaucher disease type 1, or Pompe disease, and are subject to certain retained rights. Absent an amendment or additional agreement, AVROBIO may not have the right to use intellectual property in-licensed for one of AVROBIOs programs for another program. In addition, licenses that AVROBIO may enter into in the future may not provide exclusive rights to use such intellectual property and technology in all relevant fields of use and in all territories in which AVROBIO may wish to develop or commercialize AVROBIOs technology and products in the future. As a result, AVROBIO may not be able to prevent competitors from developing and commercializing competitive products in territories included in all of AVROBIOs licenses. Licenses to additional third-party technology that may be required for AVROBIOs development programs may not be available in the future or may not be available on commercially reasonable terms, or at all, which could have a material adverse effect on AVROBIOs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some circumstances, AVROBIO may not have the right to control the preparation, filing and prosecution of patent applications, or to maintain the patents, covering technology that AVROBIO licenses from third parties. For example, pursuant to each of AVROBIOs intellectual property licenses with BioMarin, the rights holders associated with Lund University, AVROBIOs licensors retain control of such activities. Therefore, AVROBIO cannot be certain that these patents and applications will be prosecuted, maintained and enforced in a manner consistent with the best interests of AVROBIOs business. If AVROBIOs licensors fail to maintain such patents, or lose rights to those patents or patent applications, the rights AVROBIO has licensed may be reduced or eliminated and AVROBIOs right to develop and commercialize any of AVROBIOs products that are the subject of such licensed rights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AVROBIOs current license agreements impose, and AVROBIO expects that future license agreements that AVROBIO may enter into will impose, various obligations, including diligence and certain payment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AVROBIO fails to satisfy AVROBIOs obligations, the licensor may have the right to terminate the agreement. Disputes may arise between AVROBIO and any of AVROBIOs licensors regarding intellectual property subject to such agreements and other issues. Such disputes over intellectual property that AVROBIO has licensed or the terms of AVROBIOs license agreements may prevent or impair AVROBIOs ability to maintain AVROBIOs current arrangements on acceptable terms, or at all, or may impair the value of the arrangement to AVROBIO. Any such dispute could have a material adverse effect on AVROBIOs business. If AVROBIO cannot maintain a necessary license agreement or if the agreement is terminated, AVROBIO may be unable to successfully develop and commercialize the affected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is unable to obtain and maintain patent protection for AVROBIOs product candidates, or if the scope of the patent protection obtained is not sufficiently broad, AVROBIOs competitors could develop and commercialize products similar or identical to AVROBIOs, and AVROBIOs ability to successfully commercialize AVROBIOs product candidates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AVROBIOs ability to compete effectively will depend, in part, on AVROBIOs ability to maintain the proprietary nature of AVROBIOs technology and manufacturing processes. AVROBIO relies on manufacturing and other know-how, patents, trade secrets, trademarks, license agreements and contractual provisions to establish AVROBIOs intellectual property rights and protect AVROBIOs products. These legal means, however, afford only limited protection and may not adequately protect AVROBIOs rights. The failure to obtain, maintain, enforce or defend such intellectual property rights, for any reason, could allow third parties to make competing products or impact AVROBIOs ability to develop, manufacture and market AVROBIOs products, if approved, on a commercially viable basis, or at all, which could have a material adverse effect on AVROBIOs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AVROBIO relies primarily on trade secrets, know-how and other unpatented technology, which are difficult to protect. Although AVROBIO seeks such protection in part by entering into confidentiality agreements with AVROBIOs vendors, employees, consultants and others who may have access to proprietary information, AVROBIO cannot be certain that these agreements will not be breached, adequate remedies for any breach would be available or AVROBIOs trade secrets, know-how and other unpatented proprietary technology will not otherwise become known to or be independently developed by AVROBIOs competitors. Should AVROBIO resume development of its product candidates and AVROBIO is unsuccessful in protecting AVROBIOs intellectual property rights, sales of AVROBIOs products may suffer and AVROBIOs ability to generate revenue could be severely impacted. </w:t>
      </w:r>
    </w:p>
    <w:p>
      <w:pPr>
        <w:pStyle w:val="TextBody"/>
        <w:bidi w:val="0"/>
        <w:spacing w:before="240" w:after="0"/>
        <w:jc w:val="left"/>
        <w:rPr>
          <w:rFonts w:ascii="Times New Roman" w:hAnsi="Times New Roman"/>
          <w:sz w:val="20"/>
        </w:rPr>
      </w:pPr>
      <w:r>
        <w:rPr>
          <w:rFonts w:ascii="Times New Roman" w:hAnsi="Times New Roman"/>
          <w:sz w:val="20"/>
        </w:rPr>
        <w:t xml:space="preserve">AVROBIOs licensors and AVROBIO has sought, and AVROBIO intends to continue to seek to protect AVROBIOs proprietary position by filing patent applications in the United States and, in at least some cases, one or more countries outside the United States related to product candidates that are important to AVROBIOs business. However, AVROBIO cannot predict whether the patent applications AVROBIO and AVROBIOs licensors are currently pursuing will issue as patents, whether the claims of any issued patents will provide AVROBIO with a competitive advantage, or whether AVROBIO will be able to successfully pursue patent applications in the future related to AVROBIOs product candidates, should AVROBIO resume development of its product candidates. While AVROBIO has in-licensed patents and patent applications relevant to AVR-RD-03, AVROBIO currently has no owned or in-licensed patents or patent applications covering AVR-RD-01 or AVR-RD-02. Some of AVROBIOs product candidates are in-licensed from third parties. Accordingly, in some cases, the availability and scope of potential patent protection is limited based on prior decisions by AVROBIOs licensors or the inventors, such as decisions on when to file patent applications or whether to file patent applications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not be able to protect AVROBIOs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AVROBIOs intellectual property rights in some countries outside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could be less extensive than those in the United States. Although AVROBIOs license agreements grant AVROBIO worldwide rights, and AVROBIOs currently in-licensed U.S. patent rights have certain corresponding foreign patents or patent applications, there can be no assurance that AVROBIO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AVROBIO and AVROBIOs licensors pursue patent protection. Consequently, AVROBIO and AVROBIOs licensors may not be able to prevent third parties from practicing AVROBIOs inventions in all countries outside the United States, even in jurisdictions where AVROBIO and AVROBIOs licensors pursue patent protection, or from selling or importing products made using AVROBIOs inventions in and into the United States or other jurisdictions. Competitors may use AVROBIOs technologies in jurisdictions where AVROBIO and AVROBIOs licensors have not pursued and obtained patent protection to develop their own products and, further, may export otherwise infringing products to territories where AVROBIO has patent protection, but enforcement is not as strong as that in the United States. These products may compete with AVROBIOs product candidates and AVROBIOs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AVROBIO to stop the infringement of AVROBIOs patents or marketing of competing products in violation of AVROBIOs proprietary rights generally. Proceedings to enforce AVROBIOs patent rights, even if obtained, in foreign jurisdictions could result in substantial costs and divert AVROBIOs efforts and attention from other aspects of AVROBIOs business, could put AVROBIOs patents at risk of being invalidated or interpreted narrowly and AVROBIOs patent applications at risk of not issuing and could provoke third parties to assert claims against AVROBIO. AVROBIO may not prevail in any lawsuits that AVROBIO initiate and the damages or other remedies awarded, if any, may not be commercially meaningful. Accordingly, AVROBIOs efforts to enforce AVROBIOs intellectual property rights around the world may be inadequate to obtain a significant commercial advantage from the intellectual property that AVROBIO develops or licenses.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AVROBIOs product candidates could be found invalid or unenforceable if challenged in court. AVROBIO may not be able to protect AVROBIOs trade secrets in court. </w:t>
      </w:r>
    </w:p>
    <w:p>
      <w:pPr>
        <w:pStyle w:val="TextBody"/>
        <w:bidi w:val="0"/>
        <w:spacing w:before="120" w:after="0"/>
        <w:jc w:val="left"/>
        <w:rPr>
          <w:rFonts w:ascii="Times New Roman" w:hAnsi="Times New Roman"/>
          <w:sz w:val="20"/>
        </w:rPr>
      </w:pPr>
      <w:r>
        <w:rPr>
          <w:rFonts w:ascii="Times New Roman" w:hAnsi="Times New Roman"/>
          <w:sz w:val="20"/>
        </w:rPr>
        <w:t xml:space="preserve">If one of AVROBIOs licensing partners or AVROBIO initiate legal proceedings against a third-party to enforce a patent covering one of AVROBIOs product candidates, should such a patent issue, the defendant could counterclaim that the patent covering AVROBIOs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parties review and equivalent proceedings in foreign jurisdictions. Such proceedings could result in the revocation or cancellation of or amendment to AVROBIOs patents in such a way that they no longer cover AVROBIOs product candidates. The outcome following legal assertions of invalidity and unenforceability is unpredictable. With respect to the validity question, for example, AVROBIO cannot be certain that there is no invalidating prior art, of which the patent examiner and AVROBIO or AVROBIOs licensing partners were unaware during prosecution. If a defendant were to prevail on a legal assertion of invalidity or unenforceability, AVROBIO could lose at least part, and perhaps all, of the patent protection on one or more of AVROBIOs product candidates. Such a loss of patent protection could have a material adverse impact on AVROBIOs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protection afforded by patents, AVROBIO relies on trade secret protection and confidentiality agreements to protect proprietary know-how that is not patentable or that AVROBIO elects not to patent, processes for which patents are difficult to enforce and any other elements of AVROBIOs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AVROBIO seeks to protect AVROBIOs proprietary technology and processes, in part, by entering into confidentiality agreements with AVROBIOs employees, consultants, scientific advisors and contractors. AVROBIO cannot guarantee that AVROBIO has entered into such agreements with each party that may have or have had access to AVROBIOs trade secrets or proprietary technology and processes. AVROBIO also seeks to preserve the integrity and confidentiality of AVROBIOs data and trade secrets by maintaining physical security of AVROBIOs premises and physical and electronic security of AVROBIOs information technology systems. While AVROBIO has confidence in these individuals, organizations and systems, agreements or security measures may be breached, and AVROBIO may not have adequate remedies for any breach. In addition, AVROBIOs trade secrets may otherwise become known or be independently discovered by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may be subject to claims asserting that AVROBIOs employees, consultants or advisors have wrongfully used or disclosed alleged trade secrets of their current or former employers or claims asserting ownership of what AVROBIO regards as AVROBIOs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Certain of AVROBIOs employees, consultants or advisors are currently, or were previously, employed at universities or other biotechnology or pharmaceutical companies, including AVROBIOs competitors or potential competitors. Although AVROBIO tries to ensure that AVROBIOs employees, consultants and advisors do not use the proprietary information or know-how of others in their work for AVROBIO, AVROBIO may be subject to claims that these individuals or AVROBIO has used or disclosed intellectual property, including trade secrets or other proprietary information, of any such individuals current or former employer. Litigation may be necessary to defend against these claims. If AVROBIO fails in defending any such claims, in addition to paying monetary damages, AVROBIO may lose valuable intellectual property rights or personnel. Even if AVROBIO is successful in defending against such claims, litigation could result in substantial costs and be a distraction to management. AVROBIOs licensors may face similar risks, which could have an adverse impact on intellectual property that is licensed to AVROBIO.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AVROBIOs policy to require AVROBIOs employees and contractors who may be involved in the conception or development of intellectual property to execute agreements assigning such intellectual property to AVROBIO, AVROBIO may be unsuccessful in executing such an agreement with each party who, in fact, conceives or develops intellectual property that AVROBIO regards as AVROBIOs own. The assignment of intellectual property rights may not be self-executing or the assignment agreements may be breached, and AVROBIO may be forced to bring claims against third parties, or defend claims that they may bring against AVROBIO, to determine the ownership of what AVROBIO regards as AVROBIOs intellectual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may be subject to claims challenging the inventorship or ownership of the patents and other intellectual property that AVROBIO owns or licenses. </w:t>
      </w:r>
    </w:p>
    <w:p>
      <w:pPr>
        <w:pStyle w:val="TextBody"/>
        <w:bidi w:val="0"/>
        <w:spacing w:before="120" w:after="0"/>
        <w:jc w:val="left"/>
        <w:rPr>
          <w:rFonts w:ascii="Times New Roman" w:hAnsi="Times New Roman"/>
          <w:sz w:val="20"/>
        </w:rPr>
      </w:pPr>
      <w:r>
        <w:rPr>
          <w:rFonts w:ascii="Times New Roman" w:hAnsi="Times New Roman"/>
          <w:sz w:val="20"/>
        </w:rPr>
        <w:t xml:space="preserve">AVROBIO or AVROBIOs licensors may be subject to claims that former employees, collaborators or other third parties have an ownership interest in the patents and intellectual property that AVROBIO owns or licenses or that AVROBIO may own or license in the future. While it is AVROBIOs policy to require AVROBIOs employees and contractors who may be involved in the development of intellectual property to execute agreements assigning such intellectual property to AVROBIO, AVROBIO may be unsuccessful in executing such an agreement with each party who in fact develops intellectual property that AVROBIO regards as AVROBIOs own; AVROBIOs licensors may face similar obstacles. AVROBIO could be subject to ownership disputes arising, for example, from conflicting obligations of consultants or others who are involved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developing AVROBIOs product candidates. Litigation may be necessary to defend against any claims challenging inventorship or ownership. If AVROBIO or AVROBIOs licensors fail in defending any such claims, AVROBIO may have to pay monetary damages and may lose valuable intellectual property rights, such as exclusive ownership of, or right to use, intellectual property, which could adversely impact AVROBIOs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patent law could diminish the value of patents in general, thereby impairing AVROBIOs ability to protect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AVROBIOs business. However, the Leahy-Smith Act and its implementation could increase the uncertainties and costs surrounding the prosecution of AVROBIOs patent applications and the enforcement or defense of AVROBIOs issued patents, all of which could have a material adverse effect on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of companies engaged in the development and commercialization of biologics and pharmaceuticals are particularly uncertain. Two cases involving diagnostic method claims and gene patents were decided this year by the Supreme Court of the United States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w:t>
      </w:r>
    </w:p>
    <w:p>
      <w:pPr>
        <w:pStyle w:val="TextBody"/>
        <w:bidi w:val="0"/>
        <w:spacing w:before="240" w:after="0"/>
        <w:jc w:val="left"/>
        <w:rPr>
          <w:rFonts w:ascii="Times New Roman" w:hAnsi="Times New Roman"/>
          <w:sz w:val="20"/>
        </w:rPr>
      </w:pPr>
      <w:r>
        <w:rPr>
          <w:rFonts w:ascii="Times New Roman" w:hAnsi="Times New Roman"/>
          <w:sz w:val="20"/>
        </w:rPr>
        <w:t xml:space="preserve">Certain claims of AVROBIOs licensed patents and patent applications contain, and any future patents AVROBIO may obtain may contain, claims that relate to specific recombinant DNA sequences that are naturally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occurring at least in part and, therefore, could be the subject of future challenges made by third parties. In addition, the 2014 USPTO guidance could impact AVROBIOs ability to pursue similar patent claims in patent applications AVROBIO may prosecute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assure you that AVROBIOs efforts to seek patent protection for AVROBIOs product candidates will not be negatively impacted by the decisions described above, rulings in other cases or changes in guidance or procedures issued by the USPTO. AVROBIO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AVROBIOs existing patent rights and AVROBIOs ability to protect and enforce AVROBIOs intellectual property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Moreover, although the Supreme Court has held in Myriad that isolated segments of naturally occurring DNA are not patent-eligible subject matter, certain third parties could allege that activities that AVROBIO may undertake infringe other gene-related patent claims, and AVROBIO may deem it necessary to defend itself against these claims by asserting non-infringement and/or invalidity positions, or paying to obtain a license to these claims. In any of the foregoing or in other situations involving third-party intellectual property rights, if AVROBIO is unsuccessful in defending against claims of patent infringement, AVROBIO could be forced to pay damages or be subjected to an injunction that would prevent AVROBIO from utilizing the patented subject matter. Such outcomes could harm AVROBIOs business, financial condition, results of operations or prospects.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AVROBIO does not obtain patent term extension and data exclusivity for AVROBIOs product candidates, AVROBIOs business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Depending upon the timing, duration and specifics of any FDA marketing approval of AVROBIOs product candidates, one or more U.S. patents that AVROBIO licenses or may own or license in the future, if any, may be eligible for limited patent term extension under the Drug Price Competition and Patent Term Restoration Act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AVROBIO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AVROBIO requests. If AVROBIO is unable to obtain patent term extension or the term of any such extension is less than AVROBIO requests, AVROBIOs competitors may obtain approval of competing products following AVROBIOs patent expiration, and AVROBIOs revenue could be reduced, possibly materially. In addition, AVROBIO does not control the efforts of AVROBIOs licensors to obtain a patent term extension, and there can be no assurance that they will pursue or obtain such extensions to the patents that AVROBIO licenses from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AVROBIOs trademarks and trade names are not adequately protected, then AVROBIO may not be able to build name recognition in AVROBIOs markets of interest and AVROBIOs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AVROBIO has registered the marks AVROBIO and plato with the USPTO and in certain other countries, but AVROBIO does not have trademarks or trademark applications with the USPTO for the marks AVRO or the AVROBIO logo. In the future, even if AVROBIO applies for registration of these marks, there can be no assurance that such registration will be approved. Once registered, AVROBIOs trademarks or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names may be challenged, infringed, circumvented or declared generic or determined to be infringing on other marks. AVROBIO may not be able to protect AVROBIOs rights to these trademarks and trade names, which AVROBIO needs to build name recognition among potential partners or customers in AVROBIOs markets of interest. At times, competitors may adopt trade names or trademarks similar to AVROBIOs, thereby impeding AVROBIOs ability to build brand identity and possibly leading to market confusion. In addition, there could be potential trade name or trademark infringement claims brought by owners of other registered trademarks or trademarks that incorporate variations of AVROBIOs registered or unregistered trademarks or trade names. Over the long term, if AVROBIO is unable to establish name recognition based on AVROBIOs trademarks and trade names, then AVROBIO may not be able to compete effectively and AVROBIOs business may be adversely affected. AVROBIOs efforts to enforce or protect AVROBIOs proprietary rights related to trademarks, trade secrets, domain names, copyrights or other intellectual property may be ineffective and could result in substantial costs and diversion of resources and could adversely impact AVROBIOs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and regulatory exclusivity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AVROBIOs intellectual property rights is uncertain because intellectual property rights have limitations, and may not adequately protect AVROBIOs business or permit AVROBIO to maintain AVROBIOs competitive advantage, should AVROBIO resume development of its product candidates.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gene therapy products that are similar to AVROBIOs product candidates but that are not covered by the claims of the patents that AVROBIO licenses or may own or license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AVROBIOs license partners or current or future collaborators, might not have been the first to make the inventions covered by the issued patents or pending patent applications that AVROBIO licenses or may own or license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AVROBIOs license partners or current or future collaborators, might not have been the first to file patent applications covering certain of AVROBIOs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AVROBIOs technologies without infringing AVROBIOs owned or licensed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AVROBIOs pending licensed patent applications or those that AVROBIO may own or license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AVROBIO holds rights to or may hold rights to in the future may be held invalid or unenforceable, including as a result of legal challenges by AVROBIOs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of AVROBIOs product candidates may never be protected by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competitors might conduct research and development activities in countries where AVROBIO does not have patent rights and then use the information learned from such activities to develop competitive products for sale in AVROBIOs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AVROBIOs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may choose not to file a patent application for certain trade secrets or know-how, and a third party may subsequently file a patent application or obtain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significantly harm AVROBIOs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4" w:name="toc770053_32"/>
      <w:bookmarkEnd w:id="34"/>
      <w:r>
        <w:rPr>
          <w:rFonts w:ascii="Times New Roman" w:hAnsi="Times New Roman"/>
          <w:b/>
          <w:sz w:val="20"/>
        </w:rPr>
        <w:t xml:space="preserve">Risks Related to Ownership of AVROBIO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AVROBIO common stock may be highly volatile, and you may not be able to resell your shares at or above the price at which you purchased AVROBIOs shares. </w:t>
      </w:r>
    </w:p>
    <w:p>
      <w:pPr>
        <w:pStyle w:val="TextBody"/>
        <w:bidi w:val="0"/>
        <w:spacing w:before="120" w:after="0"/>
        <w:jc w:val="left"/>
        <w:rPr>
          <w:rFonts w:ascii="Times New Roman" w:hAnsi="Times New Roman"/>
          <w:sz w:val="20"/>
        </w:rPr>
      </w:pPr>
      <w:r>
        <w:rPr>
          <w:rFonts w:ascii="Times New Roman" w:hAnsi="Times New Roman"/>
          <w:sz w:val="20"/>
        </w:rPr>
        <w:t xml:space="preserve">AVROBIOs stock price is likely to be volatile. Since AVROBIOs IPO in June 2018, through March 15, 2024, the trading price of AVROBIO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AVROBIO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AVROBIOs exploration of strategic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results or delays in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of adverse events in other gene therapy products or clinical studies of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successfully develop and commercialize AVROBIOs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maintain AVROBIOs existing strategic collaborations or enter into new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or AVROBIOs licensors and strategic partners to prosecute, maintain or enforce AVROBIOs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AVROBIOs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adequate product supply for AVROBIOs product candidates or the inability to do so at acceptable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new products, services or technologies by AVROBIOs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meet or exceed financial projections AVROBIO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meet or exceed the financial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the pharmaceutical industry by the public, legislatures, regulators and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partnerships, joint ventures or capital commitments by AVROBIO, AVROBIOs strategic partners or AVROBIOs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AVROBIOs ability to obtain patent protection for AVROBIOs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scientific or management personnel, or other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AVROBIOs common stock by AVROBIO or AVROBIO stockholders in the future;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volume of AVROBIO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AVROBIO common stock, regardless of AVROBIOs actual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AVROBIO because pharmaceutical companies have experienced significant stock price volatility in recent years. If AVROBIO faces such litigation, it could result in substantial costs and a diversion of managements attention and resources, which could harm AVROBIOs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AVROBIOs common stock may not be sustained. </w:t>
      </w:r>
    </w:p>
    <w:p>
      <w:pPr>
        <w:pStyle w:val="TextBody"/>
        <w:bidi w:val="0"/>
        <w:spacing w:before="120" w:after="0"/>
        <w:jc w:val="left"/>
        <w:rPr>
          <w:rFonts w:ascii="Times New Roman" w:hAnsi="Times New Roman"/>
          <w:sz w:val="20"/>
        </w:rPr>
      </w:pPr>
      <w:r>
        <w:rPr>
          <w:rFonts w:ascii="Times New Roman" w:hAnsi="Times New Roman"/>
          <w:sz w:val="20"/>
        </w:rPr>
        <w:t xml:space="preserve">Prior to AVROBIOs IPO in June 2018, there had been no public market for AVROBIO common stock. Although AVROBIO common stock is listed on Nasdaq, an active trading market for AVROBIOs shares may never be sustained. If an active market for AVROBIO common stock is not sustained, it may be difficult for you to sell shares you purchased without depressing the market price for the shares, or at all. </w:t>
      </w:r>
    </w:p>
    <w:p>
      <w:pPr>
        <w:pStyle w:val="TextBody"/>
        <w:bidi w:val="0"/>
        <w:spacing w:before="240" w:after="0"/>
        <w:jc w:val="left"/>
        <w:rPr>
          <w:rFonts w:ascii="Times New Roman" w:hAnsi="Times New Roman"/>
          <w:sz w:val="20"/>
        </w:rPr>
      </w:pPr>
      <w:r>
        <w:rPr>
          <w:rFonts w:ascii="Times New Roman" w:hAnsi="Times New Roman"/>
          <w:sz w:val="20"/>
        </w:rPr>
        <w:t xml:space="preserve">An inactive trading market may also impair AVROBIOs ability to raise capital to continue to fund operations by selling additional shares and may impair AVROBIOs ability to acquire other companies or technologies by using AVROBIOs shares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AVROBIOs business, AVROBIOs share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AVROBIO common stock will likely depend in part on the research and reports that securities or industry analysts publish about AVROBIO or AVROBIOs business. AVROBIO does not have any control over these analysts. Although AVROBIO has obtained research coverage from certain analysts, there can be no assurance, including during such time period that AVROBIO pursues potential strategic alternatives, that analysts will continue to cover AVROBIO or provide favorable coverage. If one or more analysts downgrade AVROBIOs stock or change their opinion of AVROBIOs stock, AVROBIOs share price would likely decline. In addition, if one or more analysts cease coverage of AVROBIOs company or fail to regularly publish reports on AVROBIO, AVROBIO could lose visibility in the financial markets, which could cause AVROBIOs share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ownership of AVROBIO common stock among AVROBIOs existing executive officers, directors and principal stockholders may prevent new investors from influencing significant corporate decisions. </w:t>
      </w:r>
    </w:p>
    <w:p>
      <w:pPr>
        <w:pStyle w:val="TextBody"/>
        <w:bidi w:val="0"/>
        <w:spacing w:before="120" w:after="0"/>
        <w:jc w:val="left"/>
        <w:rPr>
          <w:rFonts w:ascii="Times New Roman" w:hAnsi="Times New Roman"/>
          <w:sz w:val="20"/>
        </w:rPr>
      </w:pPr>
      <w:r>
        <w:rPr>
          <w:rFonts w:ascii="Times New Roman" w:hAnsi="Times New Roman"/>
          <w:sz w:val="20"/>
        </w:rPr>
        <w:t xml:space="preserve">Based on shares outstanding as of March 15, 2024, AVROBIOs executive officers, directors, five percent stockholders and their affiliates beneficially owned approximately 37.8% of AVROBIOs voting stock. As a result, if these stockholders were to act together, they would be able to significantly influence all matters submitted to AVROBIO stockholders for approval, as well as AVROBIOs management and affairs. For example, these stockholders, acting together, may be able to influence elections of directors, amendments of AVROBIOs organizational documents, or approval of any merger, sale of assets, or other major corporate transaction. This may prevent or discourage unsolicited acquisition proposals or offers for AVROBIO common stock that you may believe are in your best interest as one of AVROBIO stockholders. Some of these persons or entities may have interests different than yours. For example, because many of these stockholders purchased their shares at prices substantially below the current trading price of AVROBIOs stock and have held their shares for a longer period, they may be more interested in selling AVROBIOs company to an acquirer than other investors or they may want AVROBIO to pursue strategies that deviate from the interests of other stockholders. Additionally, from time to time, any of AVROBIOs non-affiliated stockholders may accumulate or acquire significant positions in AVROBIO common stock and may similarly be able to influence AVROBIOs business or matters submitted to AVROBIO stockholders for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 is a smaller reporting company, and the reduced disclosure requirements applicable to smaller reporting companies may make AVROBIO common shares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AVROBIO is a smaller reporting company as defined in Item 10(f)(1) of Regulation S-K. Smaller reporting companies may take advantage of certain reduced disclosure obligations, including, among other things, providing only two years of audited financial statements in its Annual Report on Form 10-K, and, similar to emerging growth companies, smaller reporting companies have reduced disclosure obligations regarding executive compensation. To the extent AVROBIO takes advantage of such reduced disclosure obligations, it may also make comparison of its financial statements with other public companies difficult or impossible. AVROBIO will remain a smaller reporting company until the last day of the fiscal year in which (i) the market value of its common shares held by non-affiliates exceeds $250 million as of the end of that years second fiscal quarter, or (ii) its annual revenues exceeded $100 million during such completed fiscal year and the market value of its common shares held by non-affiliates exceeds $700 million as of the end of that years second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Investors may find AVROBIO common stock less attractive to the extent AVROBIO will rely on these exemptions. If some investors find AVROBIO common stock less attractive as a result, there may be a less active trading market for AVROBIO common stock and its stock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expects to continue to incur increased costs as a result of operating as a public company, and AVROBIOs management is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and particularly because AVROBIO is no longer an emerging growth company as defined in Regulation S-K, AVROBIO will incur significant legal, accounting and other expenses that AVROBIO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AVROBIOs management and other personnel will continue to devote a substantial amount of time to these compliance initiatives. Moreover, these rules and regulations have increased AVROBIOs legal and financial compliance costs and will continue to make some activities more time-consuming and costly. For example, AVROBIO expects that these rules and regulations may make it more difficult and increasingly more expensive for AVROBIO to obtain and maintain director and officer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404, AVROBIO is required to furnish a report by AVROBIOs management on AVROBIOs internal control over financial reporting, and, once AVROBIO is no longer a smaller reporting company, AVROBIO will be required to furnish an attestation report on internal control over financial reporting issued by AVROBIOs independent registered public accounting firm. To achieve compliance with Section 404, AVROBIO continues to be engaged in a process to document and evaluate AVROBIOs internal control over financial reporting, which is both costly and challenging. In this regard, AVROBIO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AVROBIOs efforts, there is a risk that AVROBIO will not be able to conclude that AVROBIOs internal control over financial reporting is effective as required by Section 404. This could result in an adverse reaction in the financial markets due to a loss of confidence in the reliability of AVROBIOs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fails to maintain an effective system of internal control over financial reporting, AVROBIO may not be able to accurately report AVROBIOs financial results or prevent fraud. As a result, stockholders could lose confidence in AVROBIOs financial and other public reporting, which would harm AVROBIOs business and the trading price of AVROBIOs common stock. </w:t>
      </w:r>
    </w:p>
    <w:p>
      <w:pPr>
        <w:pStyle w:val="TextBody"/>
        <w:bidi w:val="0"/>
        <w:spacing w:before="120" w:after="0"/>
        <w:jc w:val="left"/>
        <w:rPr>
          <w:rFonts w:ascii="Times New Roman" w:hAnsi="Times New Roman"/>
          <w:sz w:val="20"/>
        </w:rPr>
      </w:pPr>
      <w:r>
        <w:rPr>
          <w:rFonts w:ascii="Times New Roman" w:hAnsi="Times New Roman"/>
          <w:sz w:val="20"/>
        </w:rPr>
        <w:t xml:space="preserve">Effective internal control over financial reporting is necessary for AVROBIO to provide reliable financial reports and, together with adequate disclosure controls and procedures, are designed to prevent fraud. Any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implement required new or improved controls, or difficulties encountered in their implementation could cause AVROBIO to fail to meet AVROBIOs reporting obligations. In addition, any testing by AVROBIO conducted in connection with Section 404, or any subsequent testing by AVROBIOs independent registered public accounting firm, may reveal deficiencies in AVROBIOs internal control over financial reporting that are deemed to be material weaknesses or that may require prospective or retroactive changes to AVROBIOs financial statements, or may identify other areas for further attention or improvement. Inferior internal controls could also cause investors to lose confidence in AVROBIOs reported financial information, which could have a negative effect on the trading price of AVROBIOs stock. </w:t>
      </w:r>
    </w:p>
    <w:p>
      <w:pPr>
        <w:pStyle w:val="TextBody"/>
        <w:bidi w:val="0"/>
        <w:spacing w:before="240" w:after="0"/>
        <w:jc w:val="left"/>
        <w:rPr>
          <w:rFonts w:ascii="Times New Roman" w:hAnsi="Times New Roman"/>
          <w:sz w:val="20"/>
        </w:rPr>
      </w:pPr>
      <w:r>
        <w:rPr>
          <w:rFonts w:ascii="Times New Roman" w:hAnsi="Times New Roman"/>
          <w:sz w:val="20"/>
        </w:rPr>
        <w:t xml:space="preserve">AVROBIO is required to disclose changes made in AVROBIOs internal controls and procedures on a quarterly basis and AVROBIOs management is required to assess the effectiveness of these controls annually. However, for as long as AVROBIO is a smaller reporting company, AVROBIOs independent registered public accounting firm will not be required to attest to the effectiveness of AVROBIOs internal control over financial reporting pursuant to Section 404. AVROBIO will qualify as a smaller reporting company if the market value of AVROBIOs common stock held by non-affiliates is below $250 million (or $700 million if AVROBIOs annual revenue is less than $100 million) as of June 30 in any given year. An independent assessment of the effectiveness of AVROBIOs internal control over financial reporting could detect problems that AVROBIOs managements assessment might not. Undetected material weaknesses in AVROBIOs internal control over financial reporting could lead to financial statement restatements and require AVROBIO to incur the expense of remediation.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experiences material weaknesses or deficiencies in the future, or otherwise fails to establish and maintain effective internal controls, AVROBIO may be unable to produce timely and accurate financial statements, and AVROBIO may conclude that its internal control over financial reporting is not effective, which could adversely impact AVROBIOs investors confidence and AVROBIOs stock price. </w:t>
      </w:r>
    </w:p>
    <w:p>
      <w:pPr>
        <w:pStyle w:val="TextBody"/>
        <w:bidi w:val="0"/>
        <w:spacing w:before="120" w:after="0"/>
        <w:jc w:val="left"/>
        <w:rPr>
          <w:rFonts w:ascii="Times New Roman" w:hAnsi="Times New Roman"/>
          <w:sz w:val="20"/>
        </w:rPr>
      </w:pPr>
      <w:r>
        <w:rPr>
          <w:rFonts w:ascii="Times New Roman" w:hAnsi="Times New Roman"/>
          <w:sz w:val="20"/>
        </w:rPr>
        <w:t xml:space="preserve">AVROBIO expects to continue AVROBIOs efforts to improve AVROBIOs control processes, though there can be no assurance that AVROBIOs efforts will ultimately be successful or avoid potential material weaknesses, and AVROBIO expects to continue incurring additional costs as a result of these efforts. If AVROBIO is unable to successfully remediate any material weaknesses in AVROBIOs internal control over financial reporting, the accuracy and timing of AVROBIOs financial reporting may be adversely affected, AVROBIO may be unable to maintain compliance with securities law requirements regarding timely filing of periodic reports in addition to applicable stock exchange listing requirements, investors may lose confidence in AVROBIOs financial reporting, and AVROBIOs stock price may decline as a result. AVROBIO also could become subject to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AVROBIOs disclosure controls and procedures are designed to reasonably assure that information required to be disclosed by AVROBIO in reports AVROBIO files or submits under the Exchange Act is accumulated and communicated to management, recorded, processed, summarized and reported within the time periods specified in the rules and forms of the SEC. AVROBIO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AVROBIOs control system, misstatements or insufficient disclosures due to error or fraud may occur and not be detected.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 does not intend to pay dividends on AVROBIO common stock, so any returns will be limited to the value of AVROBIOs stock. </w:t>
      </w:r>
    </w:p>
    <w:p>
      <w:pPr>
        <w:pStyle w:val="TextBody"/>
        <w:bidi w:val="0"/>
        <w:spacing w:before="120" w:after="0"/>
        <w:jc w:val="left"/>
        <w:rPr>
          <w:rFonts w:ascii="Times New Roman" w:hAnsi="Times New Roman"/>
          <w:sz w:val="20"/>
        </w:rPr>
      </w:pPr>
      <w:r>
        <w:rPr>
          <w:rFonts w:ascii="Times New Roman" w:hAnsi="Times New Roman"/>
          <w:sz w:val="20"/>
        </w:rPr>
        <w:t xml:space="preserve">AVROBIO has never declared or paid any cash dividends on AVROBIO common stock. AVROBIO currently anticipates that AVROBIO will retain future earnings for the development, operation and expansion of AVROBIOs business and do not anticipate declaring or paying any cash dividends for the foreseeable future. Any return to stockholders will therefore be limited to the appreciation of their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AVROBIOs charter and bylaws, as well as provisions of Delaware law, could make it more difficult for a third party to acquire AVROBIO or increase the cost of acquiring AVROBIO, even if doing so would benefit AVROBIO stockholders or remove AVROBIOs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and bylaws and Delaware law contain provisions that may have the effect of delaying or preventing a change in control of AVROBIO or changes in AVROBIOs management. AVROBIOs charter and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AVROBIO Board without stockholder approval and may contain voting, liquidation, dividend and other rights superior to AVROBIO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AVROBIO stockholders can be called only by the AVROBIO Board, the chairperson of the AVROBIO Board, AVROBIOs Chief Executive Officer or AVROBIOs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AVROBIO stockholders, including proposed nominations of persons for election to the AVROBIO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AVROBIOs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AVROBIO Board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AVROBIO Board to modify, alter or repeal AVROBIOs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AVROBIO common stock to amend specified provisions of AVROBIOs charter and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AVROBIOs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AVROBIO is incorporated in Delaware, AVROBIO is governed by the provisions of Section 203 of the DGCL, which limits the ability of stockholders owning in excess of 15% of AVROBIOs outstanding voting stock to merge or combine with AVROBIO.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AVROBIOs amended and restated certificate of incorporation or amended and restated by-laws or Delaware law that has the effect of delaying or deterring a change in control could limit the opportunity for AVROBIO stockholders to receive a premium for their shares of AVROBIO common stock, and could also affect the price that some investors are willing to pay for AVROBIO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AVROBIOs bylaws contain exclusive forum provisions, which may limit a stockholders ability to bring a claim in a judicial forum it finds favorable and may discourage lawsuits with respect to such claims. </w:t>
      </w:r>
    </w:p>
    <w:p>
      <w:pPr>
        <w:pStyle w:val="TextBody"/>
        <w:bidi w:val="0"/>
        <w:spacing w:before="120" w:after="0"/>
        <w:jc w:val="left"/>
        <w:rPr>
          <w:rFonts w:ascii="Times New Roman" w:hAnsi="Times New Roman"/>
          <w:sz w:val="20"/>
        </w:rPr>
      </w:pPr>
      <w:r>
        <w:rPr>
          <w:rFonts w:ascii="Times New Roman" w:hAnsi="Times New Roman"/>
          <w:sz w:val="20"/>
        </w:rPr>
        <w:t xml:space="preserve">AVROBIOs amended and restated bylaws provide that, unless AVROBIO consents in writing to an alternative forum, the Court of Chancery of the State of Delaware will be the sole and exclusive forum for any state law claim for (1) any derivative action or proceeding brought on AVROBIOs behalf; (2) any action asserting a claim of breach of or based on a fiduciary duty owed by any of AVROBIOs current or former directors, officers or other employees to AVROBIO or AVROBIO stockholders; (3) any action asserting a claim against AVROBIO or any of AVROBIOs current or former directors, officers, employees or stockholders arising pursuant to any provision of the DGCL, AVROBIOs amended and restated certificate of incorporation or AVROBIOs amended and restated bylaws; or (4) any action asserting a claim governed by the internal affairs doctrine, or the Delaware Forum Provision. The Delaware Forum Provision will not apply to any causes of action arising under the Securities Act or the Exchange Act. AVROBIOs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AVROBIOs principal executive offices are located in Cambridge, Massachusetts. In addition, AVROBIOs amended and restated bylaws provide that any person or entity purchasing or otherwise acquiring any interest in shares of AVROBIOs capital stock is deemed to have notice of and consented to the foregoing Delaware Forum Provision and the Federal Forum Provision; provided, however, that stockholders cannot and will not be deemed to have waived AVROBIOs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AVROBIO recognizes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AVROBIOs amended and restated bylaws may limit AVROBIO stockholders ability to bring a claim in a judicial forum that they find favorable for disputes with AVROBIO or AVROBIOs directors, officers or employees, which may discourage such lawsuits against AVROBIO and AVROBIOs directors, officers and employees even though an action, if successful, might benefit AVROBIO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AVROBIOs Federal Forum Provision. The Federal Forum Provision may also impose additional litigation costs on stockholders who assert the provision is unenforceable, and if the Federal Forum Provision is found to be unenforceable, AVROBIO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AVROBIO than AVROBIO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failure to meet Nasdaqs continued listing requirements could result in a delisting of AVROBIO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AVROBIO fails to satisfy the continued listing requirements of Nasdaq, such as the corporate governance requirements or the requirement to maintain a minimum bid price of $1.00 per share pursuant to Nasdaq Listing Rule 5450(a)(1) (the Minimum Bid Price Requirement) Nasdaq may take steps to delist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October 4, 2022, AVROBIO received a written notice from the staff (the Staff) of Nasdaqs Listing Qualifications Department, notifying AVROBIO that, for the 30 consecutive business day period between August 22, 2022 through October 3, 2022, AVROBIO common stock had not complied with the Minimum Bid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Requirement. On February 23, 2023, AVROBIO received a written notice from the Staff notifying AVROBIO that for 10 consecutive business days, from February 8, 2023 to February 22, 2023, the closing bid price of AVROBIO common stock was at $1.00 per share or greater, and accordingly, the Staff advised AVROBIO that AVROBIO had regained 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On May 11, 2023, AVROBIO received a written notice from the Staff notifying AVROBIO that, for the 30 consecutive business day period between March 29, 2023 through May 10, 2023, AVROBIO common stock had not complied with the Minimum Bid Price Requirement. On June 12, 2023, AVROBIO received a written notice from the Staff notifying AVROBIO that for 14 consecutive business days, from May 22, 2023 to June 9, 2023, the closing bid price of AVROBIO common stock was at $1.00 per share or greater, and accordingly, the Staff advised AVROBIO that AVROBIO had regained 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While AVROBIO has regained compliance with the Minimum Bid Price Requirement as of the date hereof, AVROBIO can provide no assurance that AVROBIO will continue to remain in compliance with the Minimum Bid Price Requirement. If AVROBIO is unable to maintain compliance with any of Nasdaqs continued listing requirements in the future, AVROBIO may be subject to delisting. At that time, AVROBIO may appeal the Staffs delisting determination to a Nasdaq Hearing Panel. There can be no assurance that, if AVROBIO receives a delisting notice and appeal the delisting determination by the Staff to the Nasdaq Hearing Panel, such appeal would be successful. </w:t>
      </w:r>
    </w:p>
    <w:p>
      <w:pPr>
        <w:pStyle w:val="TextBody"/>
        <w:bidi w:val="0"/>
        <w:spacing w:before="240" w:after="0"/>
        <w:jc w:val="left"/>
        <w:rPr>
          <w:rFonts w:ascii="Times New Roman" w:hAnsi="Times New Roman"/>
          <w:sz w:val="20"/>
        </w:rPr>
      </w:pPr>
      <w:r>
        <w:rPr>
          <w:rFonts w:ascii="Times New Roman" w:hAnsi="Times New Roman"/>
          <w:sz w:val="20"/>
        </w:rPr>
        <w:t xml:space="preserve">Such a delisting would likely have a negative effect on the price of AVROBIO common stock and would impair your ability to sell or purchase AVROBIO common stock when you wish to do so. Any such delisting could also adversely impact AVROBIOs ability to raise additional capital or enter into strategic transactions. Additionally, if AVROBIO common stock is not listed on, or becomes delisted from, Nasdaq for any reason, trading AVROBIO common stock could be conducted only in the over-the-counter (OTC) market or on an electronic bulletin board established for unlisted securities such as the OTC Bulletin Board, an inter-dealer automated quotation system for equity securities that is not a national securities exchange, and the liquidity and price of AVROBIO common stock may be more limited than if AVROBIO was quoted or listed on Nasdaq or another national securities exchange. In such circumstances, you may be unable to sell your common stock unless a market can be established or sustained. </w:t>
      </w:r>
    </w:p>
    <w:p>
      <w:pPr>
        <w:pStyle w:val="TextBody"/>
        <w:bidi w:val="0"/>
        <w:spacing w:before="360" w:after="0"/>
        <w:jc w:val="left"/>
        <w:rPr>
          <w:rFonts w:ascii="Times New Roman" w:hAnsi="Times New Roman"/>
          <w:b/>
          <w:sz w:val="20"/>
        </w:rPr>
      </w:pPr>
      <w:bookmarkStart w:id="35" w:name="toc770053_33"/>
      <w:bookmarkEnd w:id="35"/>
      <w:r>
        <w:rPr>
          <w:rFonts w:ascii="Times New Roman" w:hAnsi="Times New Roman"/>
          <w:b/>
          <w:sz w:val="20"/>
        </w:rPr>
        <w:t xml:space="preserve">Risks Related to Tectonic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Tectonics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has a limited operating history and has incurred net losses in every year since its inception. Tectonic expects to continue to incur net losses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Tectonic is a clinical-stage biotechnology company with a limited operating history. Since its inception in 2019, Tectonic has invested most of its resources in organizing and staffing its company, developing its technology and product candidates, building its intellectual property portfolio, conducting business planning, raising capital and providing general and administrative support for these operations. Consequently, Tectonic has no meaningful operations upon which to evaluate its business and predictions about Tectonics future success or viability may not be as accurate as they could be if Tectonic had a longer operating history or a history of successfully developing and commercializing drug products. Tectonic continues to incur significant research and development and other expenses related to its ongoing operations. As a result, Tectonic is not profitable and has incurred losses in each period since its inception. For the fiscal years ended December 31, 2023 and 2022, Tectonic reported a net loss of $42.8 million and $32.2 million, respectively. As of December 31, 2023, Tectonic had an accumulated deficit of $90.6 million. Tectonic expects to continue to incur significant losses for the foreseeable future, and expects these losses to increase as Tectonic continues its research and development of, and seek regulatory approvals for, its lead product candidate, TX45, along with any future product candidates it may develop.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anticipates that its expenses will increase substantially if, and as, Tectonic: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the research and development of its clinical- and preclinical-stage product candidates and discovery-stage programs, including the continued development of its lead product candidate TX45;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the amount of research and development activities to identify and develop product candidates using its proprietary discovery approach;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milestone, royalty or other payments under in-license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and protects its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expands its operational, financial and management systems and increases personnel, including personnel to support its clinical development, manufacturing and commercialization efforts and its operations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medical affairs and distribution infrastructure to commercialize any products for which Tectonic may obtain marketing approval and intends to commercialize on its own or jointly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invests in or in-license other technologies;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or encounter any issues with any of the above, including but not limited to failed studies, complex results, manufacturing challenges, safety issues or other regulatory challenges.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Tectonic, its collaborators and any potential future collaborators must develop and eventually commercialize products with significant market potential. This will require Tectonic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Tectonic may obtain marketing approval and satisfying any post-marketing requirements. Tectonic may never succeed in any or all of these activities and, even if it does, it may never generate revenue that is significant or large enough to achieve profitability. If Tectonic does achieve profitability, it may not be able to sustain or increase profitability on a quarterly or annual basis. Tectonics failure to become and remain profitable would decrease the value of the company and could impair its ability to raise capital, maintain its research and development efforts, expand its business or continue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Tectonic succeeds in commercializing one or more of its product candidates, Tectonic will continue to incur substantial research and development and other expenditures to develop and market additional product candidates. Tectonic may encounter unforeseen expenses, difficulties, complications, delays and other unknown factors that may adversely affect its business. The size of Tectonics future net losses will depend, in part, on the rate of future growth of its expenses and its ability to generate revenue. Tectonics prior losses and expected future losses have had and will continue to have an adverse effect on its stockholders equity and working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will need substantial additional funding in order to complete the development and commence commercialization of its product candidates. Failure to obtain this necessary capital when needed may force Tectonic to delay, reduce or eliminate certain of its product development or research operations. </w:t>
      </w:r>
    </w:p>
    <w:p>
      <w:pPr>
        <w:pStyle w:val="TextBody"/>
        <w:bidi w:val="0"/>
        <w:spacing w:before="120" w:after="0"/>
        <w:jc w:val="left"/>
        <w:rPr>
          <w:rFonts w:ascii="Times New Roman" w:hAnsi="Times New Roman"/>
          <w:sz w:val="20"/>
        </w:rPr>
      </w:pPr>
      <w:r>
        <w:rPr>
          <w:rFonts w:ascii="Times New Roman" w:hAnsi="Times New Roman"/>
          <w:sz w:val="20"/>
        </w:rPr>
        <w:t xml:space="preserve">To date, Tectonic has funded its operations primarily with proceeds from the sale of Series A convertible preferred stock, convertible promissory notes and the issuance of SAFEs. Tectonic expects its expenses to increase in connection with its ongoing activities, particularly as Tectonic completes the Phase 1 clinical trial of TX45, initiates the Phase 2 clinical trials of TX45, and continues to research, develop and initiate clinical trials of any other future product candidates. In addition, if Tectonic successfully completes development through Phase 3 and obtains regulatory approval for any of its product candidates, Tectonic expects to incur significant commercialization expenses related to product manufacturing, marketing, sales and distribution. Accordingly, Tectonic will need to obtain substantial additional funding in connection with its continuing operations.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is unable to raise capital when needed or on attractive terms, Tectonic could be forced to delay, reduce or eliminate its product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Tectonic expects that its existing cash and cash equivalents upon completion of the merger and Tectonics private financings will enable it to fund its operating expenses and capital expenditure requirements into mid-2027. Tectonic has based this estimate on assumptions that may prove to be wrong, and Tectonic could use its capital resources sooner than it currently expects. Tectonics future capital requirements for TX45 or its preclinical programs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timing and completion of preclinical studies and clinical trials for its current or any future product candidates, as well as the associated costs, including any unforeseen costs Tectonic may incur as a result of preclinical study or clinical trial delays due to disease outbreaks, epidemics and pandemics or other causes;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milestone and royalty payments Tectonic is required to make or is eligible to receive under its license agreements with President and Fellows of Harvard College (Harvard) and other license agreements,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potential new product candidates Tectonic identifies and decides to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additional or expanded pre-clinical studies and clinical trials beyond those that Tectonic plans to conduct with respect to its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growing the organization to the size needed to allow for the research, development and potential commercialization of its current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filing patent applications, maintaining and enforcing patents or defending against infringement or other claims raised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Tectonics existing license and collaboration agreements and the entry into new license and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and costs involved in obtaining regulatory approval for its product candidates and any delays Tectonic may encounter as a result of evolving regulatory requirements or adverse results with respect to any of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commercial-scale outsourced manufacturing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establishing sales, marketing and distribution capabilities for any product candidates for which Tectonic may receive regulatory approval in regions where Tectonic chooses to commercialize its products on its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revenues, if any, Tectonic may derive either directly or in the form of royalty payments from future sales of its product candidates, if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any approved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 does not have any committed external source of funds or other support for its development efforts and Tectonic cannot be certain that additional funding will be available on acceptable terms, or at all. Until Tectonic can generate sufficient product or royalty revenue to finance its cash requirements, which it may never do, Tectonic expects to finance its future cash needs through a combination of public or private equity offerings, debt financings, collaborations, strategic alliances, licensing arrangements and other marketing or distribution arrangements.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raise additional funds will depend on financial, economic and market conditions and other factors, over which it may have no or limited control. Market volatility resulting from geopolitical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economic instability, including the conflicts between Russia and Ukraine and Israel and Hamas or other factors could also adversely impact its ability to access capital as and when needed. If adequate funds are not available on commercially acceptable terms when needed, Tectonic may be forced to delay, reduce or terminate the development or commercialization of all or part of its research programs or product candidates or Tectonic may be unable to take advantage of future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recurring losses from operations and financial conditions raise substantial doubt about its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Tectonics recurring losses from operations and financial condition raise substantial doubt about its ability to continue as a going concern. In Tectonics financial statements for the year ended December 31, 2023, Tectonic concluded that its recurring losses from operations and need for additional financing to fund future operations raise substantial doubt about Tectonics ability to continue as a going concern. Similarly, Tectonics independent registered public accounting firm included an explanatory paragraph in its report on Tectonics financial statements for the year ended December 31, 2023 with respect to this uncertainty. Tectonics ability to continue as a going concern will require it to obtain additional funding. If Tectonic is unable to obtain sufficient funding, its business, prospects, financial condition and results of operations will be materially and adversely affected, and Tectonic may be unable to continue as a going concern. If Tectonic is unable to raise capital when needed or on acceptable terms, it would be forced to delay, limit, reduce or terminate its product development or future commercialization efforts of one or more of its product candidates, or may be forced to reduce or terminate its operations. If Tectonic is unable to continue as a going concern, Tectonic may have to liquidate its assets and may receive less than the value at which those assets are carried on its audited financial statements, and it is likely that investors will lose all or part of their investment. After the closing of the merger, in the combined companys own required quarterly assessment, the combined company may again conclude that there is substantial doubt about its ability to continue as a going concern, and future reports from its independent registered public accounting firm may also contain statements expressing substantial doubt about its ability to continue as a going concern. Even if the reverse merger and the private financing close, the combined company may still need to seek additional funding. If the combined company seeks additional financing to fund its business activities in the future and there remains substantial doubt about its ability to continue as a going concern, investors and other financing sources may be unwilling to provide additional funding to it on commercially reasonable terms,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will cause dilution to Tectonics stockholders, restrict its operations, or require Tectonic to relinquish rights to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Tectonic can generate substantial product revenue, Tectonic expects to finance its cash needs through equity or debt financings, third-party funding, marketing, and distribution arrangements, as well as other collaborations, strategic alliances and licensing arrangements, or any combination of these approaches. Tectonic does not have any committed external source of funds. To the extent that Tectonic raises additional capital through the sale of equity or convertible debt securities, the ownership interest of current Tectonic stockholders will be diluted, and the terms of these securities may include liquidation or other preferences. Debt and equity financings, if available, may involve agreements that include covenants limiting or restricting Tectonics ability to take specific actions, such as redeeming shares, making investments, incurring additional debt, making capital expenditures, declaring dividends or placing limitations on Tectonics ability to acquire, sell or license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If Tectonic raises additional capital through future collaborations, strategic alliances, or third-party licensing arrangements, it may have to relinquish certain valuable rights to its intellectual property, future revenue streams, research programs or product candidates, or grant licenses on terms that may not be favorable to Tectonic. If Tectonic is unable to raise additional capital when needed, it may be required to delay, limit, reduce or terminate its clinical development or future commercialization efforts, or grant rights to develop and market product candidates that Tectonic would otherwise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Discovery, Development and Regulatory Approval of Tectonics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has limited experience in therapeutic discovery and development and its GEODe platform may never result in the regulatory approval of a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prior experience of individuals on the Tectonic management team in drug discovery and development, Tectonic is still a relatively young organization that has not yet completed the full cycle of activites from discovery through regulatory approval for any of its portfolio projects. Its GEODe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is very early in its development efforts. If Tectonic is unable to advance TX45 or any of Tectonics other product candidates through clinical development, obtain regulatory approval and ultimately commercialize TX45 or any of Tectonics other product candidates, or experience significant delays in doing so, Tectonics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Tectonic has no products approved for sale and its lead product candidate, TX45, will require clinical development, regulatory review and approval in each jurisdiction in which Tectonic intends to market it, access to sufficient commercial manufacturing capacity, and significant sales and marketing efforts before Tectonic can generate any revenue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Before obtaining marketing approval from regulatory authorities for the sale of its product candidates, Tectonic must conduct extensive clinical trials to demonstrate the safety and efficacy of the product candidates in humans. Tectonic is early in its product candidate development efforts, as TX45 is still in Phase 1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generate product revenues, which it does not expect will occur in the foreseeable future, if ever, will depend heavily on the successful development and eventual commercialization of TX45 and any future product candidates Tectonic develops, which may never occur. TX45 and any future product candidates Tectonic develops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Tectonic generates any revenues from product sales. The success of Tectonics current and future product candidates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preclinical studies and clinical trials for which the FDA, or any comparable foreign regulatory authority agree with the design, endpoints or implementation;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Tectonics financial and other resources to complete the necessary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regulatory approvals or authorizations for conducting Tectonics planned clinical trials or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and successful patient enrollment in, and completion of, additional clinical trials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demonstrate to the satisfaction of the FDA or any comparable foreign regulatory authority that the applicable product candidate is safe, pure, and potent for its targeted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for its product candidates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scaling up, either alone or with third-party manufacturers, manufacturing capabilities of clinical supply for Tectonics clinical trials and commercial manufacturing, if any of its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proprietary information protection or regulatory exclusivity for its product candidates, both in the United States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scaling a sales and marketing organization and launching commercial sales of its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its product candidates benefits and uses, if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its product candidates following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companies developing and commercializing other therapies in the indications which its product candidates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 is not successful with respect to one or more of these factors in a timely manner or at all, it could experience significant delays or an inability to successfully commercialize TX45 or any future product candidates it develops, which would materially harm Tectonics business. If Tectonic does not receive marketing approvals for its current and future product candidates, Tectonic may not be able to continue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 of Tectonics product candidates are in discovery, preclinical or early clinical development. Clinical trials are difficult to design and implement, and they involve a lengthy and expensive process with uncertain outcomes. Tectonic may experience delays in completing, or ultimately be unable to complete, the development and commercialization of TX45 or any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trial process and Tectonics future clinical trial results may not be successful. Tectonic cannot guarantee that any of its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To date, Tectonic has not completed any clinical trials required for the approval of any of its product candidates. Although Tectonic has recently commenced its Phase 1a clinical trial of TX45, in healthy volunteers, Tectonic may experience delays in its ongoing clinical trials or preclinical studies and Tectonic does not know whether planned clinical trials will begin on time, need to be redesigned, enroll patients on time, have sufficient drug supply for its product candidates on a timely basis or be completed on schedule, if at all. A failure of one or more clinical trials can occur at any stage of testing, and Tectonics ongoing and future clinical trials may not be successful. Tectonic also may experience numerous unforeseen events during its clinical trials that could delay or prevent its ability to receive marketing approval or commercialize TX45 or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regulatory authorizations to commence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as to the design or implementation of its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reach agreement on acceptable terms with prospective contract research organizations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institutional review board (IRB) approval at each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recruit a sufficient number of suitable patients to participate in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have patients complete a trial or return for post-treatment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adding new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sufficient quantities of its product candidates for use in clinical trials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such as complications with pharmacokinetic behaviors, or safety or tolerability concerns that could cause Tectonic or its collaborators, as applicable, to suspend or terminate a trial if Tectonic or its collaborators find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clinical trials in accordance with the FDAs or any other regulatory authoritys good clinical practices (GCP) requirements, or regulatory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policies and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its third-party research contractors to comply with regulatory requirements or meet their contractual obligations to Tectonic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establishing the appropriate dosage levels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its product candidates falling below acceptable standards;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Tectonic could also encounter delays if a clinical trial is suspended or terminated by it,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its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Tectonics product candidates. Further, the FDA or comparable foreign regulatory authorities may disagree with Tectonics clinical trial design and its interpretation of data from clinical trials, or may change the requirements for approval even after they have reviewed and commented on the design for Tectonics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development costs will increase if it experiences delays in clinical testing or marketing approvals. Tectonic does not know whether any of its clinical trials will begin as planned, will need to be restructured or will be completed on schedule, or at all. Significant clinical trial delays also could shorten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periods during which Tectonic may have the exclusive right to commercialize its product candidates and may allow its competitors to bring products to market before Tectonic does, potentially impairing its ability to successfully commercialize its product candidates and harming Tectonics business and results of operations. Any delays in Tectonics clinical development programs may harm its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clinical trials may fail to demonstrate substantial evidence of the safety, efficacy, purity and potency of its product candidates or any future product candidates, which would prevent or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market and sell any of Tectonics product candidates, including TX45 and any other future product candidates, Tectonic must demonstrate through extensive preclinical studies and clinical trials that its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Tectonic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Tectonic, its collaborators or its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that Tectonic conducts may not demonstrate the efficacy and safety necessary to obtain regulatory approval to market its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Tectonics ongoing or future clinical trials are inconclusive with respect to the efficacy of its product candidates, if Tectonic does not meet the clinical endpoints with statistical and clinically meaningful significance, or if there are safety concerns associated with its product candidates, Tectonic may be delayed in obtaining marketing approval, if at all. Additionally, any safety concerns observed in any one of Tectonics clinical trials in its targeted indications could limit the prospects for regulatory approval of its product candidates in those and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Even if the trials are successfully completed, clinical data are often susceptible to varying interpretations and analyses or may not provide a sufficient risk-benefit ratio, and Tectonic cannot guarantee that the FDA or comparable foreign regulatory authorities will interpret the results as Tectonic does or find a risk-benefit ratio for a proposed indication acceptable, and more trials could be required before Tectonic submits its product candidates for approval. Tectonic cannot guarantee that the FDA or comparable foreign regulatory authorities will view its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Tectonic may be required to expend significant additional resources, which may not be available to it, to conduct additional trials in support of potential approval of its product candidates. Even if regulatory approval is secured for a product candidate, the terms of such approval may limit the scope and use of the specific product candidate, which may also limit its commercial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results of preclinical studies and early-stage clinical trials of Tectonics product candidates may not be predictive of the results of later-stage clinical trials. Initial success in Tectonics ongoing clinical trials may not be indicative of results obtained when these trials are completed or in later-stage trials.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nonclinical and preclinical studies and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Tectonics clinical trials will ultimately be successful or support further clinical development of any of its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Tectonic cannot be certain that it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Tectonics clinical development could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product candidates may be associated with serious adverse, undesirable or unacceptable side effects or other properties or safety risks, which may delay or halt their clinical development, or prevent marketing approval. If such side effects are identified during the development of its product candidates or following approval, Tectonic may suspend or abandon its development of such product candidates, the commercial profile of any approved label may be limited, or Tectonic may be subject to other significant negative consequences following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Undesirable side effects that may be caused by Tectonics product candidates could cause Tectonic or regulatory authorities to interrupt, delay or halt clinical trials and could result in a more restrictive label or the delay or denial of regulatory approval by the FDA or comparable foreign regulatory authorities. While Tectonics lead product candidate, TX45, has generally been well tolerated in its preclinical studies and the Phase 1 healthy volunteer trials to date, the results from future preclinical studies and clinical trials, including of Tectonics other product candidates, may identify safety concerns or other undesirable properties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Tectonics ongoing Phase 1 clinical trial of TX45, its planned Phase 2 clinical trials of TX45, and future clinical trials of these and other product candidates may show that its product candidates cause undesirable or unacceptable side effects or even death. In such an event, Tectonics trials could be suspended or terminated and the FDA or comparable foreign regulatory authorities could order it to cease further development of or deny approval of its product candidates for any or all targeted indications. The drug-related side effects could affect patient recruitment or the ability of enrolled patients to complete the trial or result in potential product liability claims. Any of these occurrences may harm Tectonics business, financial condition and results of operations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Moreover, if Tectonics product candidates are associated with undesirable side effects in preclinical studies or clinical trials or have characteristics that are unexpected, it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adverse developments in clinical trials of pharmaceutical and biopharmaceutical products conducted by others may cause the FDA or other regulatory oversight bodies to suspend or terminate Tectonics clinical trials or to change the requirements for approval of any of its product candidates. For example, immunogenicity is a concern for all protein therapeutics in human clinical trials, and immunogenic reactions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patients in Tectonics trials may lead to adverse effects and/or impact exposure, which in turn may lead to protocol amendments, clinical holds, or other actions that delay or significantly impact the prospects for Tectonics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any of Tectonics product candidates receives marketing approval and Tectonic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approvals of such product and require Tectonic to take such approved product off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specific warnings, a contraindication or field alerts to physicians and pharmacies;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 medication guide outlining the risks of such side effects for distribution to patients, or that Tectonic implements a risk evaluation and mitigation strategy (REMS) plan to ensure that the benefits of the product outweigh its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required to change the way the product is administered, conduct additional clinical trials or change the labeling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subject to limitations on how it may promote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subject to litigation or product liability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Tectonic, its collaborators or its potential future partners from achieving or maintaining market acceptance of the affected product or could substantially increase commercialization costs and expenses, which in turn could delay or prevent Tectonic from generating significant revenue from the sale of its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find it difficult to enroll patients in its clinical trials, which could delay or prevent Tectonic from proceeding with, or otherwise adversely affect, clinical trials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Tectonics product candidates is critical to its success. The timely completion of Tectonics clinical trials in accordance with their protocols depends, among other things, on its ability to recruit a sufficient number of eligible patients to participate and remain in the trial until its conclusion. Patients may be unwilling to participate in Tectonics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Tectonics product candidates, delays in testing the effectiveness of Tectonics product candidates or termination of the clinical trials altogether. Tectonic may not be able to identify, recruit and enroll a sufficient number of patients, or those with the required or desired characteristics, to complete its clinical trials in a timely manner. Patient enrollment and trial completion is affected by many factors,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location of one of Tectonics expected trial sites in Moldova for the Phase 1b trial and its proximity to the conflict between Russia and the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and process for identifying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for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of the clinical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profile, to date,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Tectonics approach;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competing product candidates currently under investigation for the treatment of similar diseases or conditions, or competing clinical trials for similar product candidates or targeting patient populations meeting Tectonics patient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degree of progression of the patients disease at the time of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patient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adequately monitor patients during and after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Tectonics clinical trials will compete with other clinical trials for product candidates that are in the same therapeutic areas as its product candidates, and this competition will reduce the number and types of patients available to Tectonic, because some patients who might have opted to enroll in its trials may instead opt to enroll in a trial being conducted by one of its competitors. Since the number of qualified clinical investigators is limited, Tectonic expects to conduct some of its clinical trials at the same clinical trial sites that some of its competitors use, which will reduce the number of patients who are available for its clinical trials in such clinical trial site.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its future clinical trials, which could prevent completion of these trials and adversely affect Tectonics ability to advance the development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Tectonics clinical trials that Tectonic announces or publishes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Tectonic may publish interim, topline or preliminary data from its clinical trials. Preliminary and interim data from its clinical trials may change as more patient data become available. Preliminary or interim data from its clinical trials are not necessarily predictive of final results. Preliminary and interim data are subject to the risk that one or more of the clinical outcomes may materially change as patient enrollment continues, more patient data become available and Tectonic issues its final clinical trial report. Interim, topline and preliminary data also remain subject to audit and verification procedures that may result in the final data being materially different from the preliminary data Tectonic previously published. As a result, preliminary, topline and interim data should be viewed with caution until the final data are available. Material adverse changes in the final data compared to the interim data could significantly harm Tectonics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Tectonics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Tectonic chooses to publicly disclose regarding a particular preclinical study or clinical trial is based on what is typically extensive information, and you or others may not agree with what Tectonic determines is the material or otherwise appropriate information to include in its disclosure, and any information Tectonic determines not to disclose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ultimately be deemed significant with respect to future decisions, conclusions, views, activities or otherwise regarding a particular product, if any, product candidate or its business. If the preliminary and interim data that Tectonic reports differ from actual results, or if others, including regulatory authorities, disagree with the conclusions reached, Tectonics ability to obtain approval for, and commercialize, its product candidates may be harmed, which could harm its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development is uncertain. Tectonics preclinical programs may experience delays or may never advance to clinical trials, which would adversely affect its ability to obtain regulatory approvals or commercialize these programs on a timely basis or at all, which would have an adverse effect on Tectonics business. </w:t>
      </w:r>
    </w:p>
    <w:p>
      <w:pPr>
        <w:pStyle w:val="TextBody"/>
        <w:bidi w:val="0"/>
        <w:spacing w:before="120" w:after="0"/>
        <w:jc w:val="left"/>
        <w:rPr>
          <w:rFonts w:ascii="Times New Roman" w:hAnsi="Times New Roman"/>
          <w:sz w:val="20"/>
        </w:rPr>
      </w:pPr>
      <w:r>
        <w:rPr>
          <w:rFonts w:ascii="Times New Roman" w:hAnsi="Times New Roman"/>
          <w:sz w:val="20"/>
        </w:rPr>
        <w:t xml:space="preserve">Before Tectonic can commence clinical trials for any product candidate, it must complete extensive preclinical studies that support any future Investigational New Drug (IND) applications in the United States, or similar applications in other jurisdictions. Tectonic has not interacted with or submitted any IND to the FDA and all of its clinical trials have, to date, been conducted in Australia. Conducting preclinical testing is a lengthy, time-consuming and expensive process and delays associated with product candidates for which Tectonic is directly conducting preclinical testing and studies may cause it to incur additional operating expenses. While Tectonic is currently conducting a Phase 1 clinical trial for TX45, and plans to initially conduct Phase 2 clinical trials for TX45, including some trials which may be outside of the United States, it cannot be certain of the timely completion or outcome of its preclinical testing and studies for its other product candidates and cannot predict if the FDA will accept Tectonics proposed clinical programs or if the outcome of its preclinical testing and foreign clinical trials will ultimately support the further development of its other product candidates. As a result, Tectonic cannot be sure that it will be able to submit INDs or similar applications for its preclinical programs on the timelines Tectonic expect, if at all, and Tectonic cannot be sure that submission of INDs or similar applications will result in the FDA or comparable foreign regulatory authorities allowing clinical trials to begin.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regulatory approval processes of the FDA and comparable foreign regulatory authorities are lengthy, time consuming and inherently unpredictable, and if Tectonic is ultimately unable to obtain regulatory approval for its product candidates, its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Tectonic has not obtained regulatory approval for any product candidate and it is possible that none of its existing product candidates or any product candidates Tectonic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its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unable to demonstrate to the satisfaction of the FDA or comparable foreign regulatory authorities that a product candidate is safe, pure and potent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may not be sufficiently broad or representative to assure safety or efficacy in the population for which Tectonic seeks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clinical significance required by the FDA or comparable foreign regulatory authorities for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its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require additional preclinical studies or clinical trials beyond those that Tectonic currently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Tectonics product candidates may not be sufficient to support the submission of a Biologics License Application (BLA) as applicable, to the FDA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Tectonic contracts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any comparable foreign regulatory authorities or the laws they enforce may significantly change in a manner rendering Tectonics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lengthy approval process as well as the unpredictability of future clinical trial results may result in Tectonics failing to obtain regulatory approval to market any of its product candidates, which would significantly harm Tectonics business, financial condition and results of operations. The FDA and comparable foreign regulatory authorities have substantial discretion in the approval process, and determining when or whether regulatory approval will be obtained for any of its product candidates. Even if Tectonic believes the data collected from clinical trials of its product candidates are promising, such data may not be sufficient to support approval by the FDA or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Tectonic were to obtain approval, regulatory authorities may approve any of its product candidates for fewer or more limited indications than Tectonic requests, may not approve the price Tectonic intends to charge for its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Tectonics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any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Tectonic is presently conducting clinical development solely in Australia and will likely choose to conduct additional international clinical trials in the future. Tectonic has not interacted with or submitted any IND to the FDA.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Tectonics business plan, and which may result in its product candidates not receiving approval for commercialization in the applicable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Tectonic receives regulatory approval of a product candidate, Tectonic will be subject to ongoing regulatory obligations and continued regulatory review, which may result in significant additional expense and Tectonic may be subject to penalties if it fails to comply with regulatory requirements or experience unanticipated problems with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any of Tectonics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Tectonic will be subject to continued compliance with current Good Manufacturing Practices (cGMPs) and GCP requirements for any clinical trials that it conducts post-approval.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Tectonic and its contract manufacturers will be subject to continual review and inspections to assess compliance with cGMP and adherence to commitments made in any BLA, other marketing application, and previous responses to inspection observations. Accordingly, Tectonic and others with whom it works must continue to expend time, money, and effort in all areas of regulatory compliance, including manufacturing,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Any regulatory approvals that Tectonic receives for its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Tectonics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Tectonics product candidates, Tectonic will have to comply with requirements including submissions of safety and other post-marketing information and reports 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FDA may impose consent decrees or withdraw approval if compliance with regulatory requirements and standards is not maintained or if problems occur after the product reaches the market. Later discovery of previously unknown problems with Tectonics product candidates, including adverse events of unanticipated severity or frequency, or with its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Tectonics products,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Tectonic or suspension or revocation of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Tectonics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Products may be promoted only for the approved indications and in accordance with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Tectonic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BLA must submit new or supplemental applications and obtain approval for certain changes to the approved product, product labeling, or manufacturing process. Tectonic could also be asked to conduct post-marketing clinical trials to verify the safety and efficacy of its products in general or in specific patient subsets. If original marketing approval was obtained via the accelerated approval pathway, Tectonic could be required to conduct a successful post-marketing clinical trial to confirm clinical benefit for its products. An unsuccessful post-marketing study or failure to complete such a study could result in the withdrawal of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the FDA and of comparable foreign regulatory authorities may change and additional government regulations may be enacted that could prevent, limit or delay regulatory approval of Tectonics product candidates. Tectonic cannot predict the likelihood, nature or extent of government regulation that may arise from future legislation or administrative action, either in the United States or abroad. If Tectonic is slow or unable to adapt to changes in existing requirements or the adoption of new requirements or policies, or if Tectonic is not able to maintain regulatory compliance, it may lose any marketing approval that Tectonic may have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approved, Tectonics investigational products may face competition from biosimilars approved through an abbreviated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Tectonic is developing TX45 initially for the treatment of Group 2 Pulmonary Hypertension (PH), which it anticipates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240" w:after="0"/>
        <w:jc w:val="left"/>
        <w:rPr>
          <w:rFonts w:ascii="Times New Roman" w:hAnsi="Times New Roman"/>
          <w:sz w:val="20"/>
        </w:rPr>
      </w:pPr>
      <w:r>
        <w:rPr>
          <w:rFonts w:ascii="Times New Roman" w:hAnsi="Times New Roman"/>
          <w:sz w:val="20"/>
        </w:rPr>
        <w:t xml:space="preserve">Tectonic believes that any of its product candidates approved as a biological product under a BLA should qualify for the 12-year period of exclusivity. However, there is a risk that this exclusivity could be shortened due to congressional action or otherwise, or that the FDA will not consider Tectonics investigational medicines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Tectonics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0"/>
        <w:jc w:val="left"/>
        <w:rPr>
          <w:rFonts w:ascii="Times New Roman" w:hAnsi="Times New Roman"/>
          <w:sz w:val="20"/>
        </w:rPr>
      </w:pPr>
      <w:r>
        <w:rPr>
          <w:rFonts w:ascii="Times New Roman" w:hAnsi="Times New Roman"/>
          <w:sz w:val="20"/>
        </w:rPr>
        <w:t xml:space="preserve">If competitors are able to obtain marketing approval for biosimilars referencing Tectonics products, its products may become subject to competition from such biosimilars, with the attendant competitive pressure and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become exposed to costly and damaging liability claims, either when testing its product candidates in the clinic or at the commercial stage, and Tectonics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Tectonic is exposed to potential product liability and professional indemnity risks that are inherent in the research, development, manufacturing, marketing and use of biotechnology products. Currently, Tectonic has no products that have been approved for commercial sale; however, the current and future use of product candidates by Tectonic and its collaborators in clinical trials, and the potential sale of any approved products in the future, may expose Tectonic to liability claims. These claims might be made by patients who use the product, healthcare providers, pharmaceutical companies, its collaborators or others selling such products. Any claims against Tectonic, regardless of their merit, could be difficult and costly to defend and could materially adversely affect the market for its product candidates or any prospects for commercialization of its product candidates. Although the clinical trial process is designed to identify and assess potential side effects, it is always possible that a product, even after regulatory approval, may exhibit unforeseen side effects. If any of Tectonics product candidates were to cause adverse side effects during clinical trials or after approval of the product candidate, it may be exposed to substantial liabilities. Physicians and patients may not comply with any warnings that identify known potential adverse effects and patients who should not use its product candidates.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Tectonics products due to negative public perception;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Tectonics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or difficulties in recruiting new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or settle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Tectonics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revenues from product sales;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of Tectonics product candidates, if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Tectonic believes it maintains adequate product liability insurance for its product candidates, it is possible that its liabilities could exceed its insurance coverage. Tectonic intends to expand its insurance coverage to include the sale of commercial products if Tectonic obtains marketing approval for any of its product candidates. However, Tectonic may not be able to maintain insurance coverage at a reasonable cost or obtain insurance coverage that will be adequate to satisfy any liability that may arise. If a successful product liability claim or series of claims is brought against Tectonic for uninsured liabilities or in excess of insured liabilities, its assets may not be sufficient to cover such claims and its business operations could be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any of the events described above occur, this could have a material adverse effect on Tectonics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Tectonics limited resources and access to capital, Tectonic must, and has in the past decided to, prioritize development of certain product candidates over other potential product candidates. These decisions may prove to have been wrong and may adversely affect Tectonics ability to develop its own programs, its attractiveness as a commercial partner and may ultimately have an impact on its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Tectonic has limited resources and access to capital to fund its operations, it must decide which product candidates to pursue and the amount of resources to allocate to each. Tectonics decisions concerning the allocation of research, collaboration, management and financial resources toward particular proprietary molecules in its library, product candidates or therapeutic areas may not lead to the development of viable commercial products and may divert resources away from better opportunities. Similarly, Tectonics decisions to delay, terminate or collaborate with third parties in respect of certain product development programs may also prove not to be optimal and could cause Tectonic to miss valuable opportunities. If Tectonic makes incorrect determinations regarding the market potential of its product candidates or misread trends in the biotechnology industry, in particular for its lead product candidate, TX45, Tectonics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seek orphan drug designation for product candidates it develops, and Tectonic may be unsuccessful or may be unable to maintain the benefits associated with orphan drug designation, including the potential for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part of Tectonics business strategy, it may seek orphan drug designation for any product candidates it develops, and it may be unsuccessful. While Tectonic has not made a determination regarding whether Tectonic intends to seek orphan drug designation for any of its product candidates at this time, Tectonic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240" w:after="0"/>
        <w:jc w:val="left"/>
        <w:rPr>
          <w:rFonts w:ascii="Times New Roman" w:hAnsi="Times New Roman"/>
          <w:sz w:val="20"/>
        </w:rPr>
      </w:pPr>
      <w:r>
        <w:rPr>
          <w:rFonts w:ascii="Times New Roman" w:hAnsi="Times New Roman"/>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Even if Tectonic obtains orphan drug exclusivity for any of its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Tectonic may seek orphan drug designation for applicable indications for its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any future product candidates, Tectonic may never receive such designations. Even if Tectonic does receive such designations, there is no guarantee that Tectonic will enjoy the benefits of those designations.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Tectonics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Tectonic is unable to successfully commercialize any product candidate for which Tectonic receives regulatory approval, or experience significant delays in doing so, its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If Tectonic is successful in obtaining marketing approval from applicable regulatory authorities for TX45 or any other product candidate, its ability to generate revenues from any such products will depend on its success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such products,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approved labels with claims that are necessary or desirable for successful marketing, and that do not contain safety or other limitations that would impede Tectonics ability to market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 demand for such products through marketing, sales and promotion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training, and deploying a sales force or contracting with third parties to commercialize such products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strategic collaborations with, or offering licenses to, third parties to promote and sell such products in foreign markets where Tectonic receives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such products (i) in sufficient quantities, (ii) at acceptable quality and cost and (iii) in a presentation that is practical and compatible with the intended clinical use to meet commercial demand at launch and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agreements with wholesalers, distributors, and group purchasing organizations on commercially reasonable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patent and trade secret protection and regulatory exclusivity for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market acceptance of such products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coverage and adequate reimbursement from third-party payors for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in the absence of such coverage and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such products following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Tectonic is not able to do any of the foregoing, its business, financial condition, results of operations, stock price and prospects will be materially harmed.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Tectonic faces significant competition from other biotechnology and pharmaceutical companies, and its operating results will suffer if Tectonic fails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characterized by intense competition and rapid innovation. Tectonics competitors may be able to develop other compounds or drugs that are able to achieve similar or better results. Tectonics potential competitors include major multinational pharmaceutical companies, established biotechnology companies, specialty pharmaceutical companies and universities and other research institutions. Many of its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Tectonics product candidates are also focused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treating. Established pharmaceutical companies may also invest heavily to accelerate discovery and development of novel therapeutics or to in-license novel therapeutics that could make the product candidates that Tectonic develops obsolete. Mergers and acquisitions in the biotechnology and pharmaceutical industries may result in even more resources being concentrated in Tectonics competitors. Competition may increase further as a result of advances in the commercial applicability of technologies and greater availability of capital for investment in these industries. Tectonics competitors, either alone or with collaborative partners, may succeed in developing, acquiring or licensing on an exclusive basis drug or biologic products that are more effective, safer, more easily commercialized or less costly than its product candidates or may develop proprietary technologies or secure patent protection that Tectonic may need for the development of its technologies and products. Tectonic believes the key competitive factors that will affect the development and commercial success of its product candidates are efficacy, safety, tolerability, reliability, convenience of use, price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Tectonic competes in the segments of the biotechnology, pharmaceutical and other related industries that develop and market therapies for the treatment of Group 2 PH and HHT disorders. Although there are no other companies who have commercialized therapies for the same therapeutic areas that Tectonics product candidates target, there are many other companies, including large biotechnology and pharmaceutical companies, that are developing therapies for the same therapeutic areas. For example, AstraZeneca for the treatment of Group 2 PH and Vaderis for the treatment of HHT. Also, treatments that could potentially be of use across all HFpEF patients, such as are currently being developed by Lilly and others, could also benefit the Group 2 PH subgroup of the HFpEF population and thus represent competition for Tectonic in this segment as well. </w:t>
      </w:r>
    </w:p>
    <w:p>
      <w:pPr>
        <w:pStyle w:val="TextBody"/>
        <w:bidi w:val="0"/>
        <w:spacing w:before="240" w:after="0"/>
        <w:jc w:val="left"/>
        <w:rPr>
          <w:rFonts w:ascii="Times New Roman" w:hAnsi="Times New Roman"/>
          <w:sz w:val="20"/>
        </w:rPr>
      </w:pPr>
      <w:r>
        <w:rPr>
          <w:rFonts w:ascii="Times New Roman" w:hAnsi="Times New Roman"/>
          <w:sz w:val="20"/>
        </w:rPr>
        <w:t xml:space="preserve">Tectonic anticipates that it will continue to face intense and increasing competition as new treatments enter the market and advanced technologies become available. There can be no assurance that Tectonics competitors are not currently developing, or will not in the future develop, products that are equally or more effective or are more economically attractive than any of its current or future product candidates. Competing products may gain faster or greater market acceptance than Tectonics products, if any, and medical advances or rapid technological development by competitors may result in its product candidates becoming non-competitive or obsolete before Tectonic is able to recover its research and development and commercialization expenses. If Tectonic or its product candidates do not compete effectively, it may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does not have a sales or marketing infrastructure and has no experience in the sale or marketing of biotechnology products. To achieve commercial success for any approved product, Tectonic must develop or acquire a sales and marketing organization, outsource these functions to third parties or enter into strategic collaborations. </w:t>
      </w:r>
    </w:p>
    <w:p>
      <w:pPr>
        <w:pStyle w:val="TextBody"/>
        <w:bidi w:val="0"/>
        <w:spacing w:before="120" w:after="0"/>
        <w:jc w:val="left"/>
        <w:rPr>
          <w:rFonts w:ascii="Times New Roman" w:hAnsi="Times New Roman"/>
          <w:sz w:val="20"/>
        </w:rPr>
      </w:pPr>
      <w:r>
        <w:rPr>
          <w:rFonts w:ascii="Times New Roman" w:hAnsi="Times New Roman"/>
          <w:sz w:val="20"/>
        </w:rPr>
        <w:t xml:space="preserve">Tectonic may decide to establish its own sales and marketing capabilities and promote its product candidates if and when regulatory approval has been obtained in the United States or in other jurisdictions. There are risks involved if Tectonic decides to establish its own sales and marketing capabilities or enter into arrangements with third parties to perform these services. Even if Tectonic establishes sales and marketing capabilities, Tectonic may fail to launch its products effectively or to market its products effectively since Tectonic has no experience in the sales and marketing of biotechnology products. In addition, recruiting and training a sales force is expensive and time consuming and could delay any product launch. In the event that any such launch is delayed or does not occur for any reason, Tectonic would have prematurely or unnecessarily incurred these commercialization expenses, and its investment would be lost if Tectonic cannot retain or reposition its sales and marketing personnel. Factors that may inhibit Tectonics efforts to commercialize its products on its own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inability to recruit, train and retain adequate numbers of effective sales and marketing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educate adequate numbers of physicians on the benefits of its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Tectonic at a competitive disadvantage relative to companies with more extensive product 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marketing and promotion above those anticipated by Tectonic.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 enters into arrangements with third parties to perform sales and marketing services, its product revenues or the profitability of these product revenues to Tectonic could be lower than if it were to market and sell any products that it develops itself. Such collaborative arrangements with partners may place the commercialization of Tectonics products outside of its control and would make Tectonic subject to a number of risks including that Tectonic may not be able to control the amount or timing of resources that its collaborative partner devotes to Tectonics products or that Tectonics collaborators willingness or ability to complete its obligations, and Tectonics obligations under Tectonics arrangements may be adversely affected by business combinations or significant changes in Tectonics collaborators business strategy. In addition, Tectonic may not be successful in entering into arrangements with third parties to sell and market its products or may be unable to do so on terms that are favorable to Tectonic. Acceptable third parties may fail to devote the necessary resources and attention to sell and market Tectonics products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Tectonic does not establish sales and marketing capabilities successfully, either on its own or in collaboration with third parties, Tectonic may not be successful in commercializing its products, if any, which in turn would have a material adverse effect on Tectonics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 product candidate Tectonic develops receives marketing approval, it may fail to achieve the degree of market acceptance by physicians, patients, third-party payors and others in the medical community necessary for commercial success. The revenues that Tectonic generates from their sales may be limited, and Tectonic may never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Tectonic has never commercialized a product candidate for any indication. Even if Tectonics product candidates are approved by the appropriate regulatory authorities for marketing and sale, they may not gain acceptance among physicians, patients, third-party payors and others in the medical community. If any product candidates for which Tectonic obtains regulatory approval does not gain an adequate level of market acceptance, Tectonic could be prevented from or significantly delayed in achieving profitability. Market acceptance of its product candidates by the medical community, patients and third-party payors will depend on a number of factors, some of which are beyond its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Efforts to educate the medical community and third-party payors on the benefits of its product candidates may require significant resources and may not be successful. If any of Tectonics product candidates are approved but do not achieve an adequate level of market acceptance, Tectonic could be prevented from or significantly delayed in achieving profitability. The degree of market acceptance of any product for which Tectonic receives marketing approval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Tectonics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Tectonics product candidates as a safe and effective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its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comparable foreign regulatory authorities;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or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Tectonics product candidates in relation to other potentially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Tectonics product candidates in relation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Tectonics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from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administration, including as compared to alternative treatments and competitive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Tectonics sales and marketing efforts and distribution support;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or perceived risk of potential product liability claims.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may negatively impact Tectonics ability to profitably sell TX45 and any potential future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Tectonics ability to profitably sell any product for which it obtains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Tectonics business. For example, the Tax Cuts and Jobs Act, repealed the tax-based shared responsibility payment imposed by the ACA on certain individuals who fail to maintain qualifying health coverage that is commonly referred to as the individual mandate. 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0"/>
        <w:jc w:val="left"/>
        <w:rPr>
          <w:rFonts w:ascii="Times New Roman" w:hAnsi="Times New Roman"/>
          <w:sz w:val="20"/>
        </w:rPr>
      </w:pPr>
      <w:r>
        <w:rPr>
          <w:rFonts w:ascii="Times New Roman" w:hAnsi="Times New Roman"/>
          <w:sz w:val="20"/>
        </w:rPr>
        <w:t xml:space="preserve">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Tectonics interest in pursuing orphan drug designation for its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29, 2023, HHS announced the list of the first ten drugs that will be subject to price negotiations, although the Medicare drug pricing negotiation program is currently subject to legal challenges. The IRA permits HHS to implement many of these provisions through guidance, as opposed to regulation, for the initial years. HHS has and will continue to issue and update guidance as these programs are implemented. It is currently unclear how the IRA will be implemented but is likely to have a significant impact on the pharmaceutical industry.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Tectonic expects that the healthcare reform measures that have been adopted and may be adopted in the future may result in more rigorous coverage criteria and additional downward pressure on the price that it receives for any approved product and could seriously harm its future revenues. Any reduction in reimbursement from Medicare or other government programs may result in a similar reduction in payments from private payors. The implementation of cost containment measures or other healthcare reforms may prevent Tectonic from being able to generate revenue, attain profitability or commercialize its products.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TX45 and any potential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that Tectonic may successfully develop and for which it may obtain regulatory approval and may affect its overall financial condition and ability to develop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Tectonic expects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Tectonics products may be subject to favorable pricing and reimbursement status only in certain EU countries. If Tectonic is unable to maintain favorable pricing and reimbursement status in EU member states that represent significant markets, including following periodic review, its anticipated revenue from and growth prospects for its products in the EU could be negatively affected. Moreover, in order to obtain reimbursement for its products in some EU member states, Tectonic may be required to compile additional data comparing the cost-effectiveness of its products to other available therapies. Efforts to generate additional data for the HTA process will involve additional expenses which may substantially increase the cost of commercializing and marketing Tectonics products in certain EU member states. </w:t>
      </w:r>
    </w:p>
    <w:p>
      <w:pPr>
        <w:pStyle w:val="TextBody"/>
        <w:bidi w:val="0"/>
        <w:spacing w:before="240" w:after="0"/>
        <w:jc w:val="left"/>
        <w:rPr>
          <w:rFonts w:ascii="Times New Roman" w:hAnsi="Times New Roman"/>
          <w:sz w:val="20"/>
        </w:rPr>
      </w:pPr>
      <w:r>
        <w:rPr>
          <w:rFonts w:ascii="Times New Roman" w:hAnsi="Times New Roman"/>
          <w:sz w:val="20"/>
        </w:rPr>
        <w:t xml:space="preserve">Tectonic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240" w:after="0"/>
        <w:jc w:val="left"/>
        <w:rPr>
          <w:rFonts w:ascii="Times New Roman" w:hAnsi="Times New Roman"/>
          <w:sz w:val="20"/>
        </w:rPr>
      </w:pPr>
      <w:r>
        <w:rPr>
          <w:rFonts w:ascii="Times New Roman" w:hAnsi="Times New Roman"/>
          <w:sz w:val="20"/>
        </w:rPr>
        <w:t xml:space="preserve">If Tectonic or any third parties it may engage are slow or unable to adapt to changes in existing requirements or the adoption of new requirements or policies, or if Tectonic or such third parties are not able to maintain regulatory compliance, its product candidates may lose any regulatory approval that may have been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Tectonics business may rely,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Tectonics operations may rely, including those that fund research and development activities, is subject to the political process, which is inherently fluid and unpredictable.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Disruptions at the FDA and other agencies may also slow the time necessary for new product candidates to be reviewed and/or approved by necessary government agencies, which would adversely affect Tectonics business. If a prolonged government shutdown occurs, it could significantly impact the ability of the FDA to timely review and process Tectonics regulatory submissions, which could have a material adverse effect on its business. Further, future government shutdowns could impact Tectonics ability to access the public markets and obtain necessary capital in order to properly capitalize and continue its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relationships with healthcare providers, customers and third-party payors will be subject to applicable anti-kickback, fraud and abuse, transparency and other healthcare laws and regulations, which, if violated, could expose it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will play a primary role in the recommendation and prescription of any product candidates for which Tectonic or its partner obtains marketing approval. Tectonics arrangements with healthcare providers, third-party payors and customers may expose it to broadly applicable fraud and abuse and other healthcare laws and regulations that may constrain the business or financial arrangements and relationships through which it researches, markets, sells and distributes its products for which Tectonic or its partner obtain marketing approval.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Tectonics business arrangements with third parties will comply with applicable healthcare laws and regulations will involve substantial costs. It is possible that governmental authorities will conclude that Tectonics business practices may not comply with current or future statutes, regulations or case law interpreting applicable fraud and abuse or other healthcare laws and regulations. If Tectonics operations are found to be in violation of any of these laws or any other governmental regulations that may apply to it, Tectonic may be subject to significant civil, criminal and administrative penalties, damages, fines, additional regulatory oversight, litigation, imprisonment, exclusion from government funded healthcare programs, such as Medicare and Medicaid, and the curtailment or restructuring of its operations. If any of the physicians or other healthcare providers or entities with whom Tectonic expects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Tectonics business could be materially and adversely affected in the future by political unrest in China, as well as the effects of disease outbreaks, epidemics and pandemics. </w:t>
      </w:r>
    </w:p>
    <w:p>
      <w:pPr>
        <w:pStyle w:val="TextBody"/>
        <w:bidi w:val="0"/>
        <w:spacing w:before="120" w:after="0"/>
        <w:jc w:val="left"/>
        <w:rPr>
          <w:rFonts w:ascii="Times New Roman" w:hAnsi="Times New Roman"/>
          <w:sz w:val="20"/>
        </w:rPr>
      </w:pPr>
      <w:r>
        <w:rPr>
          <w:rFonts w:ascii="Times New Roman" w:hAnsi="Times New Roman"/>
          <w:sz w:val="20"/>
        </w:rPr>
        <w:t xml:space="preserve">Disease outbreaks, epidemics and pandemics in regions where Tectonic may have clinical trial sites or other business operations could adversely affect its business, including by causing significant disruptions in its operations and/or in the operations of third-party manufacturers and CROs upon whom it relies. Disease outbreaks, epidemics and pandemics have negative impacts on its ability to initiate new clinical trial sites, to enroll new patients and to maintain existing patients who are participating in its clinical trials, which may include increased clinical trial costs, longer timelines and delay in Tectonics ability to obtain regulatory approvals of TX45 and 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Tectonics key manufacturer and supplier is located in China, Tectonic is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Tectonics components may in the future be subject to these tariffs, which could increase its manufacturing costs and could make its products, if successfully developed and approved, less competitive than those of Tectonics competitors whose inputs are not subject to these tariffs. Tectonic may otherwise experience supply disruptions or delays, and although it carefully manages its inventory and lead-times, Tectonics supplier may not continue to provide it with battery components in its required quantities, to its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Tectonics ability to work with such entities, thereby potentially disrupting the supply of material to Tectonic.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of Tectonics product candidates and Tectonics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supply chain issues may be exacerbated during disease outbreaks, epidemics and pandemics and may also impact the ability of Tectonics clinical trial sites to obtain basic medical supplies used in its trials in a timely fashion, if at all. </w:t>
      </w:r>
    </w:p>
    <w:p>
      <w:pPr>
        <w:pStyle w:val="TextBody"/>
        <w:bidi w:val="0"/>
        <w:spacing w:before="120" w:after="0"/>
        <w:jc w:val="left"/>
        <w:rPr>
          <w:rFonts w:ascii="Times New Roman" w:hAnsi="Times New Roman"/>
          <w:sz w:val="20"/>
        </w:rPr>
      </w:pPr>
      <w:r>
        <w:rPr>
          <w:rFonts w:ascii="Times New Roman" w:hAnsi="Times New Roman"/>
          <w:sz w:val="20"/>
        </w:rPr>
        <w:t xml:space="preserve">If Tectonics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its clinical trials could adversely affect its ability to conduct ongoing and future clinical trials of TX45 on Tectonics anticipated development timelines. Likewise, the operations of Tectonics third-party manufacturers may be requisitioned, diverted or allocated by U.S. or foreign government orders. If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Tectonics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Tectonics clinical trials, perhaps substantially, which could materially and adversely affect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estimates of market opportunity and forecasts of market growth may prove to be inaccurate, and even if the markets in which Tectonic compete achieve the forecasted growth, its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Tectonics market opportunity estimates and growth forecasts are subject to significant uncertainty and are based on assumptions and estimates which may not prove to be accurate. Its estimates and forecasts relating to size and expected growth of its target market may prove to be inaccurate. Even if the markets in which Tectonic competes meet its size estimates and growth forecasts, its business may not grow at similar rates, or at all. Tectonics growth is subject to many factors, including its success in implementing its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Tectonics revenue will be dependent, in part, upon the size of the markets in the territories for which Tectonic gains regulatory approval, the accepted price for the product, the ability to obtain coverage and reimbursement, the ability to gain market share and whether Tectonic owns the commercial rights for that territory. If the number of its addressable patients is not as significant as Tectonic estimates, the indication approved by regulatory authorities is narrower than Tectonic expects or the treatment population is narrowed by competition, physician choice or treatment guidelines, Tectonic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Tectonic obtains approval to market TX45 or other potential future product candidates, these products may become subject to unfavorable pricing regulations, reimbursement practices from third-party payors or healthcare reform initiatives in the United States and abroad, which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Tectonics products should be based on prices of other commercially available drugs for the same disease, rather than allowing it to market its products at a premium as new drugs. As a result, Tectonic might obtain marketing approval for a product in a particular country, but then be subject to price regulations that delay or limit its commercial launch of the product, possibly for lengthy time periods, which could negatively impact the revenue it generates from the sale of the product in that particular country. In some foreign markets, prescription pharmaceutical pricing remains subject to continuing governmental control even after initial approval is granted. Adverse pricing limitations may hinder Tectonics ability to recoup its investment in one or more product candidates, even if Tectonics product candidates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commercial success also depends on coverage and adequate reimbursement of its product candidates by third-party payors, including government payors, private health insurers, health maintenance organizations and other organizations, which may be difficult or time-consuming to obtain, may be limited in scope and may not be obtained in all jurisdictions in which it may seek to market its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Tectonic cannot be sure that coverage and reimbursement will be available for any product that it or its partners commercialize and, if reimbursement is available, what the level of reimbursement will be. Coverage and reimbursement may impact the demand for, or the price of, any product candidate for which Tectonic or its partners obtain regulatory approval. If coverage and reimbursement are not available or reimbursement is available only to limited levels, it and its partners may not be able to successfully commercialize any product candidate for which marketing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Tectonics costs, including costs of research, development, manufacture, sale and distribution. Interim reimbursement levels for new drugs, if applicable, may also not be sufficient to cover Tectonics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Tectonics inability to promptly obtain coverage and profitable reimbursement rates from both government-funded and private payors for any approved products that it develops could have a material adverse effect on its operating results, ability to raise capital needed to commercialize products and overall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Tectonics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Tectonics success depends in part on its ability to protect its intellectual property. It is difficult and costly to protect its proprietary rights and technology, and Tectonic may not be able to ensure their protection. </w:t>
      </w:r>
    </w:p>
    <w:p>
      <w:pPr>
        <w:pStyle w:val="TextBody"/>
        <w:bidi w:val="0"/>
        <w:spacing w:before="120" w:after="0"/>
        <w:jc w:val="left"/>
        <w:rPr>
          <w:rFonts w:ascii="Times New Roman" w:hAnsi="Times New Roman"/>
          <w:sz w:val="20"/>
        </w:rPr>
      </w:pPr>
      <w:r>
        <w:rPr>
          <w:rFonts w:ascii="Times New Roman" w:hAnsi="Times New Roman"/>
          <w:sz w:val="20"/>
        </w:rPr>
        <w:t xml:space="preserve">Tectonics commercial success will depend in large part on obtaining and maintaining patent, trademark and trade secret protection of its proprietary technologies and its product candidates, their respective components, formulations, combination therapies, methods used to manufacture them and methods of treatment, as well as successfully defending these patents against third-party challenges. Tectonics ability to stop unauthorized third parties from making, using, selling, offering to sell or importing its product candidates is dependent upon the extent to which Tectonic has rights under valid and enforceable patents that cover these activities. If Tectonic is unable to secure and maintain patent protection for any product or technology it develops, or if the scope of the patent protection secured is not sufficiently broad, its competitors could develop and commercialize products and technology similar or identical to Tectonics, and its ability to commercialize any product candidates Tectonic may develop may be adversely affected. The patenting process is expensive and time-consuming, and Tectonic may not be able to file, prosecute and maintain all necessary or desirable patent applications at a reasonable cost or in a timely manner. In addition, Tectonic may not pursue, obtain or maintain patent protection in all relevant markets. It is also possible that Tectonic will fail to identify patentable aspects of its research and development output before it is too late to obtain patent protection. Moreover, in some circumstances, Tectonic may not have the right to control the preparation, filing and prosecution of patent applications, or to maintain the patents, covering technology that it licenses from or licenses to third parties and is reliant on its licensors or licensees. Therefore, these patents and applications may not be prosecuted and enforced in a manner consistent with the best interests of Tectonics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strength of patents in the biotechnology field involves complex legal and scientific questions and can be uncertain. The patent applications that Tectonic owns or in-licenses may fail to result in issued patents with claims that cover its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Tectonics patents and patent applications may not adequately protect its intellectual property or prevent others from designing around its claims. If the breadth or strength of protection provided by the patent applications Tectonic holds with respect to its product candidates is threatened, it could dissuade companies from collaborating with Tectonic to develop, and threaten its ability to commercialize, its product candidates. Further, if Tectonic encounters delays in its clinical trials, the period of time during which Tectonic could market its product candidates under patent protection would be reduced. Since patent applications in the United States and most other countries are confidential for a period of time after filing, Tectonic cannot be certain that it was the first to file any patent application related to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Tectonic may be required to disclaim part or all of the term of certain patents or all of the term of certain patent applications. There may be prior art of which Tectonic is not aware that may affect the validity or enforceability of a patent claim, and Tectonic may be subject to a third-party preissuance submission of prior art to the USPTO. There also may be prior art of which Tectonic is aware, but which it does not believe affects the validity or enforceability of a claim, which may, nonetheless, ultimately be found to affect the validity or enforceability of a claim. No assurance can be given that if challenged, Tectonics patents would be declared by a court to be valid or enforceable or that even if found valid and enforceable, a competitors technology or product would be found by a court to infringe its patents. Tectonic may analyze patents or patent applications of its competitors that it believes are relevant to its activities, and consider that it is free to operate in relation to its product candidates, but Tectonics competitors may achieve issued claims, including in patents Tectonic considers to be unrelated, which block its efforts or may potentially result in its product candidates or its activities infringing such claims. The possibility exists that others will develop products which have the same effect as Tectonics products on an independent basis which do not infringe its patents or other intellectual property rights, or will design around the claims of patents that Tectonic has had issued that cover its products. </w:t>
      </w:r>
    </w:p>
    <w:p>
      <w:pPr>
        <w:pStyle w:val="TextBody"/>
        <w:bidi w:val="0"/>
        <w:spacing w:before="240" w:after="0"/>
        <w:jc w:val="left"/>
        <w:rPr>
          <w:rFonts w:ascii="Times New Roman" w:hAnsi="Times New Roman"/>
          <w:sz w:val="20"/>
        </w:rPr>
      </w:pPr>
      <w:r>
        <w:rPr>
          <w:rFonts w:ascii="Times New Roman" w:hAnsi="Times New Roman"/>
          <w:sz w:val="20"/>
        </w:rPr>
        <w:t xml:space="preserve">Recent or future patent reform legislation could increase the uncertainties and costs surrounding the prosecution of Tectonics patent applications and the enforcement or defense of its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Tectonics patent applications and the enforcement or defense of its issued patents, all of which could have a material adverse effect on its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degree of future protection for Tectonics proprietary rights is uncertain because legal means afford only limited protection and may not adequately protect its rights or permit Tectonic to gain or keep its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or use compounds or cells that are similar to the biological compositions of Tectonics product candidates but that are not covered by the claims of its patents;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active biological ingredients in Tectonics current product candidates will eventually become commercially available in biosimilar drug products, and no patent protection may be available with regard to formulation or method of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or its licensors, as the case may be, may fail to meet its obligations to the U.S. government in regards to any in-licensed patents and patent applications funded by U.S. government grants, leading to the loss of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or its licensors, as the case may be, might not have been the first to file patent applications for these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Tectonics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Tectonics pending patent applications will not result in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Tectonics or its licensors patents, as the case may be, or parts of Tectonics or their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others may circumvent Tectonics owned or in-licensed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Tectonics products or technology similar to its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Tectonics or its licensors, as the case may be, proprietary rights to the same extent as the laws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claims of Tectonics owned or in-licensed issued patents or patent applications, if and when issued, may not cover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owned or in-licensed issued patents may not provide it with any competitive advantages, may be narrowed in scope, or be held invalid or unenforceable as a result of legal challenges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Tectonics owned or in-licensed patents or patent applications may become involved with competitors, develop products or processes which design around its patents, or become hostile to Tectonic or the patents or patent applications on which they are named as inventors;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Tectonics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has engaged in scientific collaborations in the past, and will continue to do so in the future. Such collaborators may develop adjacent or competing products to Tectonics that are outside the scope of its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may not develop additional proprietary technologies for which it can obtain patent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product candidates Tectonic develops may be covered by third parties patents or other exclusive rights;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Tectonics business.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Tectonic depends on intellectual property licensed from third parties and termination of any of these licenses could result in the loss of significant rights, which would harm its business. </w:t>
      </w:r>
    </w:p>
    <w:p>
      <w:pPr>
        <w:pStyle w:val="TextBody"/>
        <w:bidi w:val="0"/>
        <w:spacing w:before="120" w:after="0"/>
        <w:jc w:val="left"/>
        <w:rPr>
          <w:rFonts w:ascii="Times New Roman" w:hAnsi="Times New Roman"/>
          <w:sz w:val="20"/>
        </w:rPr>
      </w:pPr>
      <w:r>
        <w:rPr>
          <w:rFonts w:ascii="Times New Roman" w:hAnsi="Times New Roman"/>
          <w:sz w:val="20"/>
        </w:rPr>
        <w:t>Tectonic is dependent on patents, know-how and proprietary technology, both its own and licensed from others. Any termination of these licenses could result in the loss of significant rights and could harm Tectonics ability to commercialize its product candidates. Please see the section titled </w:t>
      </w:r>
      <w:r>
        <w:rPr>
          <w:rFonts w:ascii="Times New Roman" w:hAnsi="Times New Roman"/>
          <w:i/>
          <w:sz w:val="20"/>
        </w:rPr>
        <w:t>Tectonics BusinessCollaboration, License and Services Agreements</w:t>
      </w:r>
      <w:r>
        <w:rPr>
          <w:rFonts w:ascii="Times New Roman" w:hAnsi="Times New Roman"/>
          <w:sz w:val="20"/>
        </w:rPr>
        <w:t xml:space="preserve"> on page 376 this proxy statement/prospectus for additional information regarding Tectonics license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Disputes may also arise between Tectonic and its licensors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whether and the extent to which Tectonics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right to sublicense patent and other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diligence obligations with respect to the use of the licensed technology in relation to its development and commercialization of its product candidates, and what activities satisfy those diligence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or ownership of inventions and know-how resulting from the joint creation or use of intellectual property by Tectonics licensors and Tectonic and its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Tectonic believes to be the scope of its rights to the relevant intellectual property or technology, or increase what Tectonic believes to be its financial or other obligations under the relevant agreement, either of which could have a material adverse effect on Tectonics business, financial condition, results of operations and prospects. If disputes over intellectual property that Tectonic has licensed prevent or impair Tectonics ability to maintain its current licensing arrangements on acceptable terms, Tectonic may be unable to successfully develop and commercialize the affected product candidates. </w:t>
      </w:r>
    </w:p>
    <w:p>
      <w:pPr>
        <w:pStyle w:val="TextBody"/>
        <w:bidi w:val="0"/>
        <w:spacing w:before="0" w:after="0"/>
        <w:jc w:val="left"/>
        <w:rPr>
          <w:rFonts w:ascii="Times New Roman" w:hAnsi="Times New Roman"/>
          <w:sz w:val="20"/>
        </w:rPr>
      </w:pPr>
      <w:r>
        <w:rPr>
          <w:rFonts w:ascii="Times New Roman" w:hAnsi="Times New Roman"/>
          <w:sz w:val="20"/>
        </w:rPr>
        <w:t xml:space="preserve">Tectonic is generally also subject to all of the same risks with respect to protection of intellectual property that it licenses, as Tectonic is for intellectual property that it owns, which are described below. If Tectonic or its licensors fail to adequately protect this intellectual property, Tectonics ability to commercialize products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fails to comply with its obligations under its patent license with a third party, Tectonic could lose license rights that are important to its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is a party to a license agreement pursuant to which it in-licenses key patent and patent applications for its product candidates. These existing licenses impose various diligence, milestone payment, royalty, insurance and other obligations on Tectonic. If Tectonic fails to comply with these obligations, its licensors may have the right to terminate the license, in which event Tectonic would not be able to develop or market the products covered by such licensed intellectual property. Termination of these agreements or reduction or elimination of Tectonics rights under these agreements, or restrictions on its ability to freely assign or sublicense its rights under such agreements when it is in the interest of Tectonics business to do so, may impede, delay or prohibit the further development or commercialization of one or more product candidates that rely on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Tectonic may have limited control over the maintenance and prosecution of these in-licensed patents and patent applications, activities or any other intellectual property that may be related to its in-licensed intellectual property. For example, Tectonic cannot be certain that such activities by its licensor have been or will be conducted in compliance with applicable laws and regulations or will result in valid and enforceable patents and other intellectual property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is unable to protect the confidentiality of its proprietary information, Tectonics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Tectonic relies upon know-how, as well as non-disclosure agreements and invention assignment agreements with its employees, consultants and third-parties, to protect its confidential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proprietary information, especially where Tectonic does not believe patent protection is appropriate or obtainable. In addition to contractual measures, Tectonic tries to protect the confidential nature of its proprietary information using physical and technological security measures. Such measures may not, for example, in the case of misappropriation by an employee or third party with authorized access, provide adequate protection for Tectonics proprietary information. Tectonics security measures may not prevent an employee or consultant from misappropriating its proprietary information and providing them to a competitor, and recourse Tectonic takes against such misconduct may not provide an adequate remedy to protect its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Tectonic. If any of Tectonics confidential or proprietary information were to be disclosed or misappropriated, or if any such information was independently developed by a competitor, Tectonics competitive position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courts outside the United States are sometimes less willing to protect proprietary information. If Tectonic chooses to go to court to stop a third party from using any of its proprietary information, Tectonic may incur substantial costs. These lawsuits may consume Tectonics time and other resources even if it is successful. Although Tectonic takes steps to protect its proprietary information and proprietary information, including through contractual means with its employees and consultants, third parties may independently develop substantially equivalent proprietary information and techniques or otherwise gain access to, or disclose, its technology. </w:t>
      </w:r>
    </w:p>
    <w:p>
      <w:pPr>
        <w:pStyle w:val="TextBody"/>
        <w:bidi w:val="0"/>
        <w:spacing w:before="240" w:after="0"/>
        <w:jc w:val="left"/>
        <w:rPr>
          <w:rFonts w:ascii="Times New Roman" w:hAnsi="Times New Roman"/>
          <w:sz w:val="20"/>
        </w:rPr>
      </w:pPr>
      <w:r>
        <w:rPr>
          <w:rFonts w:ascii="Times New Roman" w:hAnsi="Times New Roman"/>
          <w:sz w:val="20"/>
        </w:rPr>
        <w:t xml:space="preserve">Thus, Tectonic may not be able to meaningfully protect its proprietary information. It is Tectonics policy to require its employees, consultants, outside scientific collaborators, sponsored researchers and other advisors to execute confidentiality agreements upon the commencement of employment or consulting relationships with Tectonic. These agreements provide that all confidential information concerning its business or financial affairs developed or made known to the individual or entity during the course of the partys relationship with Tectonic is to be kept confidential and not disclosed to third parties except in specific circumstances. In the case of employees, the agreements provide that all inventions conceived by the individual, and which are related to Tectonics current or planned business or research and development or made during normal working hours, on its premises or using its equipment or proprietary information, are Tectonics exclusive property. In addition, Tectonic takes other appropriate precautions, such as physical and technological security measures, to guard against misappropriation of its proprietary information by third parties. Tectonic have also adopted policies and conduct training that provides guidance on its expectations, and its advice for best practices, in protecting its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Tectonics product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Tectonics commercial success depends in part on its ability to develop, manufacture, market and sell its product candidates and use its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inter partes</w:t>
      </w:r>
      <w:r>
        <w:rPr>
          <w:rFonts w:ascii="Times New Roman" w:hAnsi="Times New Roman"/>
          <w:sz w:val="20"/>
        </w:rPr>
        <w:t xml:space="preserve"> review, post grant review, and reexamination proceedings before the USPTO or oppositions and other comparable proceedings in foreign jurisdictions. Tectonic may be exposed to, or threatened with, future litigation by third parties having patent or other intellectual property rights alleging that its product candidates and/or proprietary technologies infringe their intellectual property rights. Numerous U.S. and foreign issued patents and pending patent applications, which are owned by third parties, exist in the fields in which Tectonic is developing its product candidates. There may be third-party patents or patent applications with claims to materials, formulations, methods of manufacture or methods for treatment related to Tectonics product candidates and programs. As the biotechnology and pharmaceutical industries expand and more patents are issued, the risk increases that its product candidates may give rise to claims of infringement of the patent rights of others. Moreover, it is not always clear to industry participants, including Tectonic,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patents cover various types of drugs, products or their methods of use or manufacture. Thus, because of the large number of patents issued and patent applications filed in Tectonics fields, there may be a risk that third parties may allege they have patent rights encompassing its product candidates, technologies or methods. </w:t>
      </w:r>
    </w:p>
    <w:p>
      <w:pPr>
        <w:pStyle w:val="TextBody"/>
        <w:bidi w:val="0"/>
        <w:spacing w:before="240" w:after="0"/>
        <w:jc w:val="left"/>
        <w:rPr>
          <w:rFonts w:ascii="Times New Roman" w:hAnsi="Times New Roman"/>
          <w:sz w:val="20"/>
        </w:rPr>
      </w:pPr>
      <w:r>
        <w:rPr>
          <w:rFonts w:ascii="Times New Roman" w:hAnsi="Times New Roman"/>
          <w:sz w:val="20"/>
        </w:rPr>
        <w:t xml:space="preserve">If a third-party claims that Tectonic infringes its intellectual property rights, it may face a number of issues,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infringement and other intellectual property claims which, regardless of merit, may be expensive and time-consuming to litigate and may divert Tectonics managements attention from its core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damages for infringement, which Tectonic may have to pay if a court decides that the product candidate or technology at issue infringes on or violates the third partys rights, and, if the court finds that the infringement was willful, Tectonic could be ordered to pay treble damages and the patent owners attorneys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prohibiting Tectonic from developing, manufacturing, marketing or selling its product candidates, or from using Tectonics proprietary technologies, unless the third party licenses its product rights to Tectonic, which it is not required to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license is available from a third party, Tectonic may have to pay substantial royalties, upfront fees and other amounts, and/or grant cross-licenses to intellectual property rights for its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redesigning Tectonics product candidates or processes so they do not infringe, which may not be possible or may require substantial monetary expenditures and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Tectonics competitors may be able to sustain the costs of complex patent litigation more effectively than Tectonic can because they have substantially greater resources. In addition, any uncertainties resulting from the initiation and continuation of any litigation could have a material adverse effect on Tectonics ability to raise the funds necessary to continue its operations or could otherwise have a material adverse effect on its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Tectonic is employing their proprietary technology without authorization. Generally, conducting clinical trials and other development activities in the United States is protected under the Safe Harbor exemption as set forth in 35 U.S.C. § 271. If and when TX45 or another one of Tectonics product candidates is approved by the FDA, that certain third party may then seek to enforce its patent by filing a patent infringement lawsuit against Tectonic. While Tectonic does not believe that any claims of such patent that could otherwise materially adversely affect commercialization of its product candidates, if approved, are valid and enforceable, Tectonic may be incorrect in this belief, or Tectonic may not be able to prove it in a litigation. In this regard, patents issued in the United States by law enjoy a presumption of validity that can be rebutted only with evidence that is clear and convincing, a heightened standard of proof. There may be third-party patents of which Tectonic is currently unaware with claims to materials, formulations, methods of manufacture or methods for treatment related to the use or manufacture of its product candidates. Because patent applications can take many years to issue, there may be currently pending patent applications which may later result in issued patents that Tectonics product candidates may infringe. In addition, third parties may obtain patents in the future and claim that use of Tectonics technologies infringes upon these patents. If any third-party patents were held by a court of competent jurisdiction to cover the manufacturing process of Tectonics product candidates, constructs or molecules used in or formed during the manufacturing process, or any final product itself, the holders of any such patents may be able to block Tectonics ability to commercialize the product candidate unless Tectonic obtained a license under the applicable patents, or until such patents expire or they are finally determined to be held invalid or unenforceable. Similarly, if any third-party patent were held by a court of competent jurisdiction to cover aspects of Tectonics formulations, processes for manufacture or methods of use, the holders of any such patent may be able to block its ability to develop and commercialize the product candidate unless Tectonic obtained a license or until such patent expires or is finally determined to be held invalid or unenforceable. In either case, such a license may not be available on commercially reasonable terms or at all. If Tectonic is unable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obtain a necessary license to a third-party patent on commercially reasonable terms, or at all, Tectonics ability to commercialize its product candidates may be impaired or delayed, which could in turn significantly harm its business. Even if Tectonic obtains a license, it may be non-exclusive, thereby giving its competitors access to the same technologies licensed to Tectonic. In addition, if the breadth or strength of protection provided by its patents and patent applications is threatened, it could dissuade companies from collaborating with Tectonic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Tectonic may seek and obtain injunctive or other equitable relief, which could effectively block its ability to further develop and commercialize its product candidates. Defense of these claims, regardless of their merit, would involve substantial litigation expense and would be a substantial diversion of employee resources from Tectonics business. In the event of a successful claim of infringement against Tectonic, it may have to pay substantial damages, including treble damages and attorneys fees for willful infringement, obtain one or more licenses from third parties, pay royalties or redesign its infringing products, which may be impossible or require substantial time and monetary expenditure. Tectonic cannot predict whether any such license would be available at all or whether it would be available on commercially reasonable terms. Even if such a license is available, it may be non-exclusive, which could result in Tectonics competitors gaining access to the same intellectual property. Furthermore, even in the absence of litigation, Tectonic may need to obtain licenses from third parties to advance its research or allow commercialization of its product candidates. Tectonic may fail to obtain any of these licenses at a reasonable cost or on reasonable terms, if at all. In that event, Tectonic would be unable to further develop and commercialize its product candidates, which could harm its business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Lastly, Tectonic may need to indemnify its customers and distributors against claims relating to the infringement of intellectual property rights of third parties related to its product candidates, including TX45. Third parties may assert infringement claims against Tectonics customers or distributors. These claims may require Tectonic to initiate or defend protracted and costly litigation on behalf of its customers or distributors, regardless of the merits of these claims. If any of these claims succeed, Tectonic may be forced to pay damages on behalf of its customers, suppliers or distributors, or may be required to obtain licenses for the product candidates or services they use. If Tectonic cannot obtain all necessary licenses on commercially reasonable terms, its customers may be forced to stop using its products or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assert that Tectonics employees or consultants have wrongfully used or disclosed confidential information or misappropriated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Tectonic employs individuals who were previously employed at universities or other biopharmaceutical or pharmaceutical companies, including its competitors or potential competitors. Although no claims against Tectonic are currently pending, and although Tectonic tries to ensure that its employees and consultants do not use the proprietary information or know-how of others in their work for Tectonic, it may be subject to claims that Tectonic or its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Tectonic fails in defending any such claims, in addition to paying monetary damages, it may lose valuable intellectual property rights or personnel. Even if Tectonic is successful in defending against such claims, litigation or other legal proceedings relating to intellectual property claims may cause it to incur significant expenses, and could distract Tectonics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Tectonics common stock. This type of litigation or proceeding could substantially increase its operating losses and reduce its resources available for development activities. Tectonic may not have sufficient financial or other resources to adequately conduct such litigation or proceedings. Some of Tectonics competitors may be able to sustain the costs of such litigation or proceedings more effectively than Tectonic can because of their substantially greater financial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Uncertainties resulting from the initiation and continuation of patent litigation or other intellectual property related proceedings could adversely affect Tectonics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not be successful in obtaining or maintaining necessary rights to develop any future product candidates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Because Tectonics programs may involve additional product candidates that may require the use of proprietary rights held by third parties, the growth of its business may depend in part on its ability to acquire, in-license or use these proprietary rights.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candidates may also require specific formulations to work effectively and efficiently and these rights may be held by others. Tectonic may develop products containing its compounds and pre-existing pharmaceutical compounds. Tectonic may be unable to acquire or in-license any compositions, methods of use, processes or other third-party intellectual property rights from third parties that Tectonic identifies as necessary or important to its business operations. Tectonic may fail to obtain any of these licenses at a reasonable cost or on reasonable terms, if at all, which would harm its business. Tectonic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Tectonic were able to develop such alternatives, which may not be feasible. Even if Tectonic is able to obtain a license, it may be non-exclusive, thereby giving its competitors access to the same technologies licensed to it. In that event, Tectonic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Additionally, Tectonic sometimes collaborate with academic institutions to accelerate its preclinical research or development under written agreements with these institutions. In certain cases, these institutions provide Tectonic with an option to negotiate a license to any of the institutions rights in technology resulting from the collaboration. Regardless of such option, Tectonic may be unable to negotiate a license within the specified timeframe or under terms that are acceptable to it. If Tectonic is unable to do so, the institution may offer the intellectual property rights to others, potentially blocking its ability to pursue its program. If Tectonic is unable to successfully obtain rights to required third-party intellectual property or to maintain the existing intellectual property rights it has, Tectonic may have to abandon development of such program and its business and financial condition could suffer.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which may be more established, or have greater resources than Tectonic does, may also be pursuing strategies to license or acquire third-party intellectual property rights that Tectonic may consider necessary or attractive in order to commercialize its product candidates. More established companies may have a competitive advantage over Tectonic due to their size, cash resources and greater clinical development and commercialization capabilities. There can be no assurance that Tectonic will be able to successfully complete such negotiations and ultimately acquire the rights to the intellectual property surrounding the additional product candidates that it may seek to acquire.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be involved in lawsuits to protect or enforce its patents or the patents of its licensors,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Tectonics patents or the patents of its licensors. To counter infringement or unauthorized use, Tectonic may be required to file infringement claims, which can be expensive and time-consuming. In addition, in an infringement proceeding, a court may decide that one or more of Tectonics patents is not valid or is unenforceable, or may refuse to stop the other party from using the technology at issue on the grounds that its patents do not cover the technology in question. An adverse result in any litigation or defense proceedings could put one or more of Tectonics patents at risk of being invalidated, held unenforceable, or interpreted narrowly and could put its patent applications at risk of not issuing. Defense of these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regardless of their merit, would involve substantial litigation expense and would be a substantial diversion of employee resources from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Tectonic may choose to challenge the patentability of claims in a third partys U.S. patent by requesting that the USPTO review the patent claims in an </w:t>
      </w:r>
      <w:r>
        <w:rPr>
          <w:rFonts w:ascii="Times New Roman" w:hAnsi="Times New Roman"/>
          <w:i/>
          <w:sz w:val="20"/>
        </w:rPr>
        <w:t>ex-parte</w:t>
      </w:r>
      <w:r>
        <w:rPr>
          <w:rFonts w:ascii="Times New Roman" w:hAnsi="Times New Roman"/>
          <w:sz w:val="20"/>
        </w:rPr>
        <w:t xml:space="preserve"> re-exam, </w:t>
      </w:r>
      <w:r>
        <w:rPr>
          <w:rFonts w:ascii="Times New Roman" w:hAnsi="Times New Roman"/>
          <w:i/>
          <w:sz w:val="20"/>
        </w:rPr>
        <w:t>inter partes</w:t>
      </w:r>
      <w:r>
        <w:rPr>
          <w:rFonts w:ascii="Times New Roman" w:hAnsi="Times New Roman"/>
          <w:sz w:val="20"/>
        </w:rPr>
        <w:t xml:space="preserve"> review or post-grant review proceedings. These proceedings are expensive and may consume Tectonics time or other resources. Tectonic may choose to challenge a third partys patent in patent opposition proceedings in the foreign patent offices. The costs of these opposition proceedings could be substantial, and may consume Tectonics time or other resources. If Tectonic fails to obtain a favorable result at the USPTO or other patent office then it may be exposed to litigation by a third party alleging that the patent may be infringed by its product candidates or proprietary technologies.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Tectonic cannot be certain that others have not filed patent applications for technology covered by its owned and in-licensed issued patents or its pending applications, or that Tectonic or, if applicable, a licensor were the first to invent the technology. Tectonics competitors may have filed, and may in the future file, patent applications covering products or technology similar to Tectonics. Any such patent application may have priority over Tectonics owned and in-licensed patent applications or patents, which could require Tectonic to obtain rights to issued patents covering such technologies. If another party has filed a U.S. patent application on inventions similar to those owned by or in-licensed to Tectonic, Tectonic or, in the case of in-licensed technology, the licensor may have to participate in an interference proceeding declared by the USPTO to determine priority of invention in the United States. If Tectonic or one of its licensors is a party to an interference proceeding involving a U.S. patent application on inventions owned by or in-licensed to Tectonic, Tectonic may incur substantial costs, divert managements time and expend other resources, even if it is successful. </w:t>
      </w:r>
    </w:p>
    <w:p>
      <w:pPr>
        <w:pStyle w:val="TextBody"/>
        <w:bidi w:val="0"/>
        <w:spacing w:before="240" w:after="0"/>
        <w:jc w:val="left"/>
        <w:rPr>
          <w:rFonts w:ascii="Times New Roman" w:hAnsi="Times New Roman"/>
          <w:sz w:val="20"/>
        </w:rPr>
      </w:pPr>
      <w:r>
        <w:rPr>
          <w:rFonts w:ascii="Times New Roman" w:hAnsi="Times New Roman"/>
          <w:sz w:val="20"/>
        </w:rPr>
        <w:t xml:space="preserve">Interference proceedings provoked by third parties or brought by the USPTO may be necessary to determine the priority of inventions with respect to Tectonics patents or patent applications or those of its licensors. An unfavorable outcome could result in a loss of Tectonics current patent rights and could require it to cease using the related technology or to attempt to license rights to it from the prevailing party. Tectonics business could be harmed if the prevailing party does not offer it a license on commercially reasonable terms or at all. Litigation or interference proceedings may result in a decision adverse to Tectonics interests and, even if it is successful, may result in substantial costs and distract Tectonics management and other employees. Tectonic may not be able to prevent, alone or with its licensors, misappropriation of its proprietary or confidential information, particularly in countries where the laws may not protect those rights as fully as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Tectonics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Tectonics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Tectonics patent protection depends on compliance with various procedural, document submission, fee payment and other requirements imposed by governmental patent agencies, and its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Tectonics competitors might be able to enter the market, which would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Tectonics product candidates could be found invalid or unenforceable if challenged in court or the USPTO. </w:t>
      </w:r>
    </w:p>
    <w:p>
      <w:pPr>
        <w:pStyle w:val="TextBody"/>
        <w:bidi w:val="0"/>
        <w:spacing w:before="120" w:after="0"/>
        <w:jc w:val="left"/>
        <w:rPr>
          <w:rFonts w:ascii="Times New Roman" w:hAnsi="Times New Roman"/>
          <w:sz w:val="20"/>
        </w:rPr>
      </w:pPr>
      <w:r>
        <w:rPr>
          <w:rFonts w:ascii="Times New Roman" w:hAnsi="Times New Roman"/>
          <w:sz w:val="20"/>
        </w:rPr>
        <w:t xml:space="preserve">If Tectonic or one of its licensing partners initiate legal proceedings against a third party to enforce a patent covering one of its product candidates, the defendant could counterclaim that the patent covering its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Tectonics patents in such a way that they no longer cover its product candidates. The outcome following legal assertions of invalidity and unenforceability is unpredictable. With respect to the validity question, for example, Tectonic cannot be certain that there is no invalidating prior art, of which Tectonic, its patent counsel and the patent examiner were unaware during prosecution. If a defendant were to prevail on a legal assertion of invalidity and/or unenforceability, or if Tectonic is otherwise unable to adequately protect Tectonics rights, Tectonic would lose at least part, and perhaps all, of the patent protection on its product candidates. Such a loss of patent protection could have a material adverse impact on Tectonics business and its ability to commercialize or license its technology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Moreover, the patents included in Tectonics patent portfolio may expire before, or soon after, its first product achieves marketing approval in the United States or foreign jurisdictions. Upon the expiration of its current or future owned or licensed patents, Tectonic may lose the right to exclude others from practicing these inventions. The expiration of these patents could also have a similar material adverse effect on Tectonics business, results of operations, financial condition and prospects. Tectonic owns pending patent applications covering its proprietary technologies or its product candidates that if issued as patents are expected to expire from 2041 through 2042, without taking into account any possible patent term adjustments or extensions. However, Tectonic cannot be assured that the USPTO or relevant foreign patent offices will grant any of these patent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U.S. and in ex-U.S. jurisdictions could diminish the value of patents in general, thereby impairing Tectonics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Tectonics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Tectonics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Tectonics ability to obtain new patents or to enforce its existing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patents that Tectonic might obtain in the future. For example, in the case </w:t>
      </w:r>
      <w:r>
        <w:rPr>
          <w:rFonts w:ascii="Times New Roman" w:hAnsi="Times New Roman"/>
          <w:i/>
          <w:sz w:val="20"/>
        </w:rPr>
        <w:t>Amgen Inc. v. Sanofi,</w:t>
      </w:r>
      <w:r>
        <w:rPr>
          <w:rFonts w:ascii="Times New Roman" w:hAnsi="Times New Roman"/>
          <w:sz w:val="20"/>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hAnsi="Times New Roman"/>
          <w:i/>
          <w:sz w:val="20"/>
        </w:rPr>
        <w:t>Assoc. for Molecular Pathology v. Myriad Genetics, Inc.,</w:t>
      </w:r>
      <w:r>
        <w:rPr>
          <w:rFonts w:ascii="Times New Roman" w:hAnsi="Times New Roman"/>
          <w:sz w:val="20"/>
        </w:rPr>
        <w:t xml:space="preserve"> the Supreme Court held that certain claims to DNA molecules are not patentable. Tectonic cannot predict how these decisions or any future decisions by the courts, the U.S. Congress or the USPTO may impact the value of its patents. Similarly, any adverse changes in the patent laws of other jurisdictions could have a material adverse effect on Tectonics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not be able to protect its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Tectonics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Tectonic may not be able to prevent third parties from practicing its inventions in all countries outside the United States, or from selling or importing products made using its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Tectonic or any of its licensors are forced to grant a license to third parties with respect to any patents relevant to its business, its competitive position may be impaired, and its business, financial condition, results of operations and prospects may be adversely affected. Also, competitors may use Tectonics technologies in jurisdictions where Tectonic has not obtained patent protection to develop their own products and, further, may export otherwise infringing products to territories where Tectonic has patent protection but where enforcement is not as strong as that in the United States. These products may compete with Tectonics products in jurisdictions where it does not have any issued patents and its patent claims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Tectonic to stop the infringement of its patents or marketing of competing products against third parties in violation of its proprietary rights generally. The initiation of proceedings by third parties to challenge the scope or validity of Tectonics patent rights in foreign jurisdictions could result in substantial cost and divert its efforts and attention from other aspects of its business. Proceedings to enforce Tectonics patent rights in foreign jurisdictions could result in substantial costs and divert its efforts and attention from other aspects of its business, could put its patents at risk of being invalidated or interpreted narrowly and its patent applications at risk of not issuing and could provoke third parties to assert claims against Tectonic. Tectonic may not prevail in any lawsuits that it initiates and the damages or other remedies awarded, if any, may not be commercially meaningful. Accordingly, Tectonics efforts to enforce its intellectual property rights around the world may be inadequate to obtain a significant commercial advantage from the intellectual property that it develops or licenses.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incur substantial costs as a result of litigation or other proceedings relating to patents, and it may be unable to protect its rights to its products and technology. </w:t>
      </w:r>
    </w:p>
    <w:p>
      <w:pPr>
        <w:pStyle w:val="TextBody"/>
        <w:bidi w:val="0"/>
        <w:spacing w:before="120" w:after="0"/>
        <w:jc w:val="left"/>
        <w:rPr>
          <w:rFonts w:ascii="Times New Roman" w:hAnsi="Times New Roman"/>
          <w:sz w:val="20"/>
        </w:rPr>
      </w:pPr>
      <w:r>
        <w:rPr>
          <w:rFonts w:ascii="Times New Roman" w:hAnsi="Times New Roman"/>
          <w:sz w:val="20"/>
        </w:rPr>
        <w:t xml:space="preserve">If Tectonic or its licensors choose to go to court to stop a third party from using the inventions claimed in its owned or in-licensed patents, that third party may ask the court to rule that the patents are invalid and/or should not be enforced against that third party. These lawsuits are expensive and would consume time and other resources even if Tectonic or they, as the case may be, were successful in stopping the infringement of these patents. In addition, there is a risk that the court will decide that these patents are not valid and that Tectonic or they, as the case may be, do not have the right to stop others from using the inventions.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is also the risk that, even if the validity of these patents is upheld, the court will refuse to stop the third party on the ground that such third partys activities do not infringe Tectonics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Tectonics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240" w:after="0"/>
        <w:jc w:val="left"/>
        <w:rPr>
          <w:rFonts w:ascii="Times New Roman" w:hAnsi="Times New Roman"/>
          <w:sz w:val="20"/>
        </w:rPr>
      </w:pPr>
      <w:r>
        <w:rPr>
          <w:rFonts w:ascii="Times New Roman" w:hAnsi="Times New Roman"/>
          <w:sz w:val="20"/>
        </w:rPr>
        <w:t xml:space="preserve">Tectonic, or its licensors, may not be able to detect infringement against Tectonics owned or in-licensed patents, as the case may be, which may be especially difficult for manufacturing processes or formulation patents. Even if Tectonic or its licensors detect infringement by a third party of its owned or in-licensed patents, Tectonic or its licensors, as the case may be, may choose not to pursue litigation against or settlement with the third party. If Tectonic, or its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Tectonic or its licensors to enforce Tectonics owned or in-licensed patents, as the case may be, against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If another party questions the patentability of any of Tectonics claims in its owned or in-licensed U.S. patents, the third-party can request that the USPTO review the patent claims such as in an </w:t>
      </w:r>
      <w:r>
        <w:rPr>
          <w:rFonts w:ascii="Times New Roman" w:hAnsi="Times New Roman"/>
          <w:i/>
          <w:sz w:val="20"/>
        </w:rPr>
        <w:t>inter partes</w:t>
      </w:r>
      <w:r>
        <w:rPr>
          <w:rFonts w:ascii="Times New Roman" w:hAnsi="Times New Roman"/>
          <w:sz w:val="20"/>
        </w:rPr>
        <w:t xml:space="preserve"> review, </w:t>
      </w:r>
      <w:r>
        <w:rPr>
          <w:rFonts w:ascii="Times New Roman" w:hAnsi="Times New Roman"/>
          <w:i/>
          <w:sz w:val="20"/>
        </w:rPr>
        <w:t>ex</w:t>
      </w:r>
      <w:r>
        <w:rPr>
          <w:rFonts w:ascii="Times New Roman" w:hAnsi="Times New Roman"/>
          <w:sz w:val="20"/>
        </w:rPr>
        <w:t xml:space="preserve"> </w:t>
      </w:r>
      <w:r>
        <w:rPr>
          <w:rFonts w:ascii="Times New Roman" w:hAnsi="Times New Roman"/>
          <w:i/>
          <w:sz w:val="20"/>
        </w:rPr>
        <w:t>parte</w:t>
      </w:r>
      <w:r>
        <w:rPr>
          <w:rFonts w:ascii="Times New Roman" w:hAnsi="Times New Roman"/>
          <w:sz w:val="20"/>
        </w:rPr>
        <w:t xml:space="preserve"> re-exam or post-grant review proceedings. These proceedings are expensive and may result in a loss of scope of some claims or a loss of the entire patent. In addition to potential USPTO review proceedings, Tectonic may become a party to patent opposition proceedings in foreign patent offices, where either its owned or in-licensed foreign patents are challenged. </w:t>
      </w:r>
    </w:p>
    <w:p>
      <w:pPr>
        <w:pStyle w:val="TextBody"/>
        <w:bidi w:val="0"/>
        <w:spacing w:before="240" w:after="0"/>
        <w:jc w:val="left"/>
        <w:rPr>
          <w:rFonts w:ascii="Times New Roman" w:hAnsi="Times New Roman"/>
          <w:sz w:val="20"/>
        </w:rPr>
      </w:pPr>
      <w:r>
        <w:rPr>
          <w:rFonts w:ascii="Times New Roman" w:hAnsi="Times New Roman"/>
          <w:sz w:val="20"/>
        </w:rPr>
        <w:t xml:space="preserve">In the future, Tectonic may be involved in similar proceedings challenging the patent rights of others, and the outcome of such proceedings is highly uncertain. An adverse determination in any such proceeding could reduce the scope of, or invalidate, Tectonics patent rights, allow third parties to commercialize its technology or products and compete directly with Tectonic, without payment to it, or result in its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Tectonics right to exclude others from practicing one or more of its inventions in the relevant country or jurisdiction, which could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Tectonics competitive position on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Tectonics product candidates are obtained, once the patent life has expired, Tectonic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Tectonics owned and licensed patent portfolio may not provide it with sufficient rights to exclude others from commercializing products similar or identical to Tectonics.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Tectonic does not obtain patent term extension and data exclusivity for any product candidates it may develop, its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marketing approval of any product candidates Tectonic may develop, one or more of its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Tectonic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Tectonic requests. If Tectonic is unable to obtain patent term extension or term of any such extension is less than it requests, its competitors may obtain approval of competing products following Tectonics patent expiration, and Tectonics business, financial condition, results of operations, and prospects could be materially harmed. Further, for Tectonics licensed patents, Tectonic may not have the right to control prosecution, including filing with the USPTO, of a petition for patent term extension under the Hatch-Waxman Act. Thus, if one of Tectonics licensed patents is eligible for patent term extension under the Hatch-Waxman Act, Tectonic may not be able to control whether a petition to obtain a patent term extension is filed, or obtained, from the USPTO.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Tectonics trademarks and trade names are not adequately protected, then Tectonic may not be able to build name recognition in its markets of interest and its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Tectonics trademarks or trade names may be challenged, infringed, circumvented or declared generic or determined to be infringing on other marks. Tectonic may not be able to protect its rights to these trademarks and trade names or may be forced to stop using these names, which Tectonic needs for name recognition by potential partners or customers in its markets of interest. At times, competitors may adopt trade names or trademarks similar to Tectonics, thereby impeding its ability to build brand identity and possibly leading to market confusion. In addition, there could be potential trade name or trademark infringement claims brought by owners of other registered trade names or trademarks that incorporate variations of Tectonics unregistered trade names or trademarks. If Tectonic is unable to establish name recognition based on its trademarks and trade names, Tectonic may not be able to compete effectively and its business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Tectonics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currently relies and expects to rely in the future on the use of manufacturing suites in third-party facilities or on third parties to manufacture TX45 and any other product candidates, and Tectonic may rely on third parties to produce and process its products, if approved. Tectonics business could be adversely affected if it is unable to use third-party manufacturing suites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Tectonic does not currently lease or own any facility that may be used as its clinical-scale manufacturing and processing facility and currently relies on a contract manufacturing organization (CMO), WuXi Biologics (Hong Kong) Limited (WuXi Biologics), to manufacture its product candidate used in Tectonics Phase 1a clinical trial. Tectonic currently has a sole source relationship with WuXi Biologics for its supply of TX45 (see the section titled </w:t>
      </w:r>
      <w:r>
        <w:rPr>
          <w:rFonts w:ascii="Times New Roman" w:hAnsi="Times New Roman"/>
          <w:i/>
          <w:sz w:val="20"/>
        </w:rPr>
        <w:t>Tectonics BusinessCollaboration, License and Services Agreements</w:t>
      </w:r>
      <w:r>
        <w:rPr>
          <w:rFonts w:ascii="Times New Roman" w:hAnsi="Times New Roman"/>
          <w:sz w:val="20"/>
        </w:rPr>
        <w:t xml:space="preserve"> located elsewhere in this proxy statement/prospectus for additional information on Tectonics relationship with WuXi Biologics). If there should be any disruption in such supply arrangement, including any adverse events affecting Tectonics sole supplier, Wuxi Biologics, it could have a negative effect on the clinical development of its product candidates and other operations while Tectonic works to identify and qualify an alternate supply source.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control the manufacturing process of, and may be completely dependent on, its contract manufacturing partner for compliance with cGMP requirements and any other regulatory requirements of the FDA or comparable foreign regulatory authorities for the manufacture of a product candidate. Tectonic performs periodic audits of each CMO facility that supports its supply of TX45 and reviews and approves all TX45 cGMP-related documentation. Tectonic also has a quality agreement with WuXi Biologics that documents its mutual agreement on compliance with cGMPs and expectations on quality-required communications to Tectonic. Beyond this, Tectonic has no control over the ability of its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Tectonic may need to find alternative manufacturing facilities, which would require the incurrence of significant additional costs and materially and adversely affect its ability to develop, obtain regulatory approval for or market such product candidate, if approved. Similarly, Tectonics failure, or the failure of its CMO, to comply with applicable regulations could result in sanctions being imposed on Tectonic,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Tectonics business and results of operations. In addition, Tectonic has not yet caused any product candidates to be manufactured on a commercial scale and may not be able to do so for any of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Moreover, Tectonics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its third-party vendors and cause delays. Furthermore, since Tectonic has engaged WuXi Biologics, a manufacturer located in China, it is exposed to the possibility of product supply disruption and increased costs in the event of changes in the policies of the United States or Chinese governments or political unrest or unstable economic conditions in China. For example, the recently proposed BIOSECURE Act introduced in the U.S. House of Representatives, as well as a substantially similar bill in the U.S. Senate, target U.S. government contracts, loans, and grants to entities that use equipment or services from certain Chinese biotechnology companies and would authorize the U.S. government to name other Chinese biotechnology companies of concern. If these bills become law, or similar laws are passed, they would have the potential to severely restrict the ability of companies to contract with certain Chinese biotechnology companies of concern without losing the ability to contract with, or otherwise receive funding from, the U.S. government. If Tectonic is required to change manufacturers for any reason, it will be required to verify that the new manufacturer maintains facilities and procedures that comply with quality standards and with all applicable regulations and guidelines. For example, in the event that Tectonic needs to transfer from WuXi Biologics, which is its sole manufacturing source for TX45, it anticipates that the complexity of the manufacturing process may materially impact the amount of time it would take to secure a replacement manufacturer. The delays associated with the verification of a new manufacturer, if Tectonic is able to identify an alternative source, could negatively affect its ability to supply product candidates, including TX45, in a timely manner or within budget. If any CMO on which Tectonic will rely fails to manufacture quantities of a product candidate at quality levels necessary to meet regulatory requirements and at a scale sufficient to meet anticipated demand at a cost that allows it to achieve profitability, Tectonics business, financial condition, cash flows, and prospects could be materially and adversely affected. In addition, Tectonics CMO and/or distribution partners are responsible for transporting temperature-controlled materials that can be inadvertently degraded during transport due to several factors, rendering certain batches unsuitable for trial use for failure to meet, among others, Tectonics integrity and purity specifications. Tectonic and its CMO may also face product seizure or detention or refusal to permit the import or export of products. Tectonics business could be materially adversely affected by business disruptions to its third-party providers that could materially adversely affect its anticipated timelines, potential future revenue and financial condition and increase its costs and expenses. Each of these risks could delay or prevent the completion of Tectonics preclinical studies and clinical trials or the approval of any of its product candidates by the FDA, result in higher costs or adversely impact commercialization of its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Tectonic relies, and expects to continue to rely, on third parties, including independent clinical investigators, contracted laboratories and CROs, to conduct its preclinical studies and clinical trials. If these third parties do not successfully carry out their contractual duties or meet expected deadlines, Tectonic may not be able to obtain regulatory approval for or commercialize its product candidates and Tectonics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Tectonic has relied upon and plan to continue to rely upon third parties, including independent clinical investigators, contracted laboratories and third-party CROs, to conduct its preclinical studies and clinical trials in accordance with applicable regulatory requirements, to validate its assays and to monitor and manage data for its ongoing preclinical and clinical programs. Tectonic relies on these parties for execution of its preclinical studies and clinical trials, and control only certain aspects of their activities. Nevertheless, Tectonic is responsible for ensuring that each of its studies and trials is conducted in accordance with the applicable protocol, legal and regulatory requirements and scientific standards, and its reliance on these third parties does not relieve Tectonic of its regulatory responsibilities. Tectonic and its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Tectonic, its investigators or any of its CROs or contracted laboratories fail to comply with applicable GLPs and GCPs, the clinical data generated in its clinical trials may be deemed unreliable and the FDA or comparable foreign regulatory authorities may require Tectonic to perform additional preclinical studies or clinical trials before approving its marketing applications. Tectonic cannot assure you that upon inspection by a given regulatory authority, such regulatory authority will determine that any of its preclinical studies or clinical trials comply with applicable GLP or GCP regulations. In addition, Tectonics clinical trials must be conducted with product, including biologic product, produced in compliance with applicable cGMP regulations. Tectonics failure to comply with these regulations may require it to repeat preclinical studies or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Further, these laboratories, investigators and CROs are not Tectonics employees and Tectonic will not be able to control, other than by contract, the amount of resources, including time, which they devote to its product candidates and clinical trials. If independent laboratories, investigators or CROs fail to devote sufficient resources to the development of Tectonics product candidates, or if their performance is substandard, it may delay or compromise the prospects for approval and commercialization of any product candidates that Tectonic develops. In addition, the use of third-party service providers requires Tectonic to disclose its proprietary information to these parties, which could increase the risk that this information will be misappropriated. </w:t>
      </w:r>
    </w:p>
    <w:p>
      <w:pPr>
        <w:pStyle w:val="TextBody"/>
        <w:bidi w:val="0"/>
        <w:spacing w:before="240" w:after="0"/>
        <w:jc w:val="left"/>
        <w:rPr>
          <w:rFonts w:ascii="Times New Roman" w:hAnsi="Times New Roman"/>
          <w:sz w:val="20"/>
        </w:rPr>
      </w:pPr>
      <w:r>
        <w:rPr>
          <w:rFonts w:ascii="Times New Roman" w:hAnsi="Times New Roman"/>
          <w:sz w:val="20"/>
        </w:rPr>
        <w:t xml:space="preserve">Tectonics CROs have the right to terminate their agreements with Tectonic in the event of an uncured material breach. In addition, some of its CROs have an ability to terminate their respective agreements with Tectonic if it can be reasonably demonstrated that the safety of the subjects participating in Tectonics clinical trials warrants such termination, if Tectonic makes a general assignment for the benefit of its creditors or if Tectonic is liquidated. </w:t>
      </w:r>
    </w:p>
    <w:p>
      <w:pPr>
        <w:pStyle w:val="TextBody"/>
        <w:bidi w:val="0"/>
        <w:spacing w:before="240" w:after="0"/>
        <w:jc w:val="left"/>
        <w:rPr>
          <w:rFonts w:ascii="Times New Roman" w:hAnsi="Times New Roman"/>
          <w:sz w:val="20"/>
        </w:rPr>
      </w:pPr>
      <w:r>
        <w:rPr>
          <w:rFonts w:ascii="Times New Roman" w:hAnsi="Times New Roman"/>
          <w:sz w:val="20"/>
        </w:rPr>
        <w:t xml:space="preserve">There is a limited number of third-party service providers that specialize or have the expertise required to achieve its business objectives. If any of Tectonics relationships with these third-party laboratories, CROs or clinical investigators terminate, Tectonic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its preclinical or clinical protocols, regulatory requirements or for other reasons, its preclinical or clinical trials may be extended, delayed or terminated and Tectonic may not be able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approval for or successfully commercialize its product candidates. As a result, Tectonics results of operations and the commercial prospects for its product candidates would be harmed, its costs could increase and its ability to generate revenues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Tectonics ability to meet its desired clinical development timelines. Though Tectonic carefully manage its relationships with its contracted laboratories and CROs, there can be no assurance that Tectonic will not encounter similar challenges or delays in the future or that these delays or challenges will not have a material adverse impact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clinical investigators may serve as scientific advisors or consultants to Tectonic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Tectonic from commercializing its clinical-stage product candidate or any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future collaborations will be important to its business. If Tectonic is unable to enter into new collaborations, or if these collaborations are not successful,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 part of Tectonics strategy is to strategically evaluate and, as deemed appropriate, enter into additional strategic collaborations in the future when strategically attractive, including potentially with major biotechnology or pharmaceutical companies. Tectonic has limited capabilities for product development and do not yet have any capability for commercialization. Accordingly, Tectonic may enter into collaborations with other companies to provide it with important technologies and funding for its programs and technology. If Tectonic fails to enter into or maintain collaborations on reasonable terms or at all, its ability to develop its existing or future research programs and product candidates could be delayed, the commercial potential of its product could change and its costs of development and commercialization could increase. Furthermore, Tectonic may find that its programs require the use of intellectual property rights held by third parties, and the growth of its business may depend in part on its ability to acquire or in-license these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Any future collaborations Tectonic enters into may pose a number of risks,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Tectonics products and product candidates if the collaborators believe that the competitive products are more likely to be successfully developed or can be commercialized under terms that are more economically attractive than Tectonics;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Tectonic may be viewed by its collaborators as competitive with their own product candidates or products, which may cause collaborators to cease to devote resources to the commercialization of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with marketing and distribution rights to one or more of Tectonics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Tectonic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Tectonics intellectual property rights or may use its proprietary information in such a way as to invite litigation that could jeopardize or invalidate its intellectual property or proprietary information or expose Tectonic to potential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Tectonic to litigation and potential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collaborator of Tectonics is involved in a business combination, the collaborator might deemphasize or terminate the development or commercialization of any product candidate licensed to it by Tectonic;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by the collaborator, and, if terminated, Tectonic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Tectonics collaborations do not result in the successful discovery, development and commercialization of product candidates or if one of its collaborators terminates its agreement with Tectonic, it may not receive any future research funding or milestone or royalty payments under such collaboration. All of the risks relating to product development, regulatory approval and commercialization described in this prospectus also apply to the activities of its therapeutic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of Tectonics collaborators terminates its agreement with Tectonic, Tectonic may find it more difficult to attract new collaborators and its perception in the business and financial communities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Tectonic faces significant competition in seeking appropriate collaborative partners. Tectonics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Tectonics ownership of technology (which can exist if there is a challenge to such ownership regardless of the merits of the challenge)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industry and market conditions generally. The collaborator may also consider alternative product candidates or technologies for similar indications that may be available to collaborate on and whether such a collaboration could be more attractive than the one with Tectonic. </w:t>
      </w:r>
    </w:p>
    <w:p>
      <w:pPr>
        <w:pStyle w:val="TextBody"/>
        <w:bidi w:val="0"/>
        <w:spacing w:before="240" w:after="0"/>
        <w:jc w:val="left"/>
        <w:rPr>
          <w:rFonts w:ascii="Times New Roman" w:hAnsi="Times New Roman"/>
          <w:sz w:val="20"/>
        </w:rPr>
      </w:pPr>
      <w:r>
        <w:rPr>
          <w:rFonts w:ascii="Times New Roman" w:hAnsi="Times New Roman"/>
          <w:sz w:val="20"/>
        </w:rPr>
        <w:t xml:space="preserve">Tectonic may not be able to negotiate collaborations on a timely basis, on acceptable terms, or at all. If Tectonic is unable to do so, Tectonic may have to curtail the development of the product candidate for which Tectonic is seeking to collaborate, reduce or delay its development program or one or more of its other development programs, delay its potential commercialization, reduce the scope of any sales or marketing activities or increase its expenditures and undertake development or commercialization activities at Tectonics own expense. If Tectonic elects to increase its expenditures to fund development or commercialization activities on its own, Tectonic may need to obtain additional capital, which may not be available to Tectonic on acceptable terms or at all. If Tectonic does not have sufficient funds, it may not be able to further develop product candidates or bring them to market and generate product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Nonclinical research requires the use of Non-Human Primates (NHP), the supply of which could delay or prevent development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various rules, regulations and cGMP requirements, Tectonics ability to advance its pre-clinical programs and successfully develop its product candidates requires access to animal research models sufficient to assess safety and in some cases to establish the rationale for therapeutic use. Failure to access or a significant delay in accessing animal research models that meet Tectonics needs or that fulfil regulatory requirements may materially adversely affect its ability to advance Tectonics pre-clinical programs and successfully develop its product candidates and this could result in significant harm to Tectonics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Tectonic is unable to obtain NHPs in sufficient quantities and in a timely manner to meet the needs of its pre-clinical research programs, if the price of NHPs that are available increases significantly, or if Tectonics suppliers are unable to ship the NHPs in their possession that are reserved for them, Tectonics ability to advance its pre-clinical programs and successfully develop its pre-clinical candidates may be materially adversely affected or significantly delayed.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Related to Tectonic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will incur significantly increased costs as a result of operating as a public company, and its management will be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Tectonic will incur significant legal, accounting and other expenses that it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Tectonic operate its business in ways Tectonic cannot currently anticipate. Tectonics management and other personnel will need to devote a substantial amount of time to these compliance initiatives. Moreover, these rules and regulations will increase Tectonics legal and financial compliance costs and will make some activities more time-consuming and costlier. For example, Tectonic expects these rules and regulations to make it more difficult and more expensive for Tectonic to obtain director and officer liability insurance and Tectonic may be required to incur substantial costs to maintain its current levels of such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build Tectonics finance infrastructure and improve its accounting systems and controls could impair Tectonics ability to comply with the financial reporting and internal controls requirements for publicly traded companies.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Tectonic will operate in an increasingly demanding regulatory environment, which requires Tectonic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Tectonic to produce reliable financial reports and are important to help prevent financial fraud. Commencing with Tectonics fiscal year ending the year after the Merger is completed, Tectonic must perform system and process evaluation and testing of its internal controls over financial reporting to allow management to report on the effectiveness of Tectonics internal controls over financial reporting in its Annual Report on Form 10-K filing for that year, as required by Section 404 of the Sarbanes-Oxley Act. Prior to the closing of the merger, Tectonic has never been required to test its internal controls within a specified period and, as a result, Tectonic may experience difficulty in meeting these reporting requirements in a timely manner. If Tectonic is not able to comply with the requirements of Section 404 of the Sarbanes-Oxley Act in a timely manner, or if Tectonic is unable to maintain proper and effective internal controls, Tectonic may not be able to produce timely and accurate financial statements. If Tectonic cannot provide reliable financial reports or prevent fraud, its business and results of operations could be harmed, investors could lose confidence in Tectonics reported financial information and Tectonic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Tectonic will become subject to the periodic reporting requirements of the Exchange Act. Tectonic designed its disclosure controls and procedures to reasonably assure that information Tectonic must disclose in reports it files or submits under the Exchange Act is accumulated and communicated to management, and recorded, processed, summarized and reported within the time periods specified in the rules and forms of the SEC. Tectonic believes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0"/>
        <w:jc w:val="left"/>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Tectonics directors or executive officers could inadvertently fail to disclose a new relationship or arrangement causing Tectonic to fail to make any related party transaction disclosures. Additionally, controls can be circumvented by the individual acts of some persons, by collusion of two or more people or by an unauthorized override of the controls. Accordingly, because of the inherent limitations in Tectonics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information technology systems of Tectonic, its CROs, its CMOs, service providers, its current and potential future partners or other third parties upon which it relies were compromised, Tectonic could experience adverse consequences, including but not limited to material disruptions to Tectonics business operations, regulatory investigations or actions, litigation, fines and penalties, reputational harm, loss of revenue or profits,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Tectonic collects, stores, receives, processes, generates, uses, transfers, discloses, makes accessible, protects, secures, disposes of, shares, and transmits (collectively, process) proprietary, confidential and sensitive information, including personal information (such as health-related data of clinical trial participants and employee information), in the course of its business. Similarly, third-parties upon which Tectonic relies process certain of that information on Tectonics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Tectonics sensitive information and information technology systems, and those of the third parties upon which Tectonic relies.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Tectonics operations, loss of sensitive data and income, reputational harm, and diversion of funds. Extortion payments may alleviate the negative impact of a ransomware attack, but Tectonic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Security incidents may result from the actions of a wide variety of actors with a wide range of motives and expertise, including traditional hackers, Tectonic personnel or the personnel of the third parties upon which Tectonic relies, organized criminal threat actors, hacktivists, sophisticated nation-states and nation-state-supported actors. During times of war and other major conflicts, Tectonic, the third parties upon which it relies, and Tectonics customers may be vulnerable to a heightened risk of these attacks, including retaliatory cyber-attacks, that could materially disrupt Tectonics systems and operations, supply chain, and ability to produce, sell and distribute its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integrations) could expose Tectonic to additional cybersecurity risks and vulnerabilities, as its systems could be negatively affected by vulnerabilities present in acquired or integrated entities systems and technologies. Furthermore, Tectonic may discover security issues that were not found during due diligence of such acquired or integrated entities, and it may be difficult to integrate companies into its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Tectonics reliance on third-party service providers could introduce new cybersecurity risks and vulnerabilities, and other threats to its business operations. For example, Tectonic relies on third parties to operate critical business systems and process sensitive data in a variety of contexts, including, without limitation, cloud-based infrastructure, data center facilities, encryption and authentication technology, personnel email, and other functions. Tectonic also relies on third parties, including CROs, clinical trial sites and clinical trial vendors, to collect, store, and transmit sensitive data as part of its research activities. Tectonics ability to monitor these third parties is limited, and these third parties may not have adequate information security measures in place. If Tectonics third-party service providers experience a security incident or other interruption, Tectonic could experience adverse consequences. While Tectonic may be entitled to damages if its third-party service providers fail to satisfy their privacy or security-related obligations to Tectonic, any award may be insufficient to cover damages, or Tectonic may be unable to recover such awards. Supply-chain attacks have also increased in frequency and severity, and Tectonic cannot guarantee that third parties infrastructure in its supply chain or its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Certain functional areas of Tectonics workforce work remotely on a full- or part-time basis or otherwise utilize network connections, computers and devices outside of Tectonics premises or network, which imposes additional risks to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Tectonic has implemented security measures designed to protect against security incidents, there can be no assurance that these measures will be effective. Tectonic takes steps designed to detect, mitigate, and remediate vulnerabilities in its information systems (such as its hardware and/or software, including that of third parties upon which Tectonic rely). Tectonic may not, however, detect and remediate all such vulnerabilities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on a timely basis. Further, Tectonic may experience delays in developing and deploying remedial measures and patches designed to address identified vulnerabilities. Vulnerabilities could be exploited and result in a security incident. Tectonic maybe required to, or it may choose to, expend significant resources or modify its business activities (including its clinical trial activities) in an effort to protect against security incidents, particularly where required by applicable data privacy and security laws or regulations or industry standards. Certain data privacy and security obligations may require Tectonic to implement and maintain specific security measures or industry-standard or reasonable security measures to protect its information technology systems and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Tectonics sensitive information or its information technology systems, or those of the third parties upon which Tectonic rely. If Tectonics information systems or data, or that of the third parties on which it relies, are compromised, it could interrupt Tectonics operations, disrupt its development programs and have a material adverse effect on its business, financial condition and results of operations. For example, the loss or corruption of clinical trial data from completed or future clinical trials could result in delays in Tectonics regulatory approval efforts and significantly increase Tectonics costs to recover or reproduce the data. Likewise, Tectonic relies on third parties for the manufacture of TX45, to analyze clinical trial samples and to conduct clinical trials, and security incidents experienced by these third parties could have a material adverse effect on its business. Security incidents affecting Tectonic or the third parties Tectonic relies on or partners with could also result in substantial remediation costs and expose Tectonic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its operations (including availability of data), financial loss and other liabilities and harms. Additionally, such incidents may trigger data privacy and security obligations requiring Tectonic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Tectonic or a third-party partner may result in negative publicity, harm to Tectonics reputation, or other adverse effects. </w:t>
      </w:r>
    </w:p>
    <w:p>
      <w:pPr>
        <w:pStyle w:val="TextBody"/>
        <w:bidi w:val="0"/>
        <w:spacing w:before="240" w:after="0"/>
        <w:jc w:val="left"/>
        <w:rPr>
          <w:rFonts w:ascii="Times New Roman" w:hAnsi="Times New Roman"/>
          <w:sz w:val="20"/>
        </w:rPr>
      </w:pPr>
      <w:r>
        <w:rPr>
          <w:rFonts w:ascii="Times New Roman" w:hAnsi="Times New Roman"/>
          <w:sz w:val="20"/>
        </w:rPr>
        <w:t xml:space="preserve">Tectonics contracts may not contain limitations of liability, and even where they do, there can be no assurance that limitations of liability in its contracts are sufficient to protect Tectonic from claims related to its data privacy and security obligations. Additionally, Tectonic cannot be certain that its insurance coverage will be adequate for data security liabilities actually incurred, will continue to be available to it on economically and commercially reasonable terms, or at all, or that any insurer will not deny coverage as to any future claim.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Tectonic from public sources, data brokers, or other means that reveals competitively sensitive details about the company and could be used to undermine Tectonics competitive advantage or market position. Additionally, sensitive information of Tectonic could be leaked, disclosed, or revealed as a result of or in connection with its employees, personnels, or vendors use of generative AI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Tectonic is subject to rapidly changing and increasingly stringent U.S. and foreign laws, regulations, and rules, contractual obligations, industry standards, policies and other obligations relating to privacy, data protection and information security. Tectonics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processes proprietary, confidential and sensitive information, including personal information (including health-related data), which subjects it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Tectonics processing of personal information from clinical trial participants and other individuals located in the EEA, the United Kingdom (the UK), or Switzerland and, if TX45 or any potential future product candidates are approved, Tectonics possible commercialization of those products in the EEA, the UK, or Switzerland (as applicable).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Tectonic can satisfy or rely on these measures to lawfully transfer personal data to the United States. If Tectonic is unable to implement a valid compliance solution for cross-border transfers of personal information, or if the requirements for a legally-compliant transfer are too onerous, Tectonic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Tectonics inability to import personal information from the EEA, UK or Switzerland or other countries may also restrict or prohibit its clinical trial activities in those countries; limit its ability to collaborate with CROs, service providers, contractors and other companies subject to laws restricting cross-border data transfers; require Tectonic to increase its data processing capabilities in other countries at significant expense and may otherwise negatively impact Tectonics business operations. Tectonic may also become subject to new laws in the EEA and other jurisdictions that regulate cybersecurity and non-personal data, such as data collected through the internet of things. Depending on how these laws are interpreted, Tectonic may have to make changes to its business practices and products to comply with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other countries have enacted or are considering enacting similar cross-border data transfer restrictions and laws requiring local data residency, which could increase the cost and complexity of delivering Tectonics services and operating its business. </w:t>
      </w:r>
    </w:p>
    <w:p>
      <w:pPr>
        <w:pStyle w:val="TextBody"/>
        <w:bidi w:val="0"/>
        <w:spacing w:before="240" w:after="0"/>
        <w:jc w:val="left"/>
        <w:rPr>
          <w:rFonts w:ascii="Times New Roman" w:hAnsi="Times New Roman"/>
          <w:sz w:val="20"/>
        </w:rPr>
      </w:pPr>
      <w:r>
        <w:rPr>
          <w:rFonts w:ascii="Times New Roman" w:hAnsi="Times New Roman"/>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Tectonic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Tectonics business and increases its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Tectonic is bound by contractual obligations and its efforts to comply with such obligations may not be successful. Tectonic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its practices, Tectonic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Tectonics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Tectonic to devote significant resources (including, without limitation, financial and time-related resources). These obligations may necessitate changes to Tectonics information technologies, systems and practices and to those of any third parties that process personal information on its behalf. In addition, these obligations may require Tectonic to change aspects of its business model. Although Tectonic endeavors to comply with applicable data privacy and security obligations, Tectonic may at times fail (or be perceived to have failed) to do so. Moreover, despite Tectonics efforts, its personnel or third parties upon whom it relies may fail to comply with such obligations, which could impact whether or not it is in compliance. </w:t>
      </w:r>
    </w:p>
    <w:p>
      <w:pPr>
        <w:pStyle w:val="TextBody"/>
        <w:bidi w:val="0"/>
        <w:spacing w:before="240" w:after="0"/>
        <w:jc w:val="left"/>
        <w:rPr>
          <w:rFonts w:ascii="Times New Roman" w:hAnsi="Times New Roman"/>
          <w:sz w:val="20"/>
        </w:rPr>
      </w:pPr>
      <w:r>
        <w:rPr>
          <w:rFonts w:ascii="Times New Roman" w:hAnsi="Times New Roman"/>
          <w:sz w:val="20"/>
        </w:rPr>
        <w:t xml:space="preserve">If Tectonic (or third parties on which it relies) fail, or are perceived to have failed, to address or comply with data privacy, protection and security obligations, Tectonic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Tectonics reputation, business or financial condition, including but not limited to: loss of customers; interruptions or stoppages in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(including clinical trials); inability to process personal information or to operate in certain jurisdictions; limited ability to develop or commercialize its products; expenditure of time and resources to defend any claim or inquiry; adverse publicity; or revision or restructuring of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or the third parties upon whom it depends may be adversely affected by earthquakes, fires or other natural disasters and Tectonics business continuity and disaster recovery plans may not adequately protect Tectonic from a serious disaster. </w:t>
      </w:r>
    </w:p>
    <w:p>
      <w:pPr>
        <w:pStyle w:val="TextBody"/>
        <w:bidi w:val="0"/>
        <w:spacing w:before="120" w:after="0"/>
        <w:jc w:val="left"/>
        <w:rPr>
          <w:rFonts w:ascii="Times New Roman" w:hAnsi="Times New Roman"/>
          <w:sz w:val="20"/>
        </w:rPr>
      </w:pPr>
      <w:r>
        <w:rPr>
          <w:rFonts w:ascii="Times New Roman" w:hAnsi="Times New Roman"/>
          <w:sz w:val="20"/>
        </w:rPr>
        <w:t xml:space="preserve">If earthquakes, fires, other natural disasters, terrorism and similar unforeseen events beyond Tectonics control prevent it from using all or a significant portion of its headquarters or other facilities, it may be difficult or, in certain cases, impossible for Tectonic to continue its business for a substantial period of time. Tectonic does not have a disaster recovery or business continuity plan in place and may incur substantial expenses as a result of the absence or limited nature of Tectonics internal or third-party service provider disaster recovery and business continuity plans, which could have a material adverse effect on Tectonics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Tectonics business. If such an event were to affect Tectonics supply chain, it could have a material adverse effect on Tectonics ability to conduct its clinical trials, its development plans and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conducts certain research and development operations through its Australian wholly-owned subsidiary. If Tectonic loses its ability to operate in Australia, or if its subsidiary is unable to receive the research and development incentive payment allowed by Australian regulations, Tectonics business and results of operations could suffer.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Tectonic formed a wholly-owned Australian subsidiary, Tectonic Therapeutic Pty Ltd., to conduct various preclinical studies and clinical trials for its product candidates in Australia. Due to the geographical distance and lack of employees currently in Australia, as well as Tectonics lack of experience operating in Australia, Tectonic may not be able to efficiently or successfully monitor its clinical activities in Australia, including conducting preclinical studies and clinical trials. Furthermore, Tectonic has no assurance that the results of any clinical trials that Tectonic conducts for its product candidate in Australia will be accepted by the FDA or comparable foreign regulatory authorities for development and commercialization approvals.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current Australian tax regulations provide for a refundable research and development incentive payment equal to 43.5% of qualified expenditures to companies with an annual turnover of less than AU$20 million. Tectonic Therapeutic Pty Ltd. may be eligible to receive incentive payments during 2024 for research expenditures made during 2023 and 2022. If its subsidiary loses its ability to operate in Australia, or if Tectonic is ineligible or unable to receive the research and development incentive payment, or the Australian government significantly reduces or eliminates the incentive program, Tectonics business and results of operation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or other changes in U.S. tax law could adversely affect Tectonics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Tectonic. In recent years, many changes have been made to applicable tax laws and changes are likely to continue to occur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cannot be predicted whether, when, in what form, or with what effective dates, new tax laws may be enacted, or regulations and rulings may be enacted, promulgated or issued under existing or new tax laws, which could result in an increase in Tectonics tax liability or require changes in the manner in which Tectonic operates in order to minimize or mitigate any adverse effects of changes in tax law or in the interpretation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ability to use Tectonics U.S. net operating loss carryforwards and certain other U.S.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Tectonic had U.S. federal net operating loss carryforwards of approximately $43.6 million. The amount of net operating loss carryforwards that Tectonic is permitted to deduct is limited to 80% of taxable income in each such taxable year to which the net operating loss carryforwards are applied. In addition, Tectonics U.S. federal net operating losses and tax credits may be subject to limitations under Sections 382 and 383 of the Code, if Tectonic has undergone or undergoes an ownership change, generally defined as a greater than 50 percentage point change (by value) in its equity ownership by certain stockholders over a rolling three-year period. Tectonic may have experienced such ownership changes in the past and may experience ownership changes in the future as a result of shifts in its stock ownership, some of which are outside its control. Tectonics net operating losses and tax credits may also be impaired or restricted under state law.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utilize its net operating loss carryforwards could be limited by an ownership change as described above, which could result in increased tax liability to Tectonic.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Tectonics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Tectonics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Tectonics growth strategy and financial performance and could require Tectonic to delay or abandon clinical development plans. In addition, there is a risk that one or more of Tectonics current service providers, manufacturers and other partners may not survive an economic downturn, which could directly affect Tectonics ability to attain its operating goals on schedule and on budget. </w:t>
      </w:r>
    </w:p>
    <w:p>
      <w:pPr>
        <w:pStyle w:val="TextBody"/>
        <w:bidi w:val="0"/>
        <w:spacing w:before="240" w:after="0"/>
        <w:jc w:val="left"/>
        <w:rPr>
          <w:rFonts w:ascii="Times New Roman" w:hAnsi="Times New Roman"/>
          <w:sz w:val="20"/>
        </w:rPr>
      </w:pPr>
      <w:r>
        <w:rPr>
          <w:rFonts w:ascii="Times New Roman" w:hAnsi="Times New Roman"/>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uncertainty to regulations and rules that may materially affect Tectonics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changes in financial accounting standards or practices may cause adverse and unexpected revenue fluctuations and adversely affect its reported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Future changes in financial accounting standards may cause adverse, unexpected revenue fluctuations and affect Tectonics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Tectonic may be required to make changes in its accounting policies. Those changes could affect Tectonics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results of operations or the way in which such financial condition and results of operations are reported. Compliance with new accounting standards may also result in additional expenses. As a result, Tectonic intends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or any CMOs and suppliers Tectonic engages fail to comply with environmental, health and safety laws and regulations, Tectonic could become subject to fines or penalties or incur costs that could have a material adverse effect on the success of Tectonics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and any CMOs and suppliers it engages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Tectonics operations involve the use of hazardous and flammable materials, including chemicals and biological and radioactive materials. Tectonics operations also produce hazardous waste. Tectonic generally contracts with third parties for the disposal of these materials and wastes. Tectonic cannot eliminate the risk of contamination or injury from these materials. In the event of contamination or injury resulting from Tectonics use of hazardous materials, Tectonic could be held liable for any resulting damages, and any liability could exceed Tectonics resources. Under certain environmental laws, Tectonic could be held responsible for costs relating to any contamination at third-party facilities. Tectonic could also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Tectonics research and product development efforts. In addition, Tectonic cannot entirely eliminate the risk of accidental injury or contamination from these materials or wastes. Although Tectonic maintains workers compensation insurance to cover it for costs and expenses it may incur due to injuries to its employees resulting from the use of hazardous materials, this insurance may not provide adequate coverage against potential liabilities. Tectonic does not carry specific biological or hazardous waste insurance coverage, and Tectonics property, casualty and general liability insurance policies specifically exclude coverage for damages and fines arising from biological or hazardous waste exposure or contamination. Accordingly, in the event of contamination or injury, Tectonic could be held liable for damages or be penalized with fines in an amount exceeding its resources, and Tectonics clinical trials or regulatory approvals could be suspended, which could have a material adverse effect on Tectonics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regulations and permitting requirements also may result in substantial fines, penalties or other sanctions or business disruption, which could have a material adverse effect on Tectonics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Any third-party CMOs and suppliers Tectonic engages will also be subject to these and other environmental, health and safety laws and regulations. Liabilities they incur pursuant to these laws and regulations could result in significant costs or an interruption in operations, which could have a material adverse effect on Tectonics business, financial condition, results of operations and prospects. </w:t>
      </w:r>
    </w:p>
    <w:p>
      <w:pPr>
        <w:pStyle w:val="TextBody"/>
        <w:bidi w:val="0"/>
        <w:spacing w:before="360" w:after="0"/>
        <w:jc w:val="left"/>
        <w:rPr>
          <w:rFonts w:ascii="Times New Roman" w:hAnsi="Times New Roman"/>
          <w:b/>
          <w:sz w:val="20"/>
        </w:rPr>
      </w:pPr>
      <w:bookmarkStart w:id="36" w:name="toc770053_34"/>
      <w:bookmarkEnd w:id="36"/>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AVROBIO or Risks Related to Tectonic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titled </w:t>
      </w:r>
      <w:r>
        <w:rPr>
          <w:rFonts w:ascii="Times New Roman" w:hAnsi="Times New Roman"/>
          <w:i/>
          <w:sz w:val="20"/>
        </w:rPr>
        <w:t>Risks Related to AVROBIO</w:t>
      </w:r>
      <w:r>
        <w:rPr>
          <w:rFonts w:ascii="Times New Roman" w:hAnsi="Times New Roman"/>
          <w:sz w:val="20"/>
        </w:rPr>
        <w:t> and </w:t>
      </w:r>
      <w:r>
        <w:rPr>
          <w:rFonts w:ascii="Times New Roman" w:hAnsi="Times New Roman"/>
          <w:i/>
          <w:sz w:val="20"/>
        </w:rPr>
        <w:t>Risks Related to Tectonic</w:t>
      </w:r>
      <w:r>
        <w:rPr>
          <w:rFonts w:ascii="Times New Roman" w:hAnsi="Times New Roman"/>
          <w:sz w:val="20"/>
        </w:rPr>
        <w:t xml:space="preserve"> beginning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page 48 and 107, respectively, of this proxy statement/prospectus. To the extent 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companys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and continue to experience, substantial volatility that has often been unrelated to the operating performance of individual companies. These broad market fluctuations may also adversely affect the trading price of the combined companys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might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integrate successfully the businesses of AVROBIO and Tectonic and realize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involves the combination of two companies which currently operate as independent companies. Following the merger, the combined company will be required to devote significant management attention and resources to integrating its business practices and operations. The combined company may fail to realize some or all of the anticipated benefits of the merger if the integration process takes longer than expected or is more costly than expected. Potential difficulties the combined company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the businesses of AVROBIO and Tectonic in a manner that permits the combined company to achieve the anticipated benefits from the merger, which would result in the anticipated benefits of the merger not being realized partly or wholly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controls, procedures, policies and information systems;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AVROBIO and Tectonic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the combined companys ability to maintain its business relationships or the ability to achieve the anticipated benefits of the merger, or could otherwise adversely affect the business and financial results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assets subject to the CVR Agreement are not disposed of in a timely manner, the combined company may have to incur time and resources to wind down or dispose of such assets. </w:t>
      </w:r>
    </w:p>
    <w:p>
      <w:pPr>
        <w:pStyle w:val="TextBody"/>
        <w:bidi w:val="0"/>
        <w:spacing w:before="120" w:after="0"/>
        <w:jc w:val="left"/>
        <w:rPr>
          <w:rFonts w:ascii="Times New Roman" w:hAnsi="Times New Roman"/>
          <w:sz w:val="20"/>
        </w:rPr>
      </w:pPr>
      <w:r>
        <w:rPr>
          <w:rFonts w:ascii="Times New Roman" w:hAnsi="Times New Roman"/>
          <w:sz w:val="20"/>
        </w:rPr>
        <w:t>In connection with the merger, AVROBIO intends to declare a dividend to each person who as of immediately prior to the effective time was a stockholder of record of AVROBIO or had the right to receive AVROBIO common stock of the right to receive one non-transferable CVR for each then outstanding share of AVROBIO common stock, each representing the non-transferable contractual right to receive certain contingent payments from AVROBIO upon the occurrence of certain events within agreed time periods. Please see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Pursuant to the terms of the CVR Agreement, the holders of AVROBIO common stock prior to the closing, rather than the holders of the combined companys common stock, are the primary recipients of any net proceeds of the disposition (including a license) of the assets subject to the CVR Agreement. 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Absent such CVR Agreement, the combined company may have allocated such funds, time and resources to its core programs and the foregoing could be a distraction to the combined companys management and employees. As a result, the combined companys operations and financial condition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Tectonic did not incur as a private company, including costs associated with public company reporting obligations under the Exchange Act. The combined companys management team will consist of the executive officers of Tectonic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or continued listing standards of Nasdaq will prevent its stock from being listed on Nasdaq or may result in delisting from Nasdaq.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AVROBIO, under the new name Tectonic Therapeutic, Inc., will be required to meet the initial listing requirements to maintain the listing and continued trading of its shares on Nasdaq. These initial listing requirements are more difficult to achieve than the continued listing requirements. Pursuant to the Merger Agreement, AVROBIO agreed to use its commercially reasonable efforts to cause the shares of AVROBIO common stock issued in the merger to be approved for listing on Nasdaq at or prior to the effective time of the merger, although such condition may be waived in writing by AVROBIO, Merger Sub and Tectonic. For more information, see the section titled </w:t>
      </w:r>
      <w:r>
        <w:rPr>
          <w:rFonts w:ascii="Times New Roman" w:hAnsi="Times New Roman"/>
          <w:i/>
          <w:sz w:val="20"/>
        </w:rPr>
        <w:t>Risk FactorsRisks Related to the MergerAVROBIO or Tectonic may waive one or more of the conditions to the merger without recirculation of this proxy statement/prospectus or resoliciting stockholder approval</w:t>
      </w:r>
      <w:r>
        <w:rPr>
          <w:rFonts w:ascii="Times New Roman" w:hAnsi="Times New Roman"/>
          <w:sz w:val="20"/>
        </w:rPr>
        <w:t xml:space="preserve"> on page 37 of this proxy statement/prospectus. Based on information currently available to AVROBIO, AVROBIO anticipates that, at the closing, its stock will be unable to meet the $4.00 (or, to the extent applicable, $3.00) minimum bid price initial listing requirement, which requires the combined company to maintain a minimum bid price of $4.00 per share over a 30-day trading period prior to listing, unless it effects a reverse stock split. The AVROBIO Board intends to effect a reverse stock split of the shares of AVROBIO common stock at a ratio of between 1:3 to 1:30. In addition, often times a reverse stock split will not result in a trading price for the affected common stock that is proportional to the ratio of the split. If the combined company fails to meet the initial listing requirements of Nasdaq and AVROBIO and Tectonic choose to close the merger without Nasdaq</w:t>
      </w:r>
      <w:r>
        <w:rPr>
          <w:rFonts w:ascii="Times New Roman" w:hAnsi="Times New Roman"/>
          <w:b/>
          <w:sz w:val="20"/>
        </w:rPr>
        <w:t></w:t>
      </w:r>
      <w:r>
        <w:rPr>
          <w:rFonts w:ascii="Times New Roman" w:hAnsi="Times New Roman"/>
          <w:sz w:val="20"/>
        </w:rPr>
        <w:t xml:space="preserve">s approval, Nasdaq may notify the combined company that its shares of common stock will not be listed on Nasdaq. Additionally, even if the combined company is able to comply with initial listing standards of Nasdaq, there can be no assurance that the combined company will be able to thereafter maintain compliance with the continued listing standards of Nasdaq. In the event of such failure to satisfy continued listing standards, if the combined company is unable to regain compliance with the continued listing standards, Nasdaq may notify the combined company of the delisting of its common stock from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common stock of the combined company cannot be listed on Nasdaq or upon a potential delisting from Nasdaq, if the common stock of the combined company is not then eligible for quotation on another market or exchange,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which may make it more difficult for stockholders to buy and sell shares;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a smaller reporting company, as such term is defined in Rule 12b-2 under the Exchange Act, in at least the near term, the combined company may take advantage of certain exemptions from disclosure requirements, including not being required to comply with the auditor attestation requirements of Section 404 of the Sarbanes-Oxley Act and reduced disclosure obligations regarding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in this proxy statement/prospectus and in the combined companys periodic reports and proxy statements.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companys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companys stock could decline or the combined company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Sarbanes-Oxley Act. As a private company, Tectonic has never been required to test its internal controls within a specified period. This will require that the combined company incur substantial professional fees and internal costs to expand its accounting and finance functions and that it expends significant management efforts. The combined company may experience difficulty in meeting these reporting requirements in a timely manner. For additional information related to the risks and uncertainties of the combined companys compliance with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material weaknesses described above in the context of Tectonic being a private company, the combined company may discover weaknesses in its system of internal financial and accounting controls and procedures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for AVROBIO and Tectonic included in this proxy statement/prospectus are preliminary, and the combined companys actual financial position and operations after the merger may differ materially from the unaudited pro forma financial information included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financial information for AVROBIO and Tectonic included in this proxy statement/prospectus are presented for illustrative purposes only and is not necessarily indicative of the combined companys actual financial condition or results of operations of future periods, or the financial condition or results of operations that would have been realized had the entities been combined during the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combined companys actual results and financial position after the merger may differ materially and adversely from the unaudited pro forma financial information included in this proxy statement/prospectus. The exchange ratio reflected in this proxy statement/prospectus is preliminary. The final exchange ratio could differ materially from the preliminary Exchange Ratio used to prepare the pro forma adjustments.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certificate of incorporation and bylaws and provisions under Delaware law could make an acquisition of the combined company more difficult and may prevent attempts by its stockholders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AVROBIOs bylaws and AVROBIOs charter, as amended by the amendments thereto attached to this proxy statement/prospectus as </w:t>
      </w:r>
      <w:r>
        <w:rPr>
          <w:rFonts w:ascii="Times New Roman" w:hAnsi="Times New Roman"/>
          <w:sz w:val="20"/>
          <w:u w:val="single"/>
        </w:rPr>
        <w:t>Annexes G</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assuming Proposal Nos. 2 and 3 are approved by AVROBIO stockholders at the special meeting, will become the combined companys bylaws and certificate of incorporation. Provisions that will be included in the combined companys certificate of incorporation and bylaws may discourage, delay or prevent a merger, acquisition or other change in control of the combined company that stockholders may consider favorable, including transactions in which its common stockholders might otherwise receive a premium price for their shares. These provisions could also limit the price that investors might be willing to pay in the future for shares of the combined companys common stock, thereby depressing the market price of its common stock. In addition, because the combined companys board of directors will be responsible for appointing the members of the combined companys management team, these provisions may frustrate or prevent any attempts by the combined companys stockholders to replace or remove its current management by making it more difficult for stockholders to replace members of the combined companys board of directors. Among other things,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such that all members of the board are not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its directors to be changed only by resolution of its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nominations for election to the board of directors or for proposing matters that can be acted on at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its stockholders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its board of directors to issue preferred stock without stockholder approval, which could be used to institute a poison pill that would work to dilute the stock ownership of a potential hostile acquirer, effectively preventing acquisitions that have not been approved by its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66.67% of the votes that all its stockholders would be entitled to cast to amend or repeal certain provisions of its charter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the combined company will be incorporated in Delaware, it is governed by the provisions of Section 203 of the DGCL, which prohibits stockholders owning in excess of 15% of the outstanding combined company voting stock from merging or combining with the combined company. Although AVROBIO and Tectonic believe these provisions collectively will provide for an opportunity to receive higher bids by requiring potential acquirors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bylaws of the combined company will provide that, unless the combined company consents in writing to the selection of an alternative forum, certain designated courts will be the sole and exclusive forum for certain legal actions between the combined company and its stockholders, which could limit its stockholders ability to obtain a favorable judicial forum for disputes with the combined company or its directors, officers,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The bylaws of the combined company will provide that, unless it consents in writing to an alternative forum, the Court of Chancery of the State of Delaware is the sole and exclusive forum for state law claims for (i) any derivative action or proceeding brought on its behalf, (ii) any action asserting a claim of or based on a breach of a fiduciary duty owed by any of its current or former directors, officers, or other employees to the combined company or its stockholders, (iii) any action asserting a claim arising pursuant to any provision of the DGCL, its charter or its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The bylaws of the combined company will further provide that, unless it consents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the bylaws of the combined company will provide that any person or entity purchasing or otherwise acquiring any interest in shares of its capital stock is deemed to have notice of and consented to the foregoing Delaware Forum Provision and Federal Forum Provision; provided, however, that stockholders cannot and will not be deemed to have waived its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impose additional litigation costs on stockholders of the combined company in pursuing any such claims, particularly if the stockholders do not reside in or near the State of Delaware. Additionally, the forum selection clauses in the bylaws of the combined company may limit its stockholders ability to bring a claim in a judicial forum that they find favorable for disputes with the combined company or its directors, officers or employees, which may discourage such lawsuits against the combined company and its directors, officers and employees even though an action, if successful, might benefit its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the combined companys Federal Forum Provision. The Federal Forum Provision may also impose additional litigation costs on stockholders who assert the provision is unenforceable, and if the Federal Forum Provision is found to be unenforceable, the combined company may incur additional costs with resolving such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Tectonic do not anticipate that the combined company will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growth of the combined companys business as opposed to paying dividends. As a result, capital appreciation, if any, of the common stock of the combined company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Tectonic capital stock. An active trading market for the combined companys shares of common stock may never develop or be sustained. If an active market for the combined companys common stock does not develop or is not sustained, it may be difficult for its stockholders to sell their shares at an attractive price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Transfers of the combined companys securities utilizing Rule 144 of the Securities Act may be limited. </w:t>
      </w:r>
    </w:p>
    <w:p>
      <w:pPr>
        <w:pStyle w:val="TextBody"/>
        <w:bidi w:val="0"/>
        <w:spacing w:before="120" w:after="0"/>
        <w:jc w:val="left"/>
        <w:rPr>
          <w:rFonts w:ascii="Times New Roman" w:hAnsi="Times New Roman"/>
          <w:sz w:val="20"/>
        </w:rPr>
      </w:pPr>
      <w:r>
        <w:rPr>
          <w:rFonts w:ascii="Times New Roman" w:hAnsi="Times New Roman"/>
          <w:sz w:val="20"/>
        </w:rPr>
        <w:t>A significant portion of the combined companys securities are restricted from immediate resale. Holders should be aware that transfers of the combined companys securities pursuant to Rule 144 under the Securities Act (Rule 144) may be limited as Rule 144 is not available, subject to certain exceptions, for the resale of securities initially issued by shell companies (other than business combination related shell companies) or issuers that have been at any time previously a shell company. AVROBIOs disposal of certain of its historical assets and operations, the halting of its remaining programs and the proposed merger with Tectonic will make AVROBIO subject to the SEC requirements applicable to reporting shell company business combinations. We anticipate that following the consummation of the merger, the combined company will no longer be a shell company. As a result, we anticipate that holders will not be able to sell their restricted combined company securities pursuant to Rule 144 without registration until one year after the combined company files the Current Report on Form 8-K following the closing that includes the required Form 10 information that reflects the combined company is no longer a shell company. For more information, see the section titled </w:t>
      </w:r>
      <w:r>
        <w:rPr>
          <w:rFonts w:ascii="Times New Roman" w:hAnsi="Times New Roman"/>
          <w:i/>
          <w:sz w:val="20"/>
        </w:rPr>
        <w:t>Securities Act Restrictions on Resale of AVROBIO</w:t>
      </w:r>
      <w:r>
        <w:rPr>
          <w:rFonts w:ascii="Times New Roman" w:hAnsi="Times New Roman"/>
          <w:sz w:val="20"/>
        </w:rPr>
        <w:t xml:space="preserve"> </w:t>
      </w:r>
      <w:r>
        <w:rPr>
          <w:rFonts w:ascii="Times New Roman" w:hAnsi="Times New Roman"/>
          <w:i/>
          <w:sz w:val="20"/>
        </w:rPr>
        <w:t>Common Stock</w:t>
      </w:r>
      <w:r>
        <w:rPr>
          <w:rFonts w:ascii="Times New Roman" w:hAnsi="Times New Roman"/>
          <w:sz w:val="20"/>
        </w:rPr>
        <w:t xml:space="preserve"> beginning on page 456 of this proxy statement/prospectus. </w:t>
      </w:r>
    </w:p>
    <w:p>
      <w:pPr>
        <w:pStyle w:val="TextBody"/>
        <w:bidi w:val="0"/>
        <w:spacing w:before="240" w:after="0"/>
        <w:jc w:val="left"/>
        <w:rPr>
          <w:rFonts w:ascii="Times New Roman" w:hAnsi="Times New Roman"/>
          <w:b/>
          <w:i/>
          <w:sz w:val="20"/>
        </w:rPr>
      </w:pPr>
      <w:r>
        <w:rPr>
          <w:rFonts w:ascii="Times New Roman" w:hAnsi="Times New Roman"/>
          <w:b/>
          <w:i/>
          <w:sz w:val="20"/>
        </w:rPr>
        <w:t xml:space="preserve">AVROBIOs disposal of certain of its historical assets and operations, the halting of its remaining programs and the proposed merger with Tectonic resulting in the conversion of Tectonic into a public company shall make AVROBIO subject to the SEC requirements applicable to reporting shell company business combinations. As a result, the combined company will be subject to more stringent reporting requirements, offering limitations and resale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AVROBIO has halted development of its remaining programs and had previously implemented the Cystinosis Sale. As such, AVROBIOs plan to merge with Tectonic, resulting in the conversion of Tectonic into a public company, shall be subject to the SEC requirements applicable to reporting shell company business combinations, which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file a Form 8-K to report the Form 10 type information after closing with the SEC reflecting its status as an entity that is not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not be eligible to use a Form S-3 until 12 full calendar months after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wait at least 60 calendar days after closing to file a Form S-8 for any equity plans or awards such as the 2024 Plan and the 2024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an ineligible issuer for three years following the closing, which will prevent the combined company from (i) incorporating by reference in its Form S-1 filings, (ii) using a free writing prospectus or (iii) taking advantage of the well-known seasoned issuer (also known as a WKSI) status despite its public float;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who (i) were affiliates of Tectonic at the time the merger was submitted for the vote or consent of Tectonics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shelf registration statement anticipated to be filed after the closing of the merger unless such securities are sold only in a fixed price offering in which such investors are named as underwriters in the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144(i)(2) will limit the ability to publicly resell Rule 145(c) securities per Rule 145(d), as well as any other restricted or control securities of the combined company per Rule 144 (e.g., holders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securities and any affiliates of the public company are also affected) until one year after the Form 10 information is filed with the SEC. Non-affiliate AVROBIO stockholders prior the merger will not be subject to such restrictions on public resales of their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SEC requirements will increase the combined companys time and cost of raising capital, offering stock under equity plans, and complying with securities laws. Further, such requirements will add burdensome restrictions on the resale of combined company shares by affiliates of Tectonic and any holders of restricted or control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AVROBIO and Tectonic sell, or indicate an intention to sell, substantial amounts of the combined companys common stock in the public market after legal restrictions on resale discussed in this proxy statement/prospectus lapse, the trading price of the common stock of the combined company could decline. Based on shares outstanding as of January 30, 2024, after giving effect to the estimated exchange ratio and the shares of Tectonic common stock to be issued in the private financings and shares expected to be issued upon completion of the merger and prior to giving effect to the anticipated AVROBIO reverse stock split, the combined company is expected to have outstanding a total of approximately 193,600,366 shares of common stock immediately following the completion of the merger. Of the shares of common stock, approximately 104,829,143 shares will be available for sale in the public market beginning 180 days after the closing as a result of the expiration of lock-up agreements between AVROBIO and Tectonic on the one hand and certain securityholders of AVROBIO and Tectonic on the other hand (and without giving effect to any restrictions on resale under securities laws). All other outstanding shares of common stock, other than shares held by affiliates of the combined company, shares of Tectonic common stock issued in the private financings, will be freely tradable, without restriction, in the public market (other than restrictions under applicable securities laws). In addition, shares of common stock that are subject to outstanding options of Tectonic will become eligible for sale in the public market to the extent permitted by the provisions of various vesting agreements and Rules 144 and 701 under the Securities Act. If these shares are sold, the trading price of the combined companys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will be influenced by the research and reports that equity research analysts publish about it and its business. Equity research analysts may elect to not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private financings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private financings. You may not agree with the combined companys decisions, and its use of the proceeds may not yield any return on your investment. The combined companys failure to apply these resources effectively could compromise its ability to pursue its growth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combined company might not be able to yield a significant return, if any, on its investment of these net proceeds. You will not have the opportunity to influence its decisions on how to use the combined companys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the combined company or its stockholders. The combined company will assess the impact of various tax reform proposals and modifications to existing tax treaties in all jurisdictions where the combined company has operations to determine the potential effect on its business and any assumptions the combined company will make about its future taxable income. It cannot predict whether any specific proposals will be enacted, the terms of any such proposals or what effect, if any, such proposals would have on its business if they were to be enacted. For example, the United States recently enacted the IRA, which implements, among other changes, a 1% excise tax on certain stock buybacks. In addition, beginning in 2022, the Tax Cuts and Jobs Act eliminates the currently available option to deduct research and development expenditures and requires taxpayers to amortize them generally over five or fifteen years (for research activities conducted in the United States or outside the United States, respectively). The U.S. Congress is considering legislation that would restore the current deductibility of research and development expenditures, however, there is no assurance that the provision will be repealed or otherwise modified. Such changes, among others, may adversely affect its effective tax rate, results of operation and general business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net operating loss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U.S. federal net operating loss carryforwards generated in taxable periods beginning after December 31, 2017, may be carried forward indefinitely, but the deductibility of such net operating loss carryforwards is limited to 80% of taxable income. It is uncertain if and to what extent various states will conform to federal law. In addition, under Sections 382 and 383 of the Code, U.S. federal net operating loss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The combined companys ability to utilize its net operating loss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be exposed to increased litigation, including stockholder litigation, which could have an adverse effect on the combined companys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be exposed to increased litigation from stockholders, suppliers and other third parties due to the combination of AVROBIOs business and Tectonics business following the merger. Such litigation may have an adverse impact on the combined companys business and results of operations or may cause disruptions to the combined companys operations. In addition, in the past, stockholders have initiated class action lawsuits against biotechnology companies following periods of volatility in the market prices of these companies common stock. Such litigation, if instituted against the combined company, could cause the combined company to incur substantial costs and divert managements attention and resources, which could have a material adverse effect on the combined companys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internal control over financial reporting may not meet the standards required by Section 404 of the Sarbanes-Oxley Act, and failure to achieve and maintain effective internal control over financial reporting in accordance with Section 404 of the Sarbanes-Oxley Act, could have a material adverse effect on the combined companys business and share price. </w:t>
      </w:r>
    </w:p>
    <w:p>
      <w:pPr>
        <w:pStyle w:val="TextBody"/>
        <w:bidi w:val="0"/>
        <w:spacing w:before="120" w:after="0"/>
        <w:jc w:val="left"/>
        <w:rPr>
          <w:rFonts w:ascii="Times New Roman" w:hAnsi="Times New Roman"/>
          <w:sz w:val="20"/>
        </w:rPr>
      </w:pPr>
      <w:r>
        <w:rPr>
          <w:rFonts w:ascii="Times New Roman" w:hAnsi="Times New Roman"/>
          <w:sz w:val="20"/>
        </w:rPr>
        <w:t xml:space="preserve">As a privately held company, Tectonic was not required to evaluate its internal control over financial reporting in a manner that meets the standards of publicly traded companies required by Section 404 of the Sarbanes-Oxley Act, or Section 404. Following the merger, the combined companys management will be required to report on the effectiveness of the combined companys internal control over financial reporting. The rules governing the standards that must be met for the combined companys management to assess the combined companys internal control over financial reporting are complex and require significant documentation, testing and possible remediation.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maintain effective internal control over financial reporting could severely inhibit the combined companys ability to accurately report its financial condition, results of operations or cash flows. If the combined company is unable to conclude that its internal control over financial reporting is effective, or if the combined companys independent registered public accounting firm determines the combined company has a material weakness or significant deficiency in the combined companys internal control over financial reporting once that firm begins its reporting on internal control over financial reporting, investors may lose confidence in the accuracy and completeness of the combined companys financial reports, the market price of the combined companys common stock could decline, and the combined company could be subject to sanctions or investigations by Nasdaq, the SEC or other regulatory authorities. Failure to remedy any material weakness in the combined companys internal control over financial reporting, or to implement or maintain other effective control systems required of public companies, could also restrict the combined companys future access to the capital markets. </w:t>
      </w:r>
    </w:p>
    <w:p>
      <w:pPr>
        <w:pStyle w:val="TextBody"/>
        <w:bidi w:val="0"/>
        <w:spacing w:before="24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7" w:name="toc770053_35"/>
      <w:bookmarkEnd w:id="3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or incorporates statements that constitute forward-looking statements within the meaning of the federal securities laws in relation to AVROBIO, Tectonic, the merger and the other proposed transactions contemplated thereby.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AVROBIOs or Tectonics expectations, hopes, beliefs, intentions or strategies regarding the future. In some cases, you can identify forward-looking statements by terminology such as anticipates, believes, contemplate, continue, could, designed to, endeavor, estimates, expects, forecasts, hypothesizes, intends, may, might, plans, possible, potential, predicts, projects, seeks, should, target, will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AVROBIO, Tectonic or the proposed transaction will be those that have been anticipated. These forward-looking statements involve a number of risks, uncertainties (some of which are beyond AVROBIOs or Tectonics control) or other assumptions that may cause actual results or performance to be materially different from those expressed or implied by these forward-looking statements. In addition to other factors and matters contained in or incorporated by reference in this document, AVROBIO and Tectonic believe the following factors could cause actual results to differ materially from those discussed in the forward-looking statements: the risk that the conditions to the closing of the transaction are not satisfied, including the failure to obtain stockholder approval for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conditions to the closing of the transaction are not satisfied, including the failure to obtain stockholder approval for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and conditions of any required governmental or regulatory approvals of the merger that could cause the parties to abandon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and Tectonics ability to meet expectations regarding the timing and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private financings are not completed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the timing and costs of the consummation of the transaction and the ability of each of AVROBIO and Tectonic to consummate the transaction, including the private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AVROBIOs continued listing on Nasdaq until closing of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AVROBIO or Tectonic for future operations of the combined company following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recognize the benefits that may be derived from the merger, including the commercial or market opportunity of the product candidates of AVROBIO, Tectonic and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AVROBIOs and Tectonics ability to correctly estimate their respective operating expenses and expenses associated with the transaction, future revenue, capital requirements, needs for additional financing, uncertainties regarding the impact any delay in the closing would have on the anticipated cash resources of the combined company upon closing and other events and unanticipated spending and costs that could reduce the combined companys cash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parties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combined company is able to continue as a going concern;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or condition that could give rise to the termination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the terms of the Merger Agreement, AVROBIO is restrained from soliciting other acquisition proposals during the pendency of the merger, except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merger on AVROBIOs or Tectonics business relationships, operating results and business generally, including disruption of AVROBIOs and Tectonics managements attention from ongoing business operations due to the merger and potential adverse reactions or changes to business relationships resulting from the announcement or completion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Agreement may be terminated in circumstances that require AVROBIO to pay a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AVROBIO, Tectonic or any of their respective directors or officers related to the Merger Agreement or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AVROBIO or Tectonic to protect their respective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Tectonic to maintain its rights derived from its license agreement with Harvard;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parties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AVROBIOs and Tectonics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AVROBIOs and Tectonics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public securities potential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product candidates of the combined company or its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manufacture its product candidates in conformity with the FDAs requirements and to scale up manufacturing of its product candidates to commercial scale,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reliance of the combined company on third-party contract development and manufacturer organizations to manufacture and supply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successfully commercialize product candidates including TX45, if approved, and the rate and degree of market acceptance of such product candidates and the favorability of pricing regulations, reimbursement practices from third-party payors or healthcare reform initiatives in the United States and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successfully identify and validate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lawsuits related to TX45 or any of Tectonics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Tectonic, or its CROs, CMOs, service providers, current and potential future partners or other third parties upon which it relies, could experience a security incident, system disruption or failure, data loss, cyberattack, or similar event that could compromise the confidentiality, integrity and availability of systems and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Tectonics internal controls and procedures and its ability to remediate any material weaknesses;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the combined companys competitors or industry;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political, environmental and public health developments in the United States and foreign countries, including but not limited to political unrest or unstable economic conditions in China, the Russia-Ukraine and Israel-Hamas conflicts and associated sanctions. </w:t>
            </w:r>
          </w:p>
        </w:tc>
      </w:tr>
    </w:tbl>
    <w:p>
      <w:pPr>
        <w:pStyle w:val="TextBody"/>
        <w:bidi w:val="0"/>
        <w:spacing w:before="240" w:after="0"/>
        <w:jc w:val="left"/>
        <w:rPr>
          <w:rFonts w:ascii="Times New Roman" w:hAnsi="Times New Roman"/>
          <w:sz w:val="20"/>
        </w:rPr>
      </w:pPr>
      <w:r>
        <w:rPr>
          <w:rFonts w:ascii="Times New Roman" w:hAnsi="Times New Roman"/>
          <w:sz w:val="20"/>
        </w:rPr>
        <w:t>Should one or more of these risks or uncertainties materialize, or should any of AVROBIOs or Tectonics assumptions prove incorrect, actual results may vary in material respects from those projected in these forward-looking statements. There may be additional risks that AVROBIO considers immaterial or which are unknown. You are urged to carefully review the disclosures AVROBIO and Tectonic make concerning these risks and other factors that may affect AVROBIOs and Tectonics business and operating results under the section titled </w:t>
      </w:r>
      <w:r>
        <w:rPr>
          <w:rFonts w:ascii="Times New Roman" w:hAnsi="Times New Roman"/>
          <w:i/>
          <w:sz w:val="20"/>
        </w:rPr>
        <w:t>Risk Factors</w:t>
      </w:r>
      <w:r>
        <w:rPr>
          <w:rFonts w:ascii="Times New Roman" w:hAnsi="Times New Roman"/>
          <w:sz w:val="20"/>
        </w:rPr>
        <w:t> beginning on page 36 of this proxy statement/prospectus. Additional factors that could cause actual results to differ materially from those expressed in the forward-looking statements are discussed in reports filed with the SEC by AVROBIO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AVROBIO, Tectonic or the combined company could differ materially from the forward-looking statements. Any public statements or disclosures by AVROBIO and Tectonic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AVROBIO and Tectonic do not intend, and undertake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8" w:name="toc770053_36"/>
      <w:bookmarkEnd w:id="38"/>
      <w:r>
        <w:rPr>
          <w:rFonts w:ascii="Times New Roman" w:hAnsi="Times New Roman"/>
          <w:b/>
          <w:sz w:val="20"/>
        </w:rPr>
        <w:t xml:space="preserve">THE SPECIAL MEETING OF AVROBIO STOCKHOLDERS </w:t>
      </w:r>
    </w:p>
    <w:p>
      <w:pPr>
        <w:pStyle w:val="TextBody"/>
        <w:bidi w:val="0"/>
        <w:spacing w:before="240" w:after="0"/>
        <w:jc w:val="left"/>
        <w:rPr>
          <w:rFonts w:ascii="Times New Roman" w:hAnsi="Times New Roman"/>
          <w:b/>
          <w:sz w:val="20"/>
        </w:rPr>
      </w:pPr>
      <w:bookmarkStart w:id="39" w:name="toc770053_37"/>
      <w:bookmarkEnd w:id="39"/>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June 11, 2024, commencing at 9:00 a.m. Eastern Time, unless postponed or adjourned to a later date. The special meeting will be held entirely online. AVROBIO is sending this proxy statement/prospectus to its stockholders in connection with the solicitation of proxies by the AVROBIO Board for use at the special meeting and any adjournments or postponements thereof. This proxy statement/prospectus is first being furnished to AVROBIO stockholders on or about May  3, 2024. </w:t>
      </w:r>
    </w:p>
    <w:p>
      <w:pPr>
        <w:pStyle w:val="TextBody"/>
        <w:bidi w:val="0"/>
        <w:spacing w:before="360" w:after="0"/>
        <w:jc w:val="left"/>
        <w:rPr>
          <w:rFonts w:ascii="Times New Roman" w:hAnsi="Times New Roman"/>
          <w:b/>
          <w:sz w:val="20"/>
        </w:rPr>
      </w:pPr>
      <w:bookmarkStart w:id="40" w:name="toc770053_38"/>
      <w:bookmarkEnd w:id="40"/>
      <w:r>
        <w:rPr>
          <w:rFonts w:ascii="Times New Roman" w:hAnsi="Times New Roman"/>
          <w:b/>
          <w:sz w:val="20"/>
        </w:rPr>
        <w:t xml:space="preserve">Purposes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special meeting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of shares of common stock of AVROBIO, which will represent more than 20% of the shares of AVROBIO common stock outstanding immediately prior to such transaction,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transactions, pursuant to Nasdaq Listing Rules 5635(a) and 5635(b);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 non-binding advisory vote basis, compensation that will or may become payable by AVROBIO to its named executive officers in connection with the merger, each as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special meeting, if necessary, to solicit additional proxies if there are not sufficient votes in favor of the Nasdaq Stock Issuance Proposal and/or the Reverse Stock Split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AVROBIO common stock in connection with the merger and the change of control resulting from the merger, or Proposal No. 1, will not take place unless Proposal No. 1 is approved by AVROBIO stockholders and the merger is consummated. The amendment to the AVROBIOs charter to effect a reverse stock split of AVROBIOs issued and outstanding common stock, or Proposal No. 2, will not take place unless Proposal No. 2 is approved by the requisite AVROBIO stockholders. </w:t>
      </w:r>
    </w:p>
    <w:p>
      <w:pPr>
        <w:pStyle w:val="TextBody"/>
        <w:bidi w:val="0"/>
        <w:spacing w:before="360" w:after="0"/>
        <w:jc w:val="left"/>
        <w:rPr>
          <w:rFonts w:ascii="Times New Roman" w:hAnsi="Times New Roman"/>
          <w:b/>
          <w:sz w:val="20"/>
        </w:rPr>
      </w:pPr>
      <w:bookmarkStart w:id="41" w:name="toc770053_39"/>
      <w:bookmarkEnd w:id="41"/>
      <w:r>
        <w:rPr>
          <w:rFonts w:ascii="Times New Roman" w:hAnsi="Times New Roman"/>
          <w:b/>
          <w:sz w:val="20"/>
        </w:rPr>
        <w:t xml:space="preserve">Recommendation of the AVROBIO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has determined and believes that the issuance of shares of AVROBIO common stock pursuant to the Merger Agreement is fair to, in the best interests of, and advisable to, AVROBIO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Nasdaq Stock Issuance Proposal as described on page 307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fair to, in the best interests of, and advisable to, AVROBIO and its stockholders to approve the amendment to AVROBIOs charter to effect the reverse stock split, as described in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Reverse Stock Split Proposal as described on page 309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advisable to, and in the best interests of, AVROBIO and its stockholders to approve the amendment to AVROBIOs charter to provide for the exculpation of officers, as described on page 316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Officer Exculpation Proposal as described on page 316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Plan, as described on page 318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Incentive Plan Proposal as described on page 318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ESPP, as described on page 328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ESPP Proposal as described on page 328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compensation that will or may become payable to the named executive officers of AVROBIO in connection with the merger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Executive Compensation Arrangements Proposal as described on page 332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adjourning the special meeting, if necessary, to solicit additional proxies if there are not sufficient votes in favor of the Nasdaq Stock Issuance Proposal and/or the Reverse Stock Split Proposal is fair to, in the best interests of, and advisable to, AVROBIO and its stockholders and has approved and adopted the proposal. The AVROBIO Board unanimously recommends that AVROBIO stockholders vote </w:t>
            </w:r>
            <w:r>
              <w:rPr>
                <w:rFonts w:ascii="Times New Roman" w:hAnsi="Times New Roman"/>
                <w:b/>
                <w:sz w:val="20"/>
              </w:rPr>
              <w:t>FOR</w:t>
            </w:r>
            <w:r>
              <w:rPr>
                <w:rFonts w:ascii="Times New Roman" w:hAnsi="Times New Roman"/>
                <w:sz w:val="20"/>
              </w:rPr>
              <w:t xml:space="preserve"> the Adjournment Proposal, if necessary, as described on page 333 of this proxy statement/prospectus. </w:t>
            </w:r>
          </w:p>
        </w:tc>
      </w:tr>
    </w:tbl>
    <w:p>
      <w:pPr>
        <w:pStyle w:val="TextBody"/>
        <w:bidi w:val="0"/>
        <w:spacing w:before="360" w:after="0"/>
        <w:jc w:val="left"/>
        <w:rPr>
          <w:rFonts w:ascii="Times New Roman" w:hAnsi="Times New Roman"/>
          <w:b/>
          <w:sz w:val="20"/>
        </w:rPr>
      </w:pPr>
      <w:bookmarkStart w:id="42" w:name="toc770053_40"/>
      <w:bookmarkEnd w:id="42"/>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AVROBIO common stock at the close of business on the record date of April 29, 2024, are entitled to notice of, and to vote at, the special meeting. At the close of business on the record date, there were four registered holders of record of AVROBIO common stock and there were 44,887,995 shares of AVROBIO common stock issued and outstanding. Each share of AVROBIO common stock entitles the holder thereof to one vote on each matter submitted for stockholder approval. </w:t>
      </w:r>
    </w:p>
    <w:p>
      <w:pPr>
        <w:pStyle w:val="TextBody"/>
        <w:bidi w:val="0"/>
        <w:spacing w:before="360" w:after="0"/>
        <w:jc w:val="left"/>
        <w:rPr>
          <w:rFonts w:ascii="Times New Roman" w:hAnsi="Times New Roman"/>
          <w:b/>
          <w:sz w:val="20"/>
        </w:rPr>
      </w:pPr>
      <w:bookmarkStart w:id="43" w:name="toc770053_41"/>
      <w:bookmarkEnd w:id="43"/>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the AVROBIO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AVROBIO common stock, Computershare Trust Company, N.A., then you are a stockholder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or not you plan to attend the special meeting online, AVROBIO urges you to fill out and return the proxy card or vote by proxy over the telephone or on the internet as instructed below to ensure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240" w:after="0"/>
        <w:jc w:val="left"/>
        <w:rPr>
          <w:rFonts w:ascii="Times New Roman" w:hAnsi="Times New Roman"/>
          <w:i/>
          <w:sz w:val="20"/>
        </w:rPr>
      </w:pPr>
      <w:r>
        <w:rPr>
          <w:rFonts w:ascii="Times New Roman" w:hAnsi="Times New Roman"/>
          <w:i/>
          <w:sz w:val="20"/>
        </w:rPr>
        <w:t xml:space="preserve">AVROBIO 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at the special meeting. Alternatively, you may vote by proxy by using the accompanying proxy card, over the internet or by telephone. Whether or not you plan to attend the special meeting, AVROBIO encourages you to vote by proxy to ensure your vote is counted. Even if you have submitted a proxy before the special meeting, you may still attend the special meeting and vote. In such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at the special meeting, attend the special meeting online and follow the instructions posted at </w:t>
            </w:r>
            <w:r>
              <w:rPr>
                <w:rFonts w:ascii="Times New Roman" w:hAnsi="Times New Roman"/>
                <w:i/>
                <w:sz w:val="20"/>
              </w:rPr>
              <w:t>www.proxydocs.com/AVRO</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before the special meeting, the designated proxies will vote your shares in accordance with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telephone, you may vote by proxy by calling the toll free number found on the proxy card.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AVROBIO 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AVROBIO. Simply complete and mail the voting instruction card to ensure that your vote is counted.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AVROBIO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(Officer Exculpation Proposal). If a AVROBIO stockholder does not return voting instructions to their broker on how to vote their shares of AVROBIO common stock, such broker may be prevented from voting, or may otherwise choose not to vote, such shares held by such broker, resulting in broker non-votes with respect to such shares. To make sure that your vote is counted, you should instruct your broker to vote your shares of AVROBIO common stock, following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All properly executed proxies that are not revoked will be voted at the special meeting and at any adjournments or postponements of the special meeting in accordance with the instructions contained in the proxy.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If a holder of AVROBIO common stock executes and returns a proxy and does not specify otherwise, the shares represented by that proxy will be voted FOR all of the proposals in accordance with the recommendation of the AVROBIO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of AVROBIO and you have not executed a support agreement, you may change your vote at any time before your proxy is voted at the special meeting in any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written notice that you are revoking your proxy over the internet, following the instructions provided on the Notice of Internet Availability.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online and vote during the meeting by following the instructions at </w:t>
            </w:r>
            <w:r>
              <w:rPr>
                <w:rFonts w:ascii="Times New Roman" w:hAnsi="Times New Roman"/>
                <w:i/>
                <w:sz w:val="20"/>
              </w:rPr>
              <w:t>www.proxydocs.com/AVRO</w:t>
            </w:r>
            <w:r>
              <w:rPr>
                <w:rFonts w:ascii="Times New Roman" w:hAnsi="Times New Roman"/>
                <w:sz w:val="20"/>
              </w:rPr>
              <w:t xml:space="preserve">. Simply attending the special meeting will not, by itself, revoke your proxy and/or change your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them. </w:t>
      </w:r>
    </w:p>
    <w:p>
      <w:pPr>
        <w:pStyle w:val="TextBody"/>
        <w:bidi w:val="0"/>
        <w:spacing w:before="360" w:after="0"/>
        <w:jc w:val="left"/>
        <w:rPr>
          <w:rFonts w:ascii="Times New Roman" w:hAnsi="Times New Roman"/>
          <w:b/>
          <w:sz w:val="20"/>
        </w:rPr>
      </w:pPr>
      <w:bookmarkStart w:id="44" w:name="toc770053_42"/>
      <w:bookmarkEnd w:id="44"/>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special meeting of the holders of a majority of the shares of AVROBIO common stock outstanding and entitled to vote at the special meeting is necessary to constitute a quorum at the meeting. The affirmative vote of a majority of the votes properly cast for and against a matter by the holders of AVROBIO common stock, assuming a quorum is present, is required for approval of Proposal Nos. 1, 2, 4, 5, 6 and 7. The affirmative vote of a majority of the outstanding shares of AVROBIO common stock entitled to vote at the special meeting is required for approval of Proposal No. 3. Each of Proposal Nos. 1 and 2 is a condition to completion of the merger. Therefore, the merger cannot be consummated without the approval of Proposal Nos. 1 and 2. The issuance of AVROBIO common stock in connection with the merger and the change of control of AVROBIO resulting from the merger, or Proposal No. 1, will not take place unless Proposal Nos. 1 and 2 are approved by AVROBIO stockholders and the reverse stock split is effected and the merger is consummated. The amendment to AVROBIOs charter to effect a reverse stock split of AVROBIOs issued and outstanding common stock, or Proposal No. 2, will not take place unless Proposal No. 2 is approved by the requisite AVROBIO stockholders. AVROBIO may still elect to proceed with the reverse stock split if Proposal No. 2 is approved by AVROBIO stockholders even if Proposal No. 1 is not approved, or even if approved, the merger is not consummated. </w:t>
      </w:r>
    </w:p>
    <w:p>
      <w:pPr>
        <w:pStyle w:val="TextBody"/>
        <w:bidi w:val="0"/>
        <w:spacing w:before="240" w:after="0"/>
        <w:jc w:val="left"/>
        <w:rPr>
          <w:rFonts w:ascii="Times New Roman" w:hAnsi="Times New Roman"/>
          <w:sz w:val="20"/>
        </w:rPr>
      </w:pPr>
      <w:r>
        <w:rPr>
          <w:rFonts w:ascii="Times New Roman" w:hAnsi="Times New Roman"/>
          <w:sz w:val="20"/>
        </w:rPr>
        <w:t>Votes will be counted by the inspector of election appointed for the meeting, who will separately count </w:t>
      </w:r>
      <w:r>
        <w:rPr>
          <w:rFonts w:ascii="Times New Roman" w:hAnsi="Times New Roman"/>
          <w:b/>
          <w:sz w:val="20"/>
        </w:rPr>
        <w:t>FOR</w:t>
      </w:r>
      <w:r>
        <w:rPr>
          <w:rFonts w:ascii="Times New Roman" w:hAnsi="Times New Roman"/>
          <w:sz w:val="20"/>
        </w:rPr>
        <w:t> and </w:t>
      </w:r>
      <w:r>
        <w:rPr>
          <w:rFonts w:ascii="Times New Roman" w:hAnsi="Times New Roman"/>
          <w:b/>
          <w:sz w:val="20"/>
        </w:rPr>
        <w:t>AGAINST</w:t>
      </w:r>
      <w:r>
        <w:rPr>
          <w:rFonts w:ascii="Times New Roman" w:hAnsi="Times New Roman"/>
          <w:sz w:val="20"/>
        </w:rPr>
        <w:t> votes, abstentions and broker non-votes. 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(Officer Exculpation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As of March 15, 2024, the directors and executive officers of AVROBIO owned or controlled 6.40% of the outstanding shares of AVROBIO common stock entitled to vote at the special meeting. As of January 30, 2024, the AVROBIO stockholders that are party to a support agreement, including certain directors and executive officers of AVROBIO, owned an aggregate number of shares of AVROBIO common stock representing approximately 10.8% of the outstanding shares of AVROBIO common stock. Each stockholder that entered into a support agreement, including certain directors and executive officers of AVROBIO, has agreed to vote all shares of AVROBIO common stock owned by him or her as of the record date in favor of the adoption of the Merger Agreement and the approval of the merger and related transactions contemplated by the Merger Agreement and against any competing Acquisition Proposal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5" w:name="toc770053_43"/>
      <w:bookmarkEnd w:id="45"/>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AVROBIO may solicit proxies from AVROBIO stockholders by personal interview, telephone, email, fax or otherwise. AVROBIO and Tectonic will share equally the costs of printing and filing this proxy statement/prospectus and proxy card. Arrangements will also be made with brokerage firms and other custodians, nominees and fiduciaries who are record holders of AVROBIO common stock for the forwarding of solicitation materials to the beneficial owners of AVROBIO common stock. AVROBIO will reimburse these brokers, custodians, nominees and fiduciaries for the reasonable out of pocket expenses they incur in connection with the forwarding of solicitation materials. AVROBIO has retained Innisfree M&amp;A Incorporated to assist it in soliciting proxies using the means referred to above. AVROBIO will pay the fees of the proxy solicitor, which AVROBIO expects to be up to $50,000, plus reimbursement of out-of-pocket expenses. </w:t>
      </w:r>
    </w:p>
    <w:p>
      <w:pPr>
        <w:pStyle w:val="TextBody"/>
        <w:bidi w:val="0"/>
        <w:spacing w:before="360" w:after="0"/>
        <w:jc w:val="left"/>
        <w:rPr>
          <w:rFonts w:ascii="Times New Roman" w:hAnsi="Times New Roman"/>
          <w:b/>
          <w:sz w:val="20"/>
        </w:rPr>
      </w:pPr>
      <w:bookmarkStart w:id="46" w:name="toc770053_44"/>
      <w:bookmarkEnd w:id="46"/>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AVROBIO Board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7" w:name="toc770053_45"/>
      <w:bookmarkEnd w:id="47"/>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describe the material aspects of the merger and the Merger Agreement. While AVROBIO and Tectonic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w:t>
      </w:r>
    </w:p>
    <w:p>
      <w:pPr>
        <w:pStyle w:val="TextBody"/>
        <w:bidi w:val="0"/>
        <w:spacing w:before="360" w:after="0"/>
        <w:jc w:val="left"/>
        <w:rPr>
          <w:rFonts w:ascii="Times New Roman" w:hAnsi="Times New Roman"/>
          <w:b/>
          <w:sz w:val="20"/>
        </w:rPr>
      </w:pPr>
      <w:bookmarkStart w:id="48" w:name="toc770053_46"/>
      <w:bookmarkEnd w:id="48"/>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This chronology does not purport to catalogue every conversation of or among members of the AVROBIO Board (or, solely for purposes of this section, the Board), the Transaction Committee, AVROBIOs representatives and advisors, Tectonic, Tectonics representatives and advisors,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together with AVROBIOs senior management and with the assistance of AVROBIOs advisors, regularly review and discuss AVROBIOs near and long-term operating and strategic priorities. Among other things, these reviews and discussions focus on the opportunities and risks associated with AVROBIOs operations, financial performance and planning, competitive position, strategic relationships and potential long-term strategic options. The AVROBIO Board, together with AVROBIOs senior management, regularly reviews potential strategic alternatives and opportunities to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AVROBIO Board held on June 8, 2022, the AVROBIO Board established the Transaction Committee of the AVROBIO Board, comprised of Bruce Booth, Ian Clark, Phillip Donenberg, and Gail Farfel (with Philip Vickers appointed in July 2023 as an additional member of the Transaction Committee), in order to assist the AVROBIO Board (and not because of any actual or perceived conflicts of interests) as needed, in exploring, considering, reviewing, evaluating and negotiating strategic alternatives to enhance AVROBIOs value to its stockholders. The members of the Transaction Committee were all deemed to be independent of AVROBIOs management. As part of the efforts to identify and consider potential strategic alternatives, in October 2022, as authorized by the AVROBIO Board and the AVROBIO Transaction Committee, representatives of Cowen and Company, LLC (TD Cowen) and Wells Fargo Securities, LLC, acting as co-financial advisors to AVROBIO, contacted approximately 40 counterparties regarding their interest in a potential strategic transaction with AVROBIO. Of these, 14 indicated preliminary interest in considering discussions with AVROBIO. By December 2022, two of these parties, both strategic companies (Party A and Party B), remained interested in a strategic transaction and engaged in due diligence. During this period, members of AVROBIO management also engaged in discussions with other potential counterparties based in Asia, primarily in Japan, to evaluate partnership opportunities with respect to AVROBIOs pipeline therapeutic assets, although these discussions did not result in partnership arrangements. In addition, during this period, AVROBIO, with the assistance of TD Cowen, explored interest in a private investment in public equity (PIPE) financing of AVROBIO and approached 37 potential investors in this effort, but was ultimately unable to generate sufficient investor interest.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Party A submitted written indications of interest to AVROBIO contemplating a whole-company acquisition of AVROBIO by Party A. </w:t>
      </w:r>
    </w:p>
    <w:p>
      <w:pPr>
        <w:pStyle w:val="TextBody"/>
        <w:bidi w:val="0"/>
        <w:spacing w:before="240" w:after="0"/>
        <w:jc w:val="left"/>
        <w:rPr>
          <w:rFonts w:ascii="Times New Roman" w:hAnsi="Times New Roman"/>
          <w:sz w:val="20"/>
        </w:rPr>
      </w:pPr>
      <w:r>
        <w:rPr>
          <w:rFonts w:ascii="Times New Roman" w:hAnsi="Times New Roman"/>
          <w:sz w:val="20"/>
        </w:rPr>
        <w:t xml:space="preserve">On December 21, 2022, Party B expressed that they would require significant additional time for due diligence before they would be in a position to submit any indication of interest in a strategic transaction, including as to price.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23, 2022 and December 28, 2022, AVROBIO and its representatives continued to engage with Party A. On December 28, 2022, in accordance with the direction of the AVROBIO Board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Committee and in light of the feedback described above from Party B, AVROBIO and Party A entered into a term sheet which provided for a binding period of exclusivity that would expire as of February 10, 2023, and AVROBIO communicated to Party B that AVROBIO would not be able to proceed with Party B toward a strategic transaction at this time.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28, 2022 and February 3, 2023, AVROBIO and Party A exchanged drafts of and negotiated a merger agreement, engaged in extensive due diligence and continued to advance towards a potential whole-company acquisition of AVROBIO by Party A. </w:t>
      </w:r>
    </w:p>
    <w:p>
      <w:pPr>
        <w:pStyle w:val="TextBody"/>
        <w:bidi w:val="0"/>
        <w:spacing w:before="240" w:after="0"/>
        <w:jc w:val="left"/>
        <w:rPr>
          <w:rFonts w:ascii="Times New Roman" w:hAnsi="Times New Roman"/>
          <w:sz w:val="20"/>
        </w:rPr>
      </w:pPr>
      <w:r>
        <w:rPr>
          <w:rFonts w:ascii="Times New Roman" w:hAnsi="Times New Roman"/>
          <w:sz w:val="20"/>
        </w:rPr>
        <w:t xml:space="preserve">However, on February 3, 2023, Party A informed AVROBIO that it was no longer interested in pursuing the potential transaction on account of Party As inability to secure internal approvals for the transaction, and thus Party A was terminating discussions with AVROBIO with respect to a potential whole-company acquisition.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development, at the direction of the AVROBIO Board and Transaction Committee, AVROBIO management and its advisors again contacted several strategic companies, including Party B, to gauge their interest in evaluating a strategic transaction. Each of these parties affirmatively declined to re-engage in an evaluation of a strategic transaction with AVROBIO. </w:t>
      </w:r>
    </w:p>
    <w:p>
      <w:pPr>
        <w:pStyle w:val="TextBody"/>
        <w:bidi w:val="0"/>
        <w:spacing w:before="240" w:after="0"/>
        <w:jc w:val="left"/>
        <w:rPr>
          <w:rFonts w:ascii="Times New Roman" w:hAnsi="Times New Roman"/>
          <w:sz w:val="20"/>
        </w:rPr>
      </w:pPr>
      <w:r>
        <w:rPr>
          <w:rFonts w:ascii="Times New Roman" w:hAnsi="Times New Roman"/>
          <w:sz w:val="20"/>
        </w:rPr>
        <w:t xml:space="preserve">On February 23, 2023, AVROBIO received a non-binding proposal from Novartis International AG (Novartis) proposing to acquire AVROBIOs cystinosis business. Between February 23, 2023 and May 19, 2023, AVROBIO and Novartis engaged in discussions regarding such a transaction and negotiated and exchanged drafts of an asset purchase agreement and related ancillary documents. On May 19, 2023, AVROBIO and Novartis executed and publicly announced the asset purchase agreement providing for the sale to Novartis of AVROBIOs cystinosis business for $87.5 million in cash (the Cystinosis Sale). The Cystinosis Sale was subsequently completed on June 9, 2023 following the satisfaction of all closing conditions under the asset purchase agreement. Pursuant to the terms of the transaction, AVROBIO additionally exclusively licensed to Novartis certain other assets, know-how and other intellectual property related to AVROBIOs gene therapy platform for use in cystinosis, and to support the transition of the program, AVROBIO continued to provide certain transition, knowledge transfer and other related services to Novartis. </w:t>
      </w:r>
    </w:p>
    <w:p>
      <w:pPr>
        <w:pStyle w:val="TextBody"/>
        <w:bidi w:val="0"/>
        <w:spacing w:before="240" w:after="0"/>
        <w:jc w:val="left"/>
        <w:rPr>
          <w:rFonts w:ascii="Times New Roman" w:hAnsi="Times New Roman"/>
          <w:sz w:val="20"/>
        </w:rPr>
      </w:pPr>
      <w:r>
        <w:rPr>
          <w:rFonts w:ascii="Times New Roman" w:hAnsi="Times New Roman"/>
          <w:sz w:val="20"/>
        </w:rPr>
        <w:t xml:space="preserve">In May 2023, AVROBIO and its advisors again explored interest in one or more capital-raising transactions to further support the continued development of AVROBIOs Gaucher disease type 1 and type 3, Hunter syndrome and Pompe disease programs. AVROBIO, with the assistance of TD Cowen, approached 28 investors in this effort, but was again unable to generate sufficient investor interest.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Cystinosis Sale on June 9, 2023, AVROBIO and its advisors continued to explore potential opportunities to engage in a strategic transaction. In accordance with the direction of the AVROBIO Board, TD Cowen contacted eight parties (Party B, Party C, Party D, Party E, Party F, Party G, Party H and Party I) to gauge their interest in a whole-company acquisition of AVROBIO or a merger of equals transaction with AVROBIO. Each of these parties affirmatively declined to pursue discussions regarding a strategic transaction with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6, 2023, the AVROBIO Board held a meeting, at which members of AVROBIO management and representatives of Goodwin LLP (Goodwin) and TD Cowen were present. Representatives of Goodwin presented on fiduciary, strategic and other considerations pertaining to an exploration of strategic alternatives for AVROBIO. TD Cowen provided the Board with a comprehensive update on AVROBIOs strategic alternatives process, noting that since the fourth quarter of 2022, AVROBIO, with the assistance of TD Cowen, had engaged with more than 40 strategic parties regarding various potential strategic transactions, attempted two capital-raising financings, both of which were unable to generate sufficient investor interest, engaged with certain counterparties on potential partnership opportunities, including in Japan, and completed the Cystinosis Sale to Novartis.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meeting, the AVROBIO Board also engaged in an extensive discussion about the state and prospects of AVROBIOs ongoing programs, the ongoing knowledge and technology transfer to Novartis relating to the Cystinosis Sale and AVROBIOs cash position and runway. The Board noted the relative absence of meaningful, near-term regulatory and clinical inflection points for AVROBIOs ongoing programs. The Board also noted that, despite AVROBIOs relatively strong cash position from the one-time proceeds generated by the Cystinosis Sale, AVROBIO had been unable to generate sufficient investor interest despite two separate capital-raising attempts, which further exacerbated the lack of opportunities to achieve meaningful near-term regulatory and clinical inflection points for AVROBIOs ongoing programs. The Board also discussed and determined, in light of these considerations, that a liquidation or dissolution of AVROBIO at this time would not be feasible or advisable given, among other reasons, AVROBIOs continuing contractual obligations that extend through June 2024 and continuing regulatory, clinical and contractual obligations under existing clinical trial programs for AVROBIOs Gaucher and Fabry programs. In light of these considerations and developments in recent months, the Board discussed the prospects of pursuing a reverse merger transaction, which is a transaction in which a wholly owned subsidiary of AVROBIO would merge with and into a privately held company with AVROBIO surviving as the parent company and the privately held company continuing as a wholly owned subsidiary of AVROBIO and with consideration in the form of AVROBIOs publicly listed stock issuable to the privately held companys stockholders. The Board expressed interest in a reverse merger in light of AVROBIOs cash position, AVROBIOs inability to generate meaningful investor interest to raise additional capital, AVROBIOs status as a public company, similar transactions recently completed with attractive merger partners and the potential halting of further development of AVROBIOs programs in order to, among other reasons, conserve AVROBIOs cash position. Further, the Board discussed that a reverse merger could provide AVROBIO stockholders with a meaningful stake in a combined entity possessing both promising clinical prospects and the means to pursue them, and provide an opportunity for long-term value creation for AVROBIO stockholders. The AVROBIO Board and AVROBIO management identified certain criteria (and such criteria continued to be discussed, expanded and/or refined at subsequent meetings of the Board and Transaction Committee, including at the Transaction Committees meeting of July 28, 2023 described below) that they considered important in reviewing potential partner companies in a reverse merger transaction. Following discussion, the Board authorized AVROBIO management and the Transaction Committee to continue to explore the availability of one or more strategic transactions involving AVROBIO and/or any of its businesses or assets, including a merger, reverse merger, stock sale, asset sale, partnership, collaboration, license or similar strategic transaction (a strategic transaction), and to publicly announce such exploration of strategic alternatives and that AVROBIO was halting further development of its programs. Finally, the Board authorized AVROBIO to engage TD Cowen as AVROBIOs financial advisor and/or placement agent for a strategic transaction, noting, among other things, TD Cowens qualifications, extensive experience and reputation, knowledge of and involvement in recent transactions in AVROBIOs industry, and knowledge of AVROBIOs business given its historical representation of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in accordance with the direction of the AVROBIO Board, AVROBIO publicly announced that it had determined to halt further development of its programs and to explore strategic alternatives, which may include, without limitation, an acquisition, merger, business combination or other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AVROBIO Board meeting of July 6, 2023 and the announcement of the exploration of strategic alternatives on July 12, 2023, members of AVROBIO management, with the assistance of TD Cowen, continued to engage with a large number of counterparties in connection with AVROBIOs strategic alternatives process. On July 18, 2023, in accordance with the direction of the AVROBIO Board, TD Cowen began to distribute process letters on behalf of AVROBIO to a total of 85 parties, which invited such parties to submit preliminary proposals for a strategic transaction, consisting either of a stock-based reverse merger or merger of equals transaction or a cash-based transaction, by August 3, 2023. These counterparties were primarily selected as privately-held companies that were identified by AVROBIO and TD Cowen, or had approached AVROBIO or TD Cowen, based on such counterparties desire to obtain financing and/or interest in becoming a public company with access to the public capital markets, as well as such parties reasonable potential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satisfy at least a meaningful portion of the Criteria (as defined below), subject to customary due diligence by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28, 2023, the Transaction Committee held a meeting, at which members of AVROBIO management and representatives of Goodwin and TD Cowen were present. The Transaction Committee continued to discuss the criteria for reviewing potential partner companies in a reverse merger transaction. Across the AVROBIO Boards meeting of July 6, 2023 and the Transaction Committees meeting of July 28, 2023, AVROBIOs directors had articulated and/or consulted a number of criteria that they considered important in reviewing potential counterparties in a reverse merger transaction, including, but not limited to, (i) the strength of the counterpartys scientific and clinical value propositions and business proposals, (ii) the quality and strength of the scientific and industry reputation of the counterpartys management team, board of directors and advisors, (iii) the timing and likelihood of meaningful clinical and regulatory inflection points for the counterparty, (iv) the counterpartys potential therapeutic complementarity with AVROBIOs research and development capabilities and existing product candidates, (v) the counterpartys degree of readiness to become a publicly listed company, (vi) the degree of perceived risk associated with the counterpartys business and product candidates, (vii) the quality of the counterpartys investor syndicate, (viii) the valuation expectations of the counterparty and the related implied economic split between AVROBIO, the counterparty and any contemplated private placement investors, (ix) the potential for differentiated products addressing meaningful unmet needs, (x) additional financing needs to further the counterpartys pipeline and prospects for raising such additional capital, and (xi) additional investment the counterparty may be able to deliver to the transaction in order to extend the counterpartys cash runway (collectively, the Criteria). While the Criteria continued to be discussed, expanded and/or refined over time in the directors exercise of their business judgment (for example, as a result of the ultimate failure of the process with Party O as described below, directors determined to give enhanced priority to deal certainty and private placement financing certainty, as described below), substantially all of the Criteria had been materially considered by the conclusion of the Transaction Committees meeting of July 28, 2023. </w:t>
      </w:r>
    </w:p>
    <w:p>
      <w:pPr>
        <w:pStyle w:val="TextBody"/>
        <w:bidi w:val="0"/>
        <w:spacing w:before="240" w:after="0"/>
        <w:jc w:val="left"/>
        <w:rPr>
          <w:rFonts w:ascii="Times New Roman" w:hAnsi="Times New Roman"/>
          <w:sz w:val="20"/>
        </w:rPr>
      </w:pPr>
      <w:r>
        <w:rPr>
          <w:rFonts w:ascii="Times New Roman" w:hAnsi="Times New Roman"/>
          <w:sz w:val="20"/>
        </w:rPr>
        <w:t xml:space="preserve">By August 4, 2023, 28 indications of interest had been received, the vast majority of which were from privately held companies contemplating a potential reverse merger with AVROBIO, as more fully detailed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25, 2023, Party J, a privately held company, submitted an indication of interest to AVROBIO proposing a reverse merger transaction, which contemplated a valuation for AVROBIO of $141 million, a valuation for the counterparty of $650 million, and potential concurrent private placement investments of $100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28, 2023, Party K, a privately held company, submitted an indication of interest to AVROBIO proposing a reverse merger transaction, which contemplated a valuation for AVROBIO of $70 million, a valuation for the counterparty of $105 million, and potential concurrent private placement investments of $40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L, a privately held company, submitted an indication of interest to AVROBIO proposing a reverse merger transaction, which contemplated a valuation for AVROBIO of $55 million, a valuation for the counterparty of $150 million, and potential concurrent private placement investments of $50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M, a privately held company, submitted an indication of interest to AVROBIO proposing a reverse merger transaction, which contemplated a valuation for AVROBIO of $65 million, a valuation for the counterparty of $218 million, and potential concurrent private placement investments of $50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N, a privately held company, submitted an indication of interest to AVROBIO proposing a reverse merger transaction, which contemplated a valuation for AVROBIO of $60 million and a valuation for the counterparty of $240 million, and did not specifically contemplate a potential concurrent private placement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O, a privately held company, submitted an indication of interest to AVROBIO proposing a reverse merger transaction, which contemplated a valuation for AVROBIO of $65 million, a valuation for the counterparty of $275 million, and potential concurrent private placement investments of $100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2, 2023, Party P, a privately held company, submitted an indication of interest to AVROBIO proposing a reverse merger transaction, which contemplated a valuation for AVROBIO of $58 million, a valuation for the counterparty of $270 million, and potential concurrent private placement investments of $115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2, 2023, Party Q, a privately held company, submitted an indication of interest to AVROBIO proposing a reverse merger transaction, which contemplated a valuation for AVROBIO of $66 million, a valuation for the counterparty of $74 million, and potential concurrent private placement investments of $26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R, a privately held company, submitted an indication of interest to AVROBIO proposing a reverse merger transaction, which contemplated a valuation for AVROBIO of $60 million, a valuation for the counterparty of $225 million, and potential concurrent private placement investments of $40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S, a privately held company, submitted an indication of interest to AVROBIO proposing a reverse merger transaction, which contemplated a valuation for AVROBIO of $75 million and a valuation for the counterparty of $100 million, and did not specifically contemplate a potential concurrent private placement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T, a privately held company, submitted an indication of interest to AVROBIO proposing a reverse merger transaction, which contemplated a valuation for AVROBIO of $55 million, a valuation for the counterparty of $180 million, and potential concurrent private placement investments of $80 million.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U, a privately held company, submitted an indication of interest to AVROBIO proposing a reverse merger transaction, which contemplated a valuation for AVROBIO of $105 million, a valuation for the counterparty of $500 million, and potential concurrent private placement investments of $100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V, a privately held company, submitted an indication of interest to AVROBIO proposing a reverse merger transaction, which contemplated a valuation for AVROBIO of $55 million, a valuation for the counterparty of $200 million, and potential concurrent private placement investments of $60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W, a privately held company, submitted an indication of interest to AVROBIO proposing a reverse merger transaction, which contemplated a valuation for AVROBIO of $75 million, a valuation for the counterparty of $165 million, and potential concurrent private placement investments of $10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X, a privately held company, submitted an indication of interest to AVROBIO proposing a reverse merger transaction, which contemplated a valuation for AVROBIO of $50 million, a valuation for the counterparty of $265 million, and potential concurrent private placement investments of $30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Y, a privately held company, submitted an indication of interest to AVROBIO proposing a reverse merger transaction, which contemplated a valuation for AVROBIO of $65 million, a valuation for the counterparty of $150 million, and potential concurrent private placement investments of $50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Z, a privately held company, submitted an indication of interest to AVROBIO proposing a reverse merger transaction, which contemplated a valuation for AVROBIO of $60 million, a valuation for the counterparty of $295 million, and potential concurrent private placement investments of $100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AA, a privately held company, submitted an indication of interest to AVROBIO proposing a reverse merger transaction, which contemplated a valuation for AVROBIO of $65 million, a valuation for the counterparty of $125 million, and potential concurrent private placement investments of $70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BB, a privately held company, submitted an indication of interest to AVROBIO proposing a reverse merger transaction, which contemplated a valuation for AVROBIO of $65 million, a valuation for the counterparty of $95 million, and potential concurrent private placement investments of $60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CC, a privately held company, submitted an indication of interest to AVROBIO proposing a reverse merger transaction, which contemplated a valuation for AVROBIO of $65 million, a valuation for the counterparty of $250 million, and potential concurrent private placement investments of $75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DD, a privately held company, submitted an indication of interest to AVROBIO proposing a reverse merger transaction, which contemplated a valuation for AVROBIO of $65 million, a valuation for the counterparty of $140 million, and potential concurrent private placement investments of $10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EE, a publicly listed company, submitted an indication of interest to AVROBIO proposing an asset sale by Party EE to AVROBIO in exchange for stock consideration of AVROBIO plus future tiered royalties on net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FF, a privately held company, submitted an indication of interest to AVROBIO proposing a reverse merger transaction, which contemplated a valuation for AVROBIO of $50 million and a valuation for the counterparty of $285 million, and did not specifically contemplate a potential concurrent private placement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GG, a privately held company, submitted an indication of interest to AVROBIO proposing a reverse merger transaction, which contemplated a valuation for AVROBIO of $53 million, a valuation for the counterparty of $90 million, and potential concurrent private placement investments of $30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HH, a privately held company, submitted an indication of interest to AVROBIO proposing a reverse merger transaction, which contemplated a valuation for AVROBIO of $60 million, a valuation for the counterparty of $84 million, and potential concurrent private placement investments of $80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II, a privately held company, submitted an indication of interest to AVROBIO proposing a reverse merger transaction, which contemplated a valuation for AVROBIO of $65 million, a valuation for the counterparty of $85 million, and potential concurrent private placement investments of $5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JJ, a privately held company, submitted an indication of interest to AVROBIO proposing a reverse merger transaction, which contemplated a valuation for AVROBIO of $75 million to $90 million, a valuation for the counterparty of $150 million to $225 million, and potential concurrent private placement investments of $50 million to $100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KK, a privately held company, submitted an indication of interest to AVROBIO proposing a reverse merger transaction, which contemplated a valuation for AVROBIO of $58 million and a valuation for the counterparty of $60 million, and did not specifically contemplate a potential concurrent private placement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Between August 12, 2023 and August 31, 2023, eight additional parties submitted indications of interest to AVROBIO,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12, 2023, Party LL, a publicly listed company, submitted an indication of interest to AVROBIO proposing an all-stock acquisition of AVROBIO by Party LL, which contemplated a valuation for AVROBIO of $56 million and a valuation for the counterparty of $312 million, and did not specifically contemplate a potential concurrent private placement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12, 2023, Party MM, a privately held company, submitted an indication of interest to AVROBIO proposing a reverse merger transaction, which contemplated a valuation for AVROBIO of $60 million, a valuation for the counterparty of $257 million, and potential concurrent private placement investments of $100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14, 2023, Party TT, a privately held company, submitted an indication of interest to AVROBIO proposing a reverse merger transaction, which contemplated a valuation for AVROBIO of $82 million and a valuation for the counterparty of $100 million, and did not specifically contemplate a potential concurrent private placement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17, 2023, Party NN, a privately held company, submitted an indication of interest to AVROBIO proposing a reverse merger transaction, which contemplated a valuation for AVROBIO of $65 million and a valuation for the counterparty of $225 million, and did not specifically contemplate a potential concurrent private placement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25, 2023, Party OO, a privately held company, submitted an indication of interest to AVROBIO proposing a reverse merger transaction, which contemplated a valuation for AVROBIO of $65 million and a valuation for the counterparty of $40 million, and did not specifically contemplate a potential concurrent private placement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29, 2023, Party PP, a privately held company, submitted an indication of interest to AVROBIO proposing a reverse merger transaction, which contemplated a valuation for AVROBIO of $50 million and a valuation for the counterparty of $40 million, and did not specifically contemplate a potential concurrent private placement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30, 2023, Parry QQ, a privately held company, submitted an indication of interest to AVROBIO proposing a reverse merger transaction, which contemplated a valuation for AVROBIO of $50 million and a valuation for the counterparty of $90 million, and did not specifically contemplate a potential concurrent private placement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31, 2023, Party RR, a privately held company, submitted a verbal proposal to AVROBIO proposing a reverse merger transaction, which contemplated a valuation for AVROBIO of $55 million, a valuation for the counterparty of $99 million, and potential concurrent private placement investments of $15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Throughout the period after AVROBIOs public announcement of the exploration of strategic alternatives on July 12, 2023 and the commencement of the distribution of process letters on July 18, 2023, members of AVROBIO management engaged in various management presentations and other due diligence activities with counterparties, certain sessions of which were attended by members of the Transaction Committee and representatives of TD Cowen, and the AVROBIO Transaction Committee met on multiple occasions, together with representatives of Goodwin and TD Cowen, to review and discuss the indications of interest, impressions of the quality and actionability of the companies as reverse merger counterparties against the Criteria and based on the management meetings and other due diligence activities, and to select counterparties with sufficiently compelling proposals to proceed to subsequent phases of due diligence and engagement. AVROBIO also entered into additional mutual confidentiality agreements with certain counterparties before advancing them to subsequent phases of due diligence,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24, 2023, AVROBIO and Party DD entered into a mutual confidentiality agreement, which did not include a standstill provision.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27, 2023, AVROBIO and Party W entered into a mutual confidentiality agreement, which did not include a standstill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28, 2023, AVROBIO and Party SS entered into a mutual confidentiality agreement, which did not include a standstill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S entered into a mutual confidentiality agreement, which did not include a standstill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U entered into a mutual confidentiality agreement, which did not include a standstill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BB entered into a mutual confidentiality agreement, which did not include a standstill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AVROBIO and Party II entered into a mutual confidentiality agreement, which did not include a standstill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AVROBIO and Party JJ entered into a mutual confidentiality agreement, which did not include a standstill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9, 2023, AVROBIO and Party LL entered into a mutual confidentiality agreement, which did not include a standstill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11, 2023, AVROBIO and Party TT entered into a mutual confidentiality agreement, which included a customary standstill provision binding on the counterparty which was subject to customary fallaway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14, 2023, AVROBIO and Party M entered into a mutual confidentiality agreement, which included a customary standstill provision binding on the counterparty which was subject to customary fallaway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2023, AVROBIO and Party MM entered into a mutual confidentiality agreement, which included a customary standstill provision binding on the counterparty which was subject to customary fallaway provisions.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this process, the Transaction Committee initially found the prospects of a reverse merger with Party J, Party M, Party O, Party Y, Party Z, Party CC or Party MM particularly compelling in relation to one or more of the Criteria, and members of AVROBIO management engaged in more extensive due diligence and management meetings with representatives of these parties, certain sessions of which were attended by members of the Transaction Committee and representatives of TD Cowen. The Transaction Committee subsequently determined to proceed to a term sheet with Party O given Party Os relative strengths in relation to the Criteria, including, but not limited to, the strength of Party Os scientific and clinical value propositions and business proposals, particularly in therapeutic areas that the Transaction Committee perceived were compelling, the quality of Party Os investor syndicate, and Party Os representation that its cash runway on a pro forma basis would be expected to extend into 2026. </w:t>
      </w:r>
    </w:p>
    <w:p>
      <w:pPr>
        <w:pStyle w:val="TextBody"/>
        <w:bidi w:val="0"/>
        <w:spacing w:before="240" w:after="0"/>
        <w:jc w:val="left"/>
        <w:rPr>
          <w:rFonts w:ascii="Times New Roman" w:hAnsi="Times New Roman"/>
          <w:sz w:val="20"/>
        </w:rPr>
      </w:pPr>
      <w:r>
        <w:rPr>
          <w:rFonts w:ascii="Times New Roman" w:hAnsi="Times New Roman"/>
          <w:sz w:val="20"/>
        </w:rPr>
        <w:t xml:space="preserve">On September 7, 2023, AVROBIO and Party O entered into a term sheet for a potential reverse merger transaction (the Party O Term Sheet), which, among other things, provided for a binding period of exclusivity that could be terminated by either party at its election, but not earlier than October 7, 2023. Following negotiations, the Party O Term Sheet contemplated a valuation for AVROBIO of $65 million (including $50 million of net cash at closing), a valuation for Party O of $231 million, and a potential concurrent PIPE investment of at least $100 million. For purposes of the negotiation and pendency of AVROBIOs potential strategic transaction with Party O, a member of the AVROBIO Board was recused from all such discussions given that investors affiliated with such director were investors in both AVROBIO and Party O.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execution of the Party O Term Sheet on September 7, 2023, representatives of Goodwin and outside counsel for Party O negotiated a potential merger agreement and other ancillary agreements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reverse merger transaction, and representatives of Party O and its financial advisor and placement agents, in collaboration with members of AVROBIO management and representatives of TD Cowen, marketed and worked to secure the PIPE investment.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2023, the AVROBIO Board held a meeting, at which members of AVROBIO management and representatives of Goodwin and TD Cowen were present. Among other things, members of AVROBIO management provided the Board with a preliminary analysis prepared by AVROBIO management regarding a potential liquidation of AVROBIO as compared to a reverse merger transaction. Following this discussion, the Board instructed AVROBIO management and its advisors to continue with the reverse merger process. </w:t>
      </w:r>
    </w:p>
    <w:p>
      <w:pPr>
        <w:pStyle w:val="TextBody"/>
        <w:bidi w:val="0"/>
        <w:spacing w:before="240" w:after="0"/>
        <w:jc w:val="left"/>
        <w:rPr>
          <w:rFonts w:ascii="Times New Roman" w:hAnsi="Times New Roman"/>
          <w:sz w:val="20"/>
        </w:rPr>
      </w:pPr>
      <w:r>
        <w:rPr>
          <w:rFonts w:ascii="Times New Roman" w:hAnsi="Times New Roman"/>
          <w:sz w:val="20"/>
        </w:rPr>
        <w:t xml:space="preserve">Beginning in early October 2023, and exacerbated by global events and macroeconomic conditions that transpired through that month, Party O began to experience significant difficulties securing PIPE commitments for the transaction. On October 7, 2023, AVROBIOs exclusivity period with Party O expired, but in accordance with the AVROBIO Transaction Committees direction, representatives of TD Cowen communicated to representatives of Party O that the Transaction Committee had approved providing Party O with additional time to secure the PIPE commitments. On October 13, 2023, at the direction of the AVROBIO Transaction Committee, representatives of TD Cowen further communicated to representatives of Party O that AVROBIO intended to terminate the exclusivity period if adequate PIPE commitments had not been secured by October 20, 2023. Accordingly, AVROBIO terminated the exclusivity period with Party O on October 20, 2023 and thereby terminated discussions for a strategic transaction with Party O.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2023, the AVROBIO Transaction Committee held a meeting, at which members of AVROBIO management and representatives of Goodwin and TD Cowen were present. TD Cowen updated the Transaction Committee on the termination of discussions for a strategic transaction with Party O. Representatives of Goodwin again reviewed with the Transaction Committee the directors fiduciary, strategic and other considerations relevant to an exploration of strategic alternatives for AVROBIO. The Transaction Committee discussed the viability of PIPE financing and deal certainty for reverse mergers under present market, economic and geopolitical circumstances, and discussed, with input from AVROBIO management and representatives of TD Cowen, potential counterparties across a range of types of strategic transactions. With respect to potential reverse merger transactions with privately held companies, the Transaction Committee also discussed initial impressions of quality and actionability across the Criteria enumerated by the AVROBIO Board, in particular as to deal certainty and private placement financing certainty in light of the failure of the prior process with Party O. Included among the potential counterparties assessed was Tectonic, with which representatives of TD Cowen indicated TD Cowen was familiar, having worked with Tectonic in the past on a potential business combination process. Following these discussions, the Transaction Committee authorized AVROBIO management and its advisors to engage or re-engage with a number of privately held counterparties (including Tectonic) to evaluate potential interest in a strategic transaction. These counterparties were primarily selected based on their desire to obtain financing and/or interest in becoming a public company, with an emphasis on the counterpartys perceived ability to execute a concurrent financing and AVROBIOs preliminary belief, through industry knowledge, in the strength of the counterpartys scientific and clinical value propositions and business proposals. Following the meeting, and at the direction of the Transaction Committee, representatives of TD Cowen contacted representatives of such counterparties regarding their interest in a reverse merger with AVROBIO. </w:t>
      </w:r>
    </w:p>
    <w:p>
      <w:pPr>
        <w:pStyle w:val="TextBody"/>
        <w:bidi w:val="0"/>
        <w:spacing w:before="240" w:after="0"/>
        <w:jc w:val="left"/>
        <w:rPr>
          <w:rFonts w:ascii="Times New Roman" w:hAnsi="Times New Roman"/>
          <w:sz w:val="20"/>
        </w:rPr>
      </w:pPr>
      <w:r>
        <w:rPr>
          <w:rFonts w:ascii="Times New Roman" w:hAnsi="Times New Roman"/>
          <w:sz w:val="20"/>
        </w:rPr>
        <w:t xml:space="preserve">Also on October 23, 2023, following an outreach by representatives of TD Cowen in accordance with AVROBIOs directions, representatives of Tectonic expressed interest in engaging in discussions with AVROBIO and requested to execute a mutual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2023, AVROBIO and Tectonic entered into a mutual confidentiality agreement, which included a customary standstill provision binding on Tectonic subject to customary fallaway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October 30, 2023 to November 2, 2023, in accordance with the direction of the Transaction Committee, TD Cowen distributed process letters on behalf of AVROBIO to various counterparties as authorized by the Transaction Committee, which invited such parties to submit preliminary proposals for a strategic transaction, consisting either of a stock-based reverse merger or merger of equals transaction or a cash-based transaction, by November 15, 2023. The parties receiving process letters or otherwise contacted consisted of Tectonic, Party N, Party R, Party Z, Party MM, Party UU, Party VV, Party WW, Party XX, Party YY, Party ZZ, Party AAA, Party BBB, Party CCC, Party DDD, Party EEE and Party FFF. </w:t>
      </w:r>
    </w:p>
    <w:p>
      <w:pPr>
        <w:pStyle w:val="TextBody"/>
        <w:bidi w:val="0"/>
        <w:spacing w:before="240" w:after="0"/>
        <w:jc w:val="left"/>
        <w:rPr>
          <w:rFonts w:ascii="Times New Roman" w:hAnsi="Times New Roman"/>
          <w:sz w:val="20"/>
        </w:rPr>
      </w:pPr>
      <w:r>
        <w:rPr>
          <w:rFonts w:ascii="Times New Roman" w:hAnsi="Times New Roman"/>
          <w:sz w:val="20"/>
        </w:rPr>
        <w:t xml:space="preserve">During this process, the Transaction Committee initially found the prospects of a reverse merger with Tectonic, Party R, Party Z, Party VV and Party DDD particularly compelling in relation to one or more of the Criteria, and members of AVROBIO management engaged in more extensive due diligence and management meetings with representatives of these parties, certain sessions of which were attended by members of the Transaction Committee and representatives of TD Cowen. The Transaction Committee subsequently determined to proceed to a term sheet with Tectonic given Tectonics relative strengths in relation to the Criteria, as described more fully below. </w:t>
      </w:r>
    </w:p>
    <w:p>
      <w:pPr>
        <w:pStyle w:val="TextBody"/>
        <w:bidi w:val="0"/>
        <w:spacing w:before="240" w:after="0"/>
        <w:jc w:val="left"/>
        <w:rPr>
          <w:rFonts w:ascii="Times New Roman" w:hAnsi="Times New Roman"/>
          <w:sz w:val="20"/>
        </w:rPr>
      </w:pPr>
      <w:r>
        <w:rPr>
          <w:rFonts w:ascii="Times New Roman" w:hAnsi="Times New Roman"/>
          <w:sz w:val="20"/>
        </w:rPr>
        <w:t xml:space="preserve">On November 1, 2023, AVROBIO and Party R entered into a mutual confidentiality agreement, which included a customary standstill provision binding on the counterparty which was subject to customary fallaway provisions.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2023, Party R, a privately held company, submitted a written indication of interest to AVROBIO proposing a reverse merger transaction (the Party R November 2, 2023 Proposal). The Party R November 2, 2023 Proposal contemplated a valuation for AVROBIO of $80 million (including $65 million of net cash at closing, reflecting an increase in AVROBIOs cash position relative to the prior reverse merger process in September 2023), a valuation for Party R of $225 million, and potential concurrent PIPE investments from existing investors in Party R of $40 million plus potential additional PIPE investments of at least $40 million. The Party R November 2, 2023 Proposal also communicated Party Rs willingness to offer contingent value rights (CVRs) to pre-closing AVROBIO shareholders in connection with any post-closing transaction to monetize AVROBIOs pre-closing assets. The Party R November 2,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2023, members of AVROBIO management held a management meeting with representatives of Party R to conduct, among other things, general business due diligence with respect to Party R.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8, 2023, members of AVROBIO management held a management meeting with representatives of Tectonic to conduct, among other things, general business due diligence with respect to Tectonic.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2023, the AVROBIO Transaction Committee held a meeting, at which members of AVROBIO management and representatives of Goodwin and TD Cowen were present. The members of the Transaction Committee discussed their impressions of the quality and actionability of Tectonic and Party R as reverse merger counterparties stemming from their evaluation of these companies and the management meetings held over the past one to two weeks. Members of the Transaction Committee expressed preliminary uncertainties regarding Party Rs fundamental business and pipeline and, thus, Party Rs ability to meet one or more of the Criteria as compared to Tectonic. These uncertainties included, without limitation, the risk that Party Rs clinical data, which was generated primarily in ex-U.S. settings, might not translate to U.S. FDA approval, the relatively limited peak sales potential of Party Rs lead pipeline asset, the relative weakness of the timing and likelihood of meaningful clinical and regulatory inflection points, Party Rs relative lack of readiness to become a U.S. publicly listed company, the limited familiarity with Party Rs non-U.S. and non-biotech specialist investors and Party Rs representation that its cash runway on a pro forma basis would be expected to extend through 2025 only. Given these uncertainties, the Transaction Committee elected not to make a counterproposal to Party R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time. The Transaction Committee also authorized AVROBIO management and its advisors to prepare a form term sheet to be proposed to the counterparty ultimately selected by the Transaction Committee. At this meeting, representatives of TD Cowen also again noted for the Transaction Committee that TD Cowen previously had assisted Tectonic on a potential business combination process, indicating that Tectonic had withdrawn from such process in September 2023 and that TD Cowen had not been formally engaged by, and had not received any investment banking or other financial services revenue (nor was any such revenue contemplated to be received) from, Tectonic for such services.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11, 2023, Tectonic submitted a written indication of interest to AVROBIO proposing a reverse merger transaction (the Tectonic November 11, 2023 Proposal). The Tectonic November 11, 2023 Proposal contemplated a valuation for AVROBIO of $70 million (including a targeted $65 million of net cash at closing and a $5 million proposed valuation of AVROBIOs public company listing), a valuation for Tectonic of $150 million (which was equal to the agreed upon valuation of Tectonic in a recently negotiated term sheet for a transaction Tectonic and the Tectonic Board had previously considered), and a potential concurrent private placement investment in a range of $125 million to $150 million to help fund the combined company following the merger. The Tectonic November 11, 2023 Proposal also communicated Tectonics willingness to offer CVRs or other monetization mechanisms to pre-closing AVROBIO shareholders in connection with any post-closing transaction to monetize AVROBIOs pre-closing assets. The Tectonic November 11,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2023, Party VV and Party DDD each submitted a written indication of interest to AVROBIO proposing a reverse merger transaction (the Party VV November 14, 2023 Proposal and the Party DDD November 14, 2023 Proposal). The Party VV November 14, 2023 Proposal contemplated a valuation for AVROBIO of $80 million (including a targeted $65 million of net cash at closing), a valuation for the counterparty of $114 million, and a potential concurrent private placement investment of $45 million. The Party VV November 14, 2023 Proposal also communicated the counterpartys willingness to offer CVRs or other monetization mechanisms to pre-closing AVROBIO shareholders in connection with any post-closing transaction to monetize AVROBIOs pre-closing assets. The Party DDD November 14, 2023 Proposal contemplated a valuation for AVROBIO of $75 million (including a targeted $65 million of net cash at closing), a valuation for the counterparty of $407 million, and a potential concurrent private placement investment of $100 million. The Party DDD November 14, 2023 Proposal also communicated the counterpartys willingness to offer CVRs or other monetization mechanisms to pre-closing AVROBIO shareholders in connection with any post-closing transaction to monetize AVROBIOs pre-closing assets. The Party VV November 14, 2023 Proposal and the Party DDD November 14, 2023 Proposal were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2023, in accordance with the direction of the AVROBIO Transaction Committee, representatives of TD Cowen verbally communicated AVROBIOs counterproposal to Tectonic, reflecting a valuation for AVROBIO of $85 million (including a targeted $65 million of net cash at closing and a $20 million proposed combined valuation of AVROBIOs public company listing and pre-closing assets), a valuation for Tectonic of $130 million (reflecting AVROBIOs desire to achieve a more favorable valuation for its shareholders), and a potential concurrent private placement investment in a range of $125 million to $150 million to help fund the combined company following the merger (as had been contemplated in the Tectonic November 11, 2023 Proposal) (the AVROBIO November 15, 2023 Proposal to Tectonic).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15, 2023, Party N, Party CCC and Party EEE each submitted a written indication of interest to AVROBIO proposing a reverse merger transaction (the Party N November 15, 2023 Proposal, the Party CCC November 15, 2023 Proposal and the Party EEE November 15, 2023 Proposal). The Party N November 15, 2023 Proposal contemplated a valuation for AVROBIO of $75 million (including a targeted $65 million of net cash at closing) and a valuation for the counterparty of $223 million, and did not specifically contemplate a potential concurrent private placement investment. The Party N November 15, 2023 Proposal also communicated the counterpartys willingness to offer CVRs or other monetization mechanisms to pre-closing AVROBIO shareholders in connection with any post-closing transaction to monetize AVROBIOs pre-closing assets. The Party CCC November 15, 2023 Proposal contemplated a valuation for AVROBIO of $75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 targeted $65 million of net cash at closing), a valuation for the counterparty of $250 million, and a potential concurrent private placement investment of $50 million. The Party CCC November 15, 2023 Proposal also communicated the counterpartys willingness to offer CVRs or other monetization mechanisms to pre-closing AVROBIO shareholders in connection with any post-closing transaction to monetize AVROBIOs pre-closing assets. The Party EEE November 15, 2023 Proposal contemplated a valuation for AVROBIO of $90 million (including a targeted $65 million of net cash at closing) and a valuation for the counterparty of $210 million, and expressed openness to discuss a potential concurrent private placement investment with AVROBIO. The Party EEE November 15, 2023 Proposal also communicated the counterpartys willingness to offer CVRs or other monetization mechanisms to pre-closing AVROBIO shareholders in connection with any post-closing transaction to monetize AVROBIOs pre-closing assets. The Party N November 15, 2023 Proposal, the Party CCC November 15, 2023 Proposal and the Party EEE November 15, 2023 Proposal were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16, 2023, Party Z submitted a written indication of interest to AVROBIO proposing a reverse merger transaction (the Party Z November 16, 2023 Proposal). The Party Z November 16, 2023 Proposal contemplated a valuation for AVROBIO of $75 million (including a targeted $65 million of net cash at closing), a valuation for the counterparty of $165 million, and a potential concurrent private placement investment of $45 million. The Party Z November 16, 2023 Proposal also communicated the counterpartys willingness to offer CVRs or other monetization mechanisms to pre-closing AVROBIO shareholders in connection with any post-closing transaction to monetize AVROBIOs pre-closing assets. The Party Z November 16,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2023, the AVROBIO Transaction Committee held a meeting, at which members of AVROBIO management and representatives of Goodwin and TD Cowen were present. The members of the Transaction Committee continued to discuss their impressions of the quality and actionability of Tectonic and Party R as reverse merger counterparties stemming from their evaluation of these companies and the management meetings held over the past several weeks, including the terms proposed by the Party R November 2, 2023 Proposal as well as the Tectonic November 11, 2023 Proposal and the AVROBIO November 15, 2023 Proposal to Tectonic. The members of the Transaction Committee discussed positive considerations with respect to Party R, such as Party Rs relatively advanced clinical data, despite the fact that it was primarily generated in an ex-U.S. setting, and a relatively competitive economic split proposed by Party R. However, members of the Transaction Committee continued to express concerns about Party Rs ability to meet one or more of the Criteria as compared to Tectonic, as described above from the Transaction Committees November 10, 2023 meeting. The members also discussed the other proposals received and mentioned above and did not view them to be sufficiently compelling with respect to at least one of the Criteria and therefore determined not to advance them to the term sheet and exclusivity phase of the process. The Transaction Committee instructed AVROBIO management and its advisors to continue to evaluate both companies and negotiate terms with both companies.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2023, members of AVROBIO management held a management meeting with representatives of Tectonic to conduct, among other things, data and regulatory due diligence matters with respect to Tectonic.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21, 2023, representatives of Tectonic verbally provided a counterproposal to AVROBIO, reflecting a valuation for AVROBIO of $72.5 million (including a targeted $65 million of net cash at closing and a $7.5 million proposed valuation of AVROBIOs public company listing), a valuation for Tectonic of $140 million, and a potential concurrent private placement investment of at least $114.5 million to help fund the combined company following the merger (the Tectonic November 21, 2023 Proposal). The Tectonic November 21,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22, 2023, members of AVROBIO management held a management meeting with representatives of Tectonic to conduct, among other things, financial due diligence with respect to Tectonic. Representatives of TD Cowen also attended this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27, 2023, members of AVROBIO management held a management meeting with representatives of Tectonic to conduct, among other things, intellectual property due diligence with respect to Tectonic.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27, 2023, the AVROBIO Transaction Committee held a meeting, at which members of AVROBIO management and representatives of Goodwin and TD Cowen were present. The members of the Transaction Committee continued to discuss their impressions of the quality and actionability of Tectonic and Party R as reverse merger counterparties stemming from their evaluation of these companies and the management meetings held over the past several weeks. TD Cowen updated the Transaction Committee regarding the negotiations on the economics of a potential reverse merger with Tectonic over the past several days. Following discussion, the Transaction Committee determined that, subject to further negotiation, and in light of the Transaction Committees continued concerns about Party Rs ability to meet one or more of the Criteria as compared to Tectonic, Tectonic would likely be the most compelling counterparty with which AVROBIO should proceed to the term sheet phase of transaction negotiations. Among other things, the Transaction Committee found particularly compelling Tectonics perceived large total addressable market, existing and potentially new investor base and reputable management team. In addition, the Transaction Committee reiterated its continued concerns about Party Rs fundamental business and pipeline attributes, and determined a counterproposal to Party R would not be warranted. Therefore, the Transaction Committee authorized AVROBIO management to submit AVROBIOs form of term sheet to Tectonic, in which AVROBIO would (i) propose a valuation for AVROBIO of $80 million (including a targeted $65 million of net cash at closing and a $15 million proposed combined valuation of AVROBIOs public company listing and pre-closing assets), agree to a valuation for Tectonic of $140 million (as had been contemplated in the Tectonic November 21, 2023 Proposal) which economic allocation implied a post-closing ownership split of 36.4% for AVROBIO and 63.6% for Tectonic, in each case without taking into account the private placement, (ii) agree to the issuance of CVRs to AVROBIO stockholders in connection with any post-closing transaction to monetize AVROBIOs pre-closing assets as contemplated in the Tectonic November 11, 2023 Proposal with a covenant that the combined company would use commercially reasonable efforts to dispose of AVROBIOs pre-closing assets, (iii) propose a potential concurrent private placement investment in a range of $125 million to $150 million to help fund the combined company following the merger, and (iv) propose a broad definition of AVROBIO cash at closing for potential equity allocation adjustment purposes. This form term sheet was silent as to (a) the treatment of AVROBIO equity awards and (b) any closing condition relating to a minimum level of AVROBIO cash at closing. The Transaction Committee also authorized AVROBIO management to communicate to representatives of Party R that AVROBIO would not be further engaging with Party R toward a strategic transaction at this time. In executive session with the representatives of TD Cowen absent, the Transaction Committee also discussed TD Cowens material relationships disclosure relating to Tectonic previously communicated to the Transaction Committee and determined that TD Cowens prior relationship with Tectonic would not reasonably be expected to adversely affect TD Cowens services to AVROBIO in connection with the contemplated transaction involving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27, 2023, the draft term sheet as described above was provided to representatives of Tectonic.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2023, representatives of Tectonic submitted a markup of the draft term sheet to representatives of AVROBIO (the Tectonic December 1, 2023 Proposal). Among other things, the Tectonic December 1, 2023 Proposal counterproposed a valuation for AVROBIO of $77.5 million (including a targeted $65 million of net cash at closing and a $12.5 million proposed valuation of AVROBIOs public company listing), a valuation for Tectonic of $140 million (as had been agreed at this point with AVROBIO), which economic allocation implied a post closing ownership split of 35.6% for AVROBIO and 64.4% for Tectonic, in each case without taking into account the private placement, and a concurrent private placement investment of at least $114.5 million in the aggregate to help fund the combined company following the merger, which would include a private placement to be consummated concurrently with the closing of a reverse merger, pre-existing simple agreement for future equity (SAFE) financings entered into by Tectonic for capital-raising purposes, and any additional capital raised by Tectonic for capital-raising purposes after the Tectonic December 1, 2023 Proposal. The Tectonic December 1, 2023 Proposal also (a) rejected the commercially reasonable efforts covenant binding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 with respect to the disposition of AVROBIOs pre-closing assets and the CVRs, and instead proposed that a designee of AVROBIO would be permitted to explore such dispositions, (b) deleted AVROBIOs proposed definition of AVROBIO cash at closing and instead proposed that such definition be deferred to the negotiation of definitive agreements, and (c) introduced a closing condition relating to a minimum level of AVROBIO cash at closing (without specifying a particular amount). The Tectonic December 1,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1, 2023, the AVROBIO Transaction Committee held a meeting, at which members of AVROBIO management and representatives of Goodwin and TD Cowen were present. The Transaction Committee discussed the Tectonic December 1, 2023 Proposal, including the cash runway provided by the concurrent private placement amount that Tectonic was proposing and the bifurcation of such amount between private financings and SAFE financings. The Transaction Committee also accepted Tectonics proposed valuation of $77.5 million for AVROBIO, noting that a $12.5 million valuation of a public listing ascribed by the private company is within market range with respect to recent reverse merger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2023, TD Cowen provided a formal material relationships disclosure to the AVROBIO Board, which indicated no material change in the information relating to Tectonic previously relayed by TD Cowen to the Transaction Committee and that TD Cowen otherwise had no material relationships with Tectonic during the two-year period prior to such disclosures for which Cowen received any investment banking or other financial services revenue.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5, 2023, the AVROBIO Board held a meeting, at which members of AVROBIO management and representatives of Goodwin and TD Cowen were present. Members of AVROBIO management reviewed their key due diligence findings with respect to Tectonic. Representatives of Goodwin reviewed the key terms of the term sheet under negotiation with Tectonic, including the key economic terms contemplated for the reverse merger transaction and the binding period of exclusivity to be entered into, and provided an overview of legal considerations in connection with a potential transaction, including the directors fiduciary duties under Delaware law in the context of a strategic transaction (including mergers, acquisitions and dissolution). All members of the AVROBIO Board were also asked to disclose any relationships they may have with Tectonic or any member of its board of directors, for which no relationships were identified. Following discussion, the AVROBIO Board authorized AVROBIO management and its advisors to continue to negotiate the term sheet with Tectonic and to enter into the term sheet with Tectonic (including with respect to the binding exclusivity period) substantially on the terms reviewed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From December 5, 2023 to December 13, 2023, representatives of AVROBIO and Tectonic continued to negotiate the detailed terms of the term sheet. With respect to the term sheets provisions regarding the CVR arrangement, Tectonic agreed that the post-closing combined company would be required to exercise commercially reasonable efforts (the exact definition of which would be negotiated as part of the definitive CVR Agreement) to dispose of AVROBIOs pre-closing assets, but took the position that such efforts would apply only after the combined companys receipt of an unsolicited inbound offer for such assets. Representatives of AVROBIO, in consultation with members of the Transaction Committee, accepted this position, given the extensive and proactive market check that AVROBIO had conducted with respect to its assets. Additionally, AVROBIO took the position that, for purposes of closing certainty in light of Tectonics proposal for some minimum level of AVROBIO cash at closing as a closing condition, either (a) such level must be specified in the term sheet and/or (b) the definition of AVROBIO cash at closing must be agreed to in the term sheet. In response, Tectonic proposed (i) that such level for the minimum cash closing condition be set at $62.5 million and (ii) a detailed definition for AVROBIO cash at closing which contained a broad scope of potential deductions. Further in response, AVROBIO proposed (A) a level for the minimum cash closing condition of $45 million and (B) a detailed definition for AVROBIO cash at closing, which contained a lesser scope of potential deductions than that proposed by Tectonic. Further in response, Tectonic proposed (1) a level for the minimum cash closing condition of $50 million and (2) again that the exact definition of AVROBIO cash at closing be deferred to the negotiation of definitive agreements. Given that AVROBIO was comfortable that the $50 million level conferred a degree of closing certainty, AVROBIO agreed to the $50 million level and to defer the exact definition of AVROBIO cash at closing as proposed by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7, 2023, AVROBIO and Party GGG entered into a mutual confidentiality agreement, which included a customary standstill provision binding on the counterparty which was subject to customary fallaway provisions. Later on December 7, 2023, Party GGG submitted a written indication of interest to AVROBIO proposing a reverse merger transaction (the Party GGG December 7, 2023 Proposal). The Party GGG December 7, 2023 Proposal contemplated a valuation for AVROBIO of $71.5 million (including a targeted $65 million of net cash at closing), a valuation for the counterparty of $150 million, and potential concurrent private placement investments of $35 million. The Party GGG December 7, 2023 Proposal also communicated the counterpartys willingness to offer CVRs or other monetization mechanisms to pre-closing AVROBIO shareholders in connection with any post-closing transaction to monetize AVROBIOs pre-closing assets. The Party GGG December 7,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2023, in accordance with the direction of the AVROBIO Board, AVROBIO and Tectonic entered into the term sheet for a potential reverse merger transaction (the Tectonic Term Sheet), which, among other things (including as contemplated by the second paragraph preceding this paragraph), provided for (i) a binding period of exclusivity that may be terminated by either party at its election, but not earlier than January 15, 2024 (the minimum exclusivity period) and (ii) a post-closing ownership split of 64.3% for Tectonic and 35.6% for AVROBIO, in each case without taking into account the private placement, reflective of respective valuations for AVROBIO of $77.5 million (including a targeted $65 million of net cash at closing), for Tectonic of $140 million, and a concurrent private placement investment of at least $114.5 million in the aggregate to help fund the combined company following the merger, which would include a private placement to be consummated concurrently with the closing of a reverse merger, pre-existing simple agreement for future equity (SAFE) financings entered into by Tectonic for capital-raising purposes, and any additional capital raised by Tectonic for capital-raising purposes after the date of the Tectonic Term Sheet up to $24 million (these agreed-upon valuation amounts would remain unchanged in the definitive Merger Agreement). The executed term sheet remained silent as to the treatment of AVROBIO equity awards.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13, 2023, members of Tectonic management contacted representatives of TD Cowen and requested that TD Cowen serve alongside Leerink Partners LLC (Leerink) as a placement agent for Tectonic in connection with its concurrent private placement financings. This request was promptly disclosed to members of AVROBIO management and members of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14, 2023, in accordance with the direction of the AVROBIO Board, Goodwin delivered an initial draft of the Merger Agreement to Cooley LLP, outside counsel to Tectonic (Cooley). The initial draft was consistent with the term sheet terms agreed to and summarized in the second paragraph preceding this paragraph, and included the following terms, among others: (i) a reverse merger structure, (ii) a mechanism for contingent payments to AVROBIOs stockholders via a CVR arrangement, (iii) reciprocal representations and warranties and interim operating covenants with respect to AVROBIO and Tectonic, (iv) termination fees for AVROBIO and Tectonic upon termination for certain specific conditions, and (v) the treatment of AVROBIO equity awards in connection with the merger, including the acceleration of options and RSUs and the extension of the exercise period pertaining to certain options. Thereafter and through January 29, 2024, representatives of AVROBIO, Tectonic, Goodwin and Cooley negotiated the terms of the Merger Agreement. This included the mechanics by which the AVROBIO stock consideration would be issued to Tectonic shareholders and concurrent private placement investors, in accordance with the agreed-upon equity allocations in the combined company, which mechanics took the form of the exchange ratio mechanism described more fully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December 18, 2023, at the direction of the Transaction Committee, TD Cowen informed representatives of Party R and Party GGG that the members of the AVROBIO Board had decided to proceed with other potential counterparties. With respect to Party GGG, the Transaction Committee negatively viewed Party GGGs heightened need for external financing and status as an existing public company listed on an non-U.S. securities exchange, which the Transaction Committee believed could introduce additional transaction risk while not enabling Party GGG to capitalize on the value of AVROBIOs public listing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19, 2023, members of AVROBIO management were introduced to representatives of Houlihan Lokey to discuss Houlihan Lokeys potential engagement as a co-financial advisor to AVROBIO to provide a fairness opinion to the AVROBIO Board in connection with a potential strategic transaction with Tectonic, given the request for TD Cowen to serve as a placement agent for Tectonic along with Leerink. </w:t>
      </w:r>
    </w:p>
    <w:p>
      <w:pPr>
        <w:pStyle w:val="TextBody"/>
        <w:bidi w:val="0"/>
        <w:spacing w:before="240" w:after="0"/>
        <w:jc w:val="left"/>
        <w:rPr>
          <w:rFonts w:ascii="Times New Roman" w:hAnsi="Times New Roman"/>
          <w:sz w:val="20"/>
        </w:rPr>
      </w:pPr>
      <w:r>
        <w:rPr>
          <w:rFonts w:ascii="Times New Roman" w:hAnsi="Times New Roman"/>
          <w:sz w:val="20"/>
        </w:rPr>
        <w:t xml:space="preserve">Also on December 19, 2023, the AVROBIO Transaction Committee held a meeting, at which members of AVROBIO management and representatives of Goodwin and TD Cowen were present. Representatives of TD Cowen provided an update on the transaction process and timing, including with respect to Tectonics concurrent private placement financings. In executive session with the representatives of TD Cowen absent, the Transaction Committee discussed the advisability of engaging a co-financial advisor to AVROBIO to provide a fairness opinion in connection with a potential strategic transaction with Tectonic, given the request for TD Cowen to serve as a placement agent for Tectonic along with Leerink. Following discussion, the Transaction Committee determined that it would be in the best interests of AVROBIO and its stockholders for a co-financial advisor to be engaged for purposes of providing a fairness opinion. The Transaction Committee authorized members of AVROBIO management to engage Houlihan Lokey for such purposes, noting, among other things, Houlihan Lokeys qualifications, extensive experience and reputation, and knowledge of and involvement in recent transactions in AVROBIOs industry. </w:t>
      </w:r>
    </w:p>
    <w:p>
      <w:pPr>
        <w:pStyle w:val="TextBody"/>
        <w:bidi w:val="0"/>
        <w:spacing w:before="240" w:after="0"/>
        <w:jc w:val="left"/>
        <w:rPr>
          <w:rFonts w:ascii="Times New Roman" w:hAnsi="Times New Roman"/>
          <w:sz w:val="20"/>
        </w:rPr>
      </w:pPr>
      <w:r>
        <w:rPr>
          <w:rFonts w:ascii="Times New Roman" w:hAnsi="Times New Roman"/>
          <w:sz w:val="20"/>
        </w:rPr>
        <w:t xml:space="preserve">On December 22, 2023, in accordance with the direction of the AVROBIO Board, Goodwin delivered an initial draft of the CVR Agreement to Cooley. Thereafter and through January 29, 2024, representatives of AVROBIO, Tectonic, Goodwin and Cooley negotiated the terms of the CVR Agreement alongside the negotiation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24, 2023, Cooley delivered a markup of the Merger Agreement to Goodwin which accepted (i) the reverse merger structure, (ii) a mechanism for contingent payments to AVROBIOs stockholders through a CVR arrangement, (iii) reciprocal representations and warranties and interim operating covenants with respect to AVROBIO and Tectonic, (iv) the treatment of AVROBIO equity awards in connection with the merger, including the acceleration of options and RSUs and the extension of the exercise period pertaining to certain options, (v) a closing condition requiring AVROBIO to have a minimum $50 million cash at closing, and (v) the calculation of the exchange ratio reflective of the respective valuations of Tectonic and AVROBIO. The markup also, among other things, (i) made proposals with respect to the permitted deductions in the calculation of AVROBIOs net cash and transaction expenses, (ii) added potential termination rights in the event of a delisting of AVROBIO common stock from Nasdaq, (iii) expanded Tectonics ability to evaluate and respond to unsolicited proposals and change the recommendation of its board of directors in favor of the merger, (iv) restricted AVROBIOs ability to accept a superior proposal or terminate the merger for a material adverse effect on Tectonic, and (v) restricted AVROBIOs consent rights over changes to Tectonics concurrent private placement financing.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2024, in accordance with the direction of the AVROBIO Board, Goodwin delivered initial drafts of certain ancillary agreements associated with the merger to Cooley. Thereafter and through January 29, 2024, representatives of AVROBIO, Tectonic, Goodwin and Cooley negotiated the terms of the ancillary agreements alongside the negotiation of the Merger Agreement and the CVR Agreement. Concurrently, Goodwin also delivered a markup of the Merger Agreement to Cooley, which, among other things, (i) made counterproposals with respect to the permitted deductions in the calculation of AVROBIOs net cash and transaction expenses, (ii) counterproposed the addition of closing conditionality for the continued listing of AVROBIO common stock on Nasdaq, (iii) largely accepted Tectonics ability to evaluate and respond to unsolicited proposals and change the recommendation of its board of directors in favor of the merger, so long as Tectonic would be prohibited from terminating the merger and Tectonics supporting stockholders would be prohibited from terminating their support obligations, (iv) made counterproposals with respect to AVROBIOs ability to accept a superior proposal or terminate the merger for a material adverse effect on Tectonic, and (v) made counterproposals with respect to AVROBIOs consent rights over changes to Tectonics concurrent private placement financing. Thereafter, between January 12, 2024 through January 29, 2024, members of AVROBIO and Tectonic management and representatives of Goodwin and Cooley negotiated the remaining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terms of the Merger Agreement, including via negotiation calls among the parties on January 12, 2024, January 19, 2024, January 28, 2024 and 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On January 12, 2024, the AVROBIO Transaction Committee held a meeting, at which members of AVROBIO management and representatives of Goodwin, TD Cowen and Houlihan Lokey were present. Representatives of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2024, on account of the lapse of the minimum exclusivity period under the Tectonic Term Sheet and the continued, active pendency of the transaction, AVROBIO and Tectonic amended the Tectonic Term Sheet to extend the minimum exclusivity period to 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On January 26, 2024, the AVROBIO Transaction Committee held a meeting, at which members of AVROBIO management and representatives of Goodwin, TD Cowen and Houlihan Lokey were present. Representatives of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and provided an overview of legal considerations in connection with a potential transaction, including the directors fiduciary duties under Delaware law in the context of a strategic transaction (including mergers, acquisitions and dissolution), the management of any actual or potential conflicts, and the transaction process. Representatives of Houlihan Lokey then reviewed Houlihan Lokeys preliminary financial analyses with respect to AVROBIO, Tectonic and the exchange ratio presently contemplated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meeting, members of AVROBIO management also provided the Transaction Committee with an analysis prepared by AVROBIO management regarding a potential liquidation or dissolution of AVROBIO (the liquidation case) as compared to a potential reverse merger transaction with Tectonic (the reverse merger case) (collectively, the liquidation analysis), as more fully described in the section of this proxy statement/prospectus titled   </w:t>
      </w:r>
      <w:r>
        <w:rPr>
          <w:rFonts w:ascii="Times New Roman" w:hAnsi="Times New Roman"/>
          <w:i/>
          <w:sz w:val="20"/>
        </w:rPr>
        <w:t>AVROBIO Liquidation Analysis</w:t>
      </w:r>
      <w:r>
        <w:rPr>
          <w:rFonts w:ascii="Times New Roman" w:hAnsi="Times New Roman"/>
          <w:sz w:val="20"/>
        </w:rPr>
        <w:t xml:space="preserve">. The liquidation case of the liquidation analysis provided two separate scenarios, one of which assumed a transition of AVROBIOs operations to a dissolution administrator in July 2024 (the July 2024 liquidation case), and the second of which assumed a transition of AVROBIOs operations to a dissolution administrator in October 2024 (the October 2024 liquidation case) (such assumed July 2024 and October 2024 dates, the transition dates). In selecting the July 2024 transition date for the July 2024 liquidation case, AVROBIO accounted for certain contractual obligations of AVROBIO that last through the end of June 2024 and that could reasonably be expected to impede AVROBIOs ability to liquidate prior thereto. Under both the July 2024 liquidation case and the October 2024 liquidation case, based on internal data, AVROBIO management assumed (A) that sources of cash would consist of an estimated cash balance as of January 22, 2024 equal to $94.7 million, plus cash flow generated from interest income through the respective transition dates, from which was deducted (B) various categories of uses of cash through the respective transition dates, including the present value of cash reserves established in respect of potential future claims and litigations in connection with the liquidations. The resulting implied equity values of AVROBIO equaled approximately $68.7 million in the October 2024 liquidation scenario and $72.6 million in the July 2024 liquidation scenario. </w:t>
      </w:r>
    </w:p>
    <w:p>
      <w:pPr>
        <w:pStyle w:val="TextBody"/>
        <w:bidi w:val="0"/>
        <w:spacing w:before="240" w:after="0"/>
        <w:jc w:val="left"/>
        <w:rPr>
          <w:rFonts w:ascii="Times New Roman" w:hAnsi="Times New Roman"/>
          <w:sz w:val="20"/>
        </w:rPr>
      </w:pPr>
      <w:r>
        <w:rPr>
          <w:rFonts w:ascii="Times New Roman" w:hAnsi="Times New Roman"/>
          <w:sz w:val="20"/>
        </w:rPr>
        <w:t xml:space="preserve">In the reverse merger case, AVROBIO management assumed a completion date for the reverse merger of May 31, 2024. As compared to the liquidation case, the reverse merger case included (i) certain costs applicable only to the reverse merger case, such as financial advisor contingent fees and change-in-control payments to AVROBIO employees, and (ii) certain value ascribed by Tectonic to AVROBIO in excess of its ending net cash position, including with respect to the value of its public company listing, in the amount of $12.5 million. The resulting implied equity value of AVROBIO in the reverse merger case equaled approximately $87.5 million as of the assumed reverse merger completion date of May 31, 2024. The Transaction Committee noted that (1) the equity value of AVROBIO implied by the reverse merger case delivered more value to AVROBIO stockholders than those implied by either of the liquidation cases, (2) while the equity value of AVROBIO implied by the reverse merger case as of the assumed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reverse merger completion date of May 31, 2024 was based on estimated net cash as of such date of $75 million, applying any level of net cash equally across the three scenarios yielded a higher value for the reverse merger case, and (3) while the Merger Agreements equity allocation to AVROBIO stockholders assumed a valuation for AVROBIO of $77.5 million, which was based on a targeted $65 million of net cash at closing, the actual equity allocation to AVROBIO stockholders at closing would be increased on a dollar-for-dollar basis (subject to a $0.5 million hurdle) if AVROBIOs net cash at closing was higher than $65 million; see the section of this proxy statement/prospectus titled Description of the Merger Agreement for a more fulsome description. This would thereby confer additional equity value to AVROBIO stockholders on a dollar-for-dollar basis (subject to the aforementioned hurdle) in the event that AVROBIOs closing net cash actually approximates $75 million. Following discussion, the Transaction Committee authorized Houlihan Lokey to utilize the liquidation analysis prepared by AVROBIO management in Houlihan Lokeys financial analyses with respect to AVROBIO, Tectonic and the exchange ratio presently contemplated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2024, Houlihan Lokey provided AVROBIO with certain disclosures for the AVROBIO Board, indicating, among other things, that Houlihan Lokey had no material relationships with Tectonic during the two-year period prior to such disclosures for which Houlihan Lokey received any investment banking or other financial services revenue. </w:t>
      </w:r>
    </w:p>
    <w:p>
      <w:pPr>
        <w:pStyle w:val="TextBody"/>
        <w:bidi w:val="0"/>
        <w:spacing w:before="240" w:after="0"/>
        <w:jc w:val="left"/>
        <w:rPr>
          <w:rFonts w:ascii="Times New Roman" w:hAnsi="Times New Roman"/>
          <w:sz w:val="20"/>
        </w:rPr>
      </w:pPr>
      <w:r>
        <w:rPr>
          <w:rFonts w:ascii="Times New Roman" w:hAnsi="Times New Roman"/>
          <w:sz w:val="20"/>
        </w:rPr>
        <w:t xml:space="preserve">Later on January 28, 2024, the AVROBIO Board held a meeting, at which members of AVROBIO management and representatives of Goodwin, TD Cowen and Houlihan Lokey were present.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Representatives of Houlihan Lokey then presented Houlihan Lokeys preliminary financial analyses with respect to AVROBIO, Tectonic and the exchange ratio presently contemplated for the merger, which included reference to the liquidation analysis prepared by AVROBIO management that was presented to and approved by the AVROBIO Transaction Committee at its meeting of January 26, 2024. Following Houlihan Lokeys presentation, the AVROBIO Board discussed Houlihan Lokeys preliminary financial analyses and AVROBIO managements liquidation analysis and determined that the reverse merger with Tectonic as contemplated by AVROBIO managements reverse merger case would be in the best interests of AVROBIOs stockholders, relative to a liquidation of AVROBIO as contemplated by AVROBIO managements liquidation case.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AVROBIO Board held a series of meetings, at each of which members of AVROBIO management and representatives of Goodwin, TD Cowen and Houlihan Lokey were present. Representatives of Goodwin discussed the Merger Agreement, the CVR Agreement, the subscription agreements and certain other ancillary documents. Representatives of Goodwin then discussed fiduciary duties under Delaware law in connection with the merger, which had been discussed with the AVROBIO Board throughout the process. At the request of the AVROBIO Board, Houlihan Lokey then reviewed and discussed its financial analyses with respect to AVROBIO, Tectonic and the proposed Merger. Thereafter, at the request of the AVROBIO Board, Houlihan Lokey orally rendered its opinion to the AVROBIO Board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was fair, from a financial point of view, to AVROBIO. After further discussion, based on the factors cited in the section of this proxy statement/prospectus titled AVROBIOs Reasons for the Merger, the AVROBIO Board unanimously: (i) determined that the Contemplated Transactions are fair to, advisable and in the best interests of AVROBIO and its stockholders, (ii) approved and declared advisable the Merger Agreement and the Contemplated Transactions, including the issuance of shares of AVROBIO Common Stock to the stockholders of Tectonic pursuant to the terms of the Merger Agreement, and (iii) determined to recommend, upon the terms and subject to the conditions set forth in the Merger Agreement, that the stockholders of AVROBIO vote (A) to approve the issuance of shares of AVROBIO Common Stock to the stockholders of Tectonic pursuant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to approve an amendment to the AVROBIO certificate of incorporation to effect the Nasdaq Reverse Split and (C) to approve an amendment to the AVROBIO certificate of incorporation to provide for the exculpation of officers. </w:t>
      </w:r>
    </w:p>
    <w:p>
      <w:pPr>
        <w:pStyle w:val="TextBody"/>
        <w:bidi w:val="0"/>
        <w:spacing w:before="240" w:after="0"/>
        <w:jc w:val="left"/>
        <w:rPr>
          <w:rFonts w:ascii="Times New Roman" w:hAnsi="Times New Roman"/>
          <w:sz w:val="20"/>
        </w:rPr>
      </w:pPr>
      <w:r>
        <w:rPr>
          <w:rFonts w:ascii="Times New Roman" w:hAnsi="Times New Roman"/>
          <w:sz w:val="20"/>
        </w:rPr>
        <w:t xml:space="preserve">Before the opening of trading on Nasdaq on January 30, 2024, AVROBIO and Tectonic executed the Merger Agreement, certain AVROBIO stockholders executed the AVROBIO stockholder support agreements and the AVROBIO lock-up agreements, and certain Tectonic stockholders executed the Tectonic stockholder support agreements and the Tectonic lock-up agreements. Before the opening of trading on Nasdaq on January 30, 2024, AVROBIO and Tectonic issued a joint press release announcing the execution of the Merger Agreement and the Subscription Agreement and AVROBIO filed a current report on Form 8-K with the SEC relating to these matters. </w:t>
      </w:r>
    </w:p>
    <w:p>
      <w:pPr>
        <w:pStyle w:val="TextBody"/>
        <w:bidi w:val="0"/>
        <w:spacing w:before="360" w:after="0"/>
        <w:jc w:val="left"/>
        <w:rPr>
          <w:rFonts w:ascii="Times New Roman" w:hAnsi="Times New Roman"/>
          <w:b/>
          <w:sz w:val="20"/>
        </w:rPr>
      </w:pPr>
      <w:bookmarkStart w:id="49" w:name="toc770053_47"/>
      <w:bookmarkEnd w:id="49"/>
      <w:r>
        <w:rPr>
          <w:rFonts w:ascii="Times New Roman" w:hAnsi="Times New Roman"/>
          <w:b/>
          <w:sz w:val="20"/>
        </w:rPr>
        <w:t xml:space="preserve">AVROBIOs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its evaluation of the Merger Agreement and the transactions contemplated by the Merger Agreement, the AVROBIO Board (including the Transaction Committee) held numerous meetings, consulted with AVROBIOs senior management, AVROBIOs legal and financial advisors, and reviewed and assessed a significant amount of information. In reaching its decision to approve the Merger Agreement and the transactions contemplated by the Merger Agreement, the AVROBIO Board took into account the input of the Transaction Committee, and considered a number of factors that it viewed as supporting its decision to approve the Merger Agreement,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AVROBIO and the risks associated with continuing to operate AVROBIO on a standalone basis, including in light of (without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decision, announced in July 2023, to discontinue its clinical and research programs which resulted in a corporate restructuring and a reduction in AVROBIOs workforce by 50% (followed by additional reductions in force in October, November and December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interest and value perception for possible further development of its programs, the product candidates efficacy profile, stage of development, regulatory agencies feedback regarding development pathways, and probability of success in relation to the requisite time and costs, including the relative absence of meaningful, near-term regulatory and clinical inflection points for AVROBIOs ongoing programs following the Cystinosis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encountered in AVROBIOs related business development efforts to license, sell or otherwise partner its assets that could result in meaningful new capital or shared future development costs, and to generate sufficient investor interest despite two separate attempts at capital raising, which further exacerbated the lack of opportunities to achieve meaningful near-term regulatory and clinical inflection points for AVROBIOs ongoing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AVROBIO Board and the Transaction Committee, with the assistance of AVROBIOs management and legal and financial advisors, undertook a comprehensive and thorough process of reviewing and analyzing potential strategic alternatives and strategic transaction partner candidates, which included the public announcement of AVROBIOs exploration of strategic alternatives on July 12, 2023, subsequent outreach to approximately 60 strategic and reverse merger candidates and review by the AVROBIO Board of other alternatives (including remaining a standalone company, a liquidation or dissolution of AVROBIO to distribute any available cash and alternative strategic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Committee and the AVROBIO Boards belief, after a thorough review of strategic alternatives, including engagement with numerous strategic parties with respect to various types of strategic transactions (including whole-company sales, reverse merger transactions and merger of equals transactions), attempts at two capital raising financings, both of which were unable to generate sufficient investor interest, engagement with certain counterparties on potential partnership opportunities, including in Japan, and the completion of the Cystinosis Sale to Novartis, that the merger is more favorable to AVROBIO stockholders than the potential value that might have resulted from other strategic alternatives available to AVROBIO;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the $77.5 million value ascribed to AVROBIO by Tectonic would provide the existing AVROBIO stockholders significant value for AVROBIO and afford AVROBIO stockholders a significant opportunity to participate in the potential growth of the combined company following the merger at the negotiated exchange ratio, and the AVROBIO Boards understanding that such $77.5 million value was based on a targeted $65 million of net cash at closing and that the actual valuation ascribed to AVROBIO at closing would be increased or decreased subject to actual deviations in AVROBIOs net cash at closing in excess of a $0.5 million hurdle in both directions (as described more fully in the section of this proxy statement/prospectus titled </w:t>
            </w:r>
            <w:r>
              <w:rPr>
                <w:rFonts w:ascii="Times New Roman" w:hAnsi="Times New Roman"/>
                <w:i/>
                <w:sz w:val="20"/>
              </w:rPr>
              <w:t>Description of the Merger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view, following a review with AVROBIOs senior management and advisors of Tectonics current development and clinical trial plans, of the likelihood that the combined company would possess sufficient cash resources at the closing of the merger, or have access to sufficient resources, to fund continued development of Tectonics product candidates through certain anticipated upcoming value inflection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positive view, based on the scientific, regulatory and technical due diligence conducted by AVROBIOs senior management and advisors, of the regulatory pathway for, and potential significant market opportunity of, Tectonics product candidates, which will be the focus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consideration of the expected cash and cash equivalents of the combined company as of the closing of the merger, including the anticipated aggregate proceeds of $130.7 million to be received by Tectonic between the Subscription Agreement and the Company SAFEs, and the quality of the investor syndicate offered by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Tectonic constituted the most compelling reverse merger counterparty as it pertains to each of the Criteria enumerated by the AVROBIO Board (for additional information, see the section of this proxy statement/prospectus titled </w:t>
            </w:r>
            <w:r>
              <w:rPr>
                <w:rFonts w:ascii="Times New Roman" w:hAnsi="Times New Roman"/>
                <w:i/>
                <w:sz w:val="20"/>
              </w:rPr>
              <w:t>Background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AVROBIOs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AVROBIO stockholders to receive cash or other marketable proceeds in respect of AVROBIOs pre-closing assets following the closing of the merger pursuant to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liquidation analysis prepared by AVROBIOs management for the AVROBIO Boards review, which implied an equity value of AVROBIO in the reverse merger case of approximately $87.5 million, as compared to approximately $72.6 million in the July 2024 liquidation case and approximately $68.7 million in the October 2024 liquidation case (for additional information, see the sections of this proxy statement/prospectus titled </w:t>
            </w:r>
            <w:r>
              <w:rPr>
                <w:rFonts w:ascii="Times New Roman" w:hAnsi="Times New Roman"/>
                <w:i/>
                <w:sz w:val="20"/>
              </w:rPr>
              <w:t>Background of the Merger</w:t>
            </w:r>
            <w:r>
              <w:rPr>
                <w:rFonts w:ascii="Times New Roman" w:hAnsi="Times New Roman"/>
                <w:sz w:val="20"/>
              </w:rPr>
              <w:t> and </w:t>
            </w:r>
            <w:r>
              <w:rPr>
                <w:rFonts w:ascii="Times New Roman" w:hAnsi="Times New Roman"/>
                <w:i/>
                <w:sz w:val="20"/>
              </w:rPr>
              <w:t>AVROBIO Liquidation Analysis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delays associated with, and uncertain value and costs to AVROBIO stockholders of, liquidating AVROBIO, including, without limitation, the uncertainties of continuing cash burn while contingent liabilities are resolved, the uncertainty of timing of release of cash until contingent liabilities are resolved and AVROBIOs continuing contractual obligations as of the date of the Merger Agreement that extend through June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analysis reviewed by Houlihan Lokey with the AVROBIO Board as well as the oral opinion of Houlihan Lokey rendered to the AVROBIO Board on January 29, 2024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is fair, from a financial point of view to AVROBIO (for additional information, see the section of this proxy statement/prospectus titled </w:t>
            </w:r>
            <w:r>
              <w:rPr>
                <w:rFonts w:ascii="Times New Roman" w:hAnsi="Times New Roman"/>
                <w:i/>
                <w:sz w:val="20"/>
              </w:rPr>
              <w:t>Opinion of Houlihan Lokey to the AVROBIO Board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AVROBIO Board also reviewed the terms of the Merger Agreement, the CVR Agreement and the other transaction documents,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AVROBIO common stock to be issued in the merger may be reduced or increased to the extent AVROBIOs net cash position at the closing differs by more than $0.5 million from the anticipated $65.0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nature of the conditions to Tectonics and AVROBIOs respective obligations to complete the merger and the likelihood that the merger will be completed on a timely basis, including the fact that Tectonics obligation to complete the merger is conditioned on AVROBIO having a specified level of closing net cash being not less than $50.0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rights of, and limitations on, AVROBIO and Tectonic under the Merger Agreement to consider and engage in discussions regarding unsolicited acquisition proposals under certain circumstances, and the limitations on the board of directors of each party to change its recommendation in favor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termination fee of $2.712 million, in the case of the fee payable by AVROBIO, or $4.9 million, in the case of the fee payable by Tectonic, if the Merger Agreement is terminated in certain circumstances, and the potential reimbursement of transaction expenses payable by AVROBIO of up to $650,000 if the special meeting has been held and completed and AVROBIO stockholders have taken a final vote on Proposal Nos. 1 and 2, and such proposals have not been approved by the AVROBIO stockholders at the AVROBIO special meeting (or any adjournment or postponement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Tectonic stockholder and AVROBIO stockholders have, subject to certain exceptions, agreed not to transfer their shares of AVROBIO common stock during the period of 180 days following the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stockholders of AVROBIO and Tectonic have agreed, solely in their capacities as stockholders, to vote all of their shares of AVROBIO common stock or Tectonic common stock (as applicable) in favor of the proposals submitted to them in connection with the merger and against any alternative acquisition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 of Tectonic to provide the written consent of Tectonic stockholders necessary to adopt the Merger Agreement and approve the Merger and the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CVR Agreement, pursuant to which AVROBIO stockholders of record as of immediately prior to the effective time (including holders of shares of AVROBIO common stock issued upon settlement of the AVROBIO RSUs), will receive a CVR for each outstanding share of AVROBIO common stock held by such AVROBIO stockholders representing the contractual right to receive cash payments, if any, upon the receipt by AVROBIO of certain net proceeds payable to the combined company, as more fully described in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would qualify as a reorganization within the meaning of Section 368(a) of the Code, and will constitute a plan of reorganization within the meaning of Treasury Regulations Section 1.368 2(g), with the result that Tectonic stockholders would generally not recognize taxable gain or loss for U.S. federal income tax purposes upon the exchange of Tectonic common stock for AVROBIO common stock pursuant to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and in addition to the consideration and input of the Transaction Committee, the AVROBIO Board also considered a variety of risks, uncertainties and other countervailing factors related to entering into the merger,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potential benefits of the merger may not be fully achieved, or may not be achieved within the expected timeframe;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future financial performance of Tectonic may not meet the AVROBIO Boards expectations due to factors both within and outside of Tectonics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AVROBIOs stockholders may not approve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and costs of stockholder or third-party litigation relating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potential effect of the $2.712 million termination fee payable by AVROBIO and AVROBIOs expense reimbursement obligations upon the occurrence of certain events, as more fully described in the section titled </w:t>
            </w:r>
            <w:r>
              <w:rPr>
                <w:rFonts w:ascii="Times New Roman" w:hAnsi="Times New Roman"/>
                <w:i/>
                <w:sz w:val="20"/>
              </w:rPr>
              <w:t>The Merger AgreementTermination Fe</w:t>
            </w:r>
            <w:r>
              <w:rPr>
                <w:rFonts w:ascii="Times New Roman" w:hAnsi="Times New Roman"/>
                <w:sz w:val="20"/>
              </w:rPr>
              <w:t xml:space="preserve">e, in deterring other potential acquirors from proposing an alternative acquisition proposal that may be more advantageous to AVROBIO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prohibition on AVROBIO to solicit alternative acquisition proposals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AVROBIO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the AVROBIO common stock resulting from the announcement, pendency or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scientific, technical, regulatory and other risks and uncertainties associated with development and commercialization of Tectonics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AVROBIOs stockholders may not receive any value under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risks impacting the financial condition, results of operations and prospects for AVROBIO;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to the stockholders of AVROBIO upon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merger,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36 and 171, respectively,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AVROBIO Board are not intended to be exhaustive but are believed to include all of the material factors considered by the AVROBIO Board. In view of the wide variety of factors considered in connection with its evaluation of the merger and the complexity of these matters, the AVROBIO Board did not find it useful to attempt, and did not attempt, to quantify, rank or otherwise assign relative weights to these factors. In considering the factors described above, individual members of the AVROBIO Board may have given different weight to different factors. The AVROBIO Board conducted an overall analysis of the factors described above, including thorough discussions with, and questioning of, AVROBIOs senior management, outside legal counsel and financial advisors, and considered the factors overall to be favorable to, and to support, its determination.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Tectonics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the Tectonic Board held meetings and conducted discussions, consulted with Tectonics senior management, its financial advisors and legal counsel, and considered a wide variety of factors. Ultimately, the Tectonic Board concluded that a merger with AVROBIO together with the additional financing committed by the investors in the Tectonic pre-closing financing, was the best option to maximize the generation of capital resources to support the advancement of Tectonics pipeline and fund the combined company potentially well past achievement of clinical proof of concept for its lead asset, TX45. </w:t>
      </w:r>
    </w:p>
    <w:p>
      <w:pPr>
        <w:pStyle w:val="TextBody"/>
        <w:bidi w:val="0"/>
        <w:spacing w:before="240" w:after="0"/>
        <w:jc w:val="left"/>
        <w:rPr>
          <w:rFonts w:ascii="Times New Roman" w:hAnsi="Times New Roman"/>
          <w:sz w:val="20"/>
        </w:rPr>
      </w:pPr>
      <w:r>
        <w:rPr>
          <w:rFonts w:ascii="Times New Roman" w:hAnsi="Times New Roman"/>
          <w:sz w:val="20"/>
        </w:rPr>
        <w:t xml:space="preserve">The Tectonic Board considered, among others, the following material factors (which factors are not necessarily presented in any order or relevant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provide Tectonics current stockholders with greater liquidity by owning publicly-traded stock, and expanding the range of investors potentially available as a public company, compared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investors Tectonic could otherwise gain access to if it continued to operate as a privately-held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Tectonics business, including its financial performance and condition, operations, management and pre-clinical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Tectonic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Boards fiduciary duties to Tectonic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Tectonics Boards belief that no alternatives to the merger were reasonably likely to create greater value for Tectonic stockholders, after reviewing the various financing and other strategic options to enhance stockholder value that were considered by the Tectonic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projected financial position, operations, management structure, geographic locations, operating plans, cash burn rate and financial projections of the combined company, including the expected cash resources of the combined company (including the ability to support the combined companys current and planned clinical trials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AVROBIO;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Tectonics capital stock who comply with the required procedures under the DGCL, which allow such holders to seek appraisal of the fair value of their shares of Tectonic capital stock as determined by the Delaware Court of Chancery;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AVROBIO stockholders and Tectonic stockholders in the combined company was appropriate, based on the Tectonic Boards judgment and assessment of the approximate valuations of AVROBIO (including the value of the net cash AVROBIO is expected to provide to the combined company) and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with the result that in the merger the Tectonic stockholders will generally not recognize taxable gain or loss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AVROBIO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Tectonic under the Merger Agreement to consider certain unsolicited acquisition proposals under certain circumstances should Tectonic receive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Tectonic Board that the potential termination fee of $4.9 million, payable by Tectonic to AVROBIO, and the circumstances when such fee may be payable, were reasonable;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Tectonic Board that the potential termination fee of $2.7 million, payable by AVROBIO to Tectonic, and the circumstances when such fee may be payable, were reasonable;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AVROBIOs common stock issued to Tectonic stockholders will be registered on a Form S-4 registration statement and will become freely tradable for Tectonic stockholders who are not affiliates of Tectonic and who are not parties to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Tectonic and AVROBIO, respectively, have agreed, solely in their capacity as stockholders of Tectonic and AVROBIO, respectively, to vote all of their shares of Tectonic capital stock or AVROBIO common stock in favor of the adoption or approval, respectively,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companys name to Tectonic Therapeutic, Inc. upon the closing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Tectonic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might not be completed and the potential adverse effect of the public announcement of the merger on the reputation of Tectonic and the ability of Tectonic to obtain financing in the future in the event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common stock by existing AVROBIO stockholders may cause the price of AVROBIO common stock to fall, thus reducing the potential value of AVROBIO common stock received by Tectonic stockholders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AVROBIOs common stock to be issued to Tectonic stockholders in the merger is fixed, except for adjustments due to AVROBIOs cash balance and outstanding capital stock at closing, and thus the relative percentage ownership of AVROBIO stockholders and Tectonic stockholders in the combined company immediately following the completion of the merger is similarly fixed;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fee, payable by Tectonic to AVROBIO upon the occurrence of certain events, and the potential effect of such termination fee in deterring other potential acquirers from proposing an alternative transaction that may be more advantageous to Tectonic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AVROBIOs net cash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that Tectonics cash resources may not be sufficient to fund operations if the closing process runs into delays much longer than would be expected in a similar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Tectonic senior management required to complete the merger, the related disruptions or potential disruptions to Tectonics business operations and future prospects, including its relationships with its employees, suppliers and partners and others that do business or may do business in the future with Tectonic, and related administrative challenges associated with combining the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 will not be able to successfully sell AVROBIOs the assets subject to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Tectonics business will be subject following the merger that Tectonic has not previously been subject to, and the operational changes to Tectonics business, in each case that may result from being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of the merger and the potential risk of liabilities that may arise post-closing;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merger, including the risks described in the section titled </w:t>
            </w:r>
            <w:r>
              <w:rPr>
                <w:rFonts w:ascii="Times New Roman" w:hAnsi="Times New Roman"/>
                <w:i/>
                <w:sz w:val="20"/>
              </w:rPr>
              <w:t>Risk Factors</w:t>
            </w:r>
            <w:r>
              <w:rPr>
                <w:rFonts w:ascii="Times New Roman" w:hAnsi="Times New Roman"/>
                <w:sz w:val="20"/>
              </w:rPr>
              <w:t xml:space="preserv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summarizes the material factors considered by the Tectonic Board in its consideration of the Merger Agreement and the transactions contemplated. The Tectonic Board concluded that the benefits, advantages and opportunities of a potential transaction outweighed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uncertainties and risks described above. After considering these and other factors, the Tectonic Board unanimously approved the Merger Agreement, the merger and the other transactions contemplated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AVROBIO Liquidation Analysis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evaluation of the merger by the AVROBIO Board, AVROBIO management prepared and presented an analysis regarding a potential liquidation or dissolution of AVROBIO (the liquidation case) as compared to a potential reverse merger transaction with Tectonic (the reverse merger case) (collectively, the liquidation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liquidation analysis should not be deemed an admission or representation by AVROBIO or any of its officers, directors, affiliates, advisors, or other representatives with respect to the liquidation analysis. The liquidation analysis is not included to influence your views on the merger, the Merger Agreement and the transactions contemplated thereby and is summarized in this proxy statement/prospectus solely to provide stockholders access to certain information considered by the AVROBIO Board in connection with its evaluation of the merger, the Merger Agreement and the transactions contemplated thereby and provided to Houlihan Lokey, who was authorized and directed to rely upon the liquidation analysis for purposes of its opinion to the AVROBIO Board. Any estimates contained in the liquidation analysis are not necessarily indicative of actual values or predictive of future results or values, which may be significantly more or less favorable than as set forth below. Analyses relating to the value of AVROBIO do not purport to be appraisals or reflect the prices at which shares of AVROBIO common stock may actually be valued or trade, either before or after the consummation of the merger. Additionally, it is unlikely that the entirety of AVROBIOs cash balance would be available at the time of an actual dissolution or liquidation for distribution to AVROBIOs stockholders, due to the requirements of applicable law. The actual amount that would be available for distribution would depend on the amount of wind-down costs, the amount required to settle remaining obligations under current contracts, the need to retain employees to facilitate the wind-down, the need to retain the services of outside contractors to assist with the wind-down and the satisfaction by AVROBIO of its remaining obligations (including obligations to continue SEC filings), and the need to retain funds beyond that distribution for unknown or contingent liabilities, each of which could be material and the total amount of which could not currently be estimated.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AVROBIO nor any other independent accountant has audited, reviewed, compiled, examined or performed any procedures with respect to the accompanying unaudited prospective financial information for the purpose of its inclusion herein, and accordingly, neither the independent registered public accounting firm of AVROBIO nor any other independent accountant expresses an opinion or provides any form of assurance with respect thereto for the purpose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includes estimates of cash and of certain expenditures, which for the purpose of the liquidation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merger if the disclosure is included in a document such as this proxy statement/prospectus to comply with requirements under state laws, including case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liquidation analysis speaks only as to the date on which it was generated, and AVROBIO undertakes no obligation to update or otherwise revise or reconcile the liquidation analysis to reflect circumstances existing after the date the liquidation analysis was generated or to reflect the occurrence of future events. AVROBIO does not intend to make publicly available any update or other revisions to the liquidation analysis, except as otherwise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estimated cash balances, stockholders are cautioned not to place undue reliance, if any, on the liquidation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below summary of the liquidation analysis is subject to the statements above, and it represents AVROBIO managements estimates of AVROBIOs cash which may be distributed to stockholders as permitted under applicable law pursuant to a plan of dissolution. The below summary is included solely to give stockholders access to the liquidation analysis evaluated by the AVROBIO Board, and is not included in this proxy statement/prospectus to influence a stockholders decision whether or not to vote for the proposals, or for any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case of the liquidation analysis provided two separate scenarios, one of which assumed a transition of AVROBIOs operations to a dissolution administrator in July 2024 (the July 2024 liquidation case), and the second of which assumed a transition of AVROBIOs operations to a dissolution administrator in October 2024 (the October 2024 liquidation case) (such assumed July 2024 and October 2024 dates, the transition dates). In selecting the July 2024 transition date for the July 2024 liquidation case, AVROBIO accounted for certain contractual obligations of AVROBIO that last through the end of June 2024 and that could reasonably be expected to impede AVROBIOs ability to liquidate prior thereto. Under both the July 2024 liquidation case and the October 2024 liquidation case, based on internal data, AVROBIO management assumed (A) that sources of cash would consist of an estimated cash balance as of January 22, 2024 equal to $94.7 million, plus cash flow generated from continuing operations (interest income) through the respective transition dates, from which was deducted (B) various categories of uses of cash through the respective transition dates, including the present value of cash reserves established in respect of potential future claims and litigations. The resulting implied equity values of AVROBIO equaled approximately $68.7 million in the October 2024 liquidation scenario and $72.6 million in the July 2024 liquidation scenario. </w:t>
      </w:r>
    </w:p>
    <w:p>
      <w:pPr>
        <w:pStyle w:val="TextBody"/>
        <w:bidi w:val="0"/>
        <w:spacing w:before="240" w:after="0"/>
        <w:jc w:val="left"/>
        <w:rPr>
          <w:rFonts w:ascii="Times New Roman" w:hAnsi="Times New Roman"/>
          <w:sz w:val="20"/>
        </w:rPr>
      </w:pPr>
      <w:r>
        <w:rPr>
          <w:rFonts w:ascii="Times New Roman" w:hAnsi="Times New Roman"/>
          <w:sz w:val="20"/>
        </w:rPr>
        <w:t xml:space="preserve">In the reverse merger case, AVROBIO management assumed a completion date for the reverse merger of May 31, 2024. As compared to the liquidation case, the reverse merger case included (i) certain costs applicable only to the reverse merger case, such as financial advisor contingent fees and change-in-control payments to AVROBIO employees, and (ii) certain value ascribed by Tectonic to AVROBIO in excess of its ending net cash position, including with respect to the value of its public company listing, in the amount of $12.5 million. The resulting implied equity value of AVROBIO in the reverse merger case equaled approximately $87.5 million. As noted in the section of this proxy titled Background of the Merger, in evaluating the reverse merger case, the AVROBIO Transaction Committee noted that (1) the equity value of AVROBIO implied by the reverse merger case delivered more value to AVROBIO stockholders than those implied by either of the liquidation cases, (2) while the equity value of AVROBIO implied by the reverse merger case as of the assumed reverse merger completion date of May 31, 2024 was based on estimated net cash as of such date of $75 million, applying any level of net cash equally across the three scenarios yielded a higher value for the reverse merger case, and (3) while the Merger Agreements equity allocation to AVROBIO stockholders assumed a valuation for AVROBIO of $77.5 million, which was based on a targeted $65 million of net cash at closing, the actual equity allocation to AVROBIO stockholders at closing would be increased on a dollar-for-dollar basis (subject to a $0.5 million hurdle) if AVROBIOs net cash at closing was higher than $65 million; see the section of this proxy statement/prospectus titled Description of the Merger Agreement for a more fulsome description. This would thereby confer additional equity value to AVROBIO stockholders on a dollar-for-dollar basis (subject to the aforementioned hurdle) in the event that AVROBIOs closing net cash actually approximates $75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038"/>
        <w:gridCol w:w="351"/>
        <w:gridCol w:w="215"/>
        <w:gridCol w:w="444"/>
        <w:gridCol w:w="157"/>
      </w:tblGrid>
      <w:tr>
        <w:trPr/>
        <w:tc>
          <w:tcPr>
            <w:tcW w:w="9038"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4"/>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2024 Liquidation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94.7</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1.4</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96.1</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13.8</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0.4</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2023 Retention Costs</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0.9</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Full-Time Employee Related Costs</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2.5</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2024 Additional Executive Team Retention Costs</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0.7</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Severance Costs</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2.6</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Cash Reserve Discount 1</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0.7</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23.5</w:t>
            </w:r>
          </w:p>
        </w:tc>
        <w:tc>
          <w:tcPr>
            <w:tcW w:w="157" w:type="dxa"/>
            <w:tcBorders/>
            <w:vAlign w:val="bottom"/>
          </w:tcPr>
          <w:p>
            <w:pPr>
              <w:pStyle w:val="TableContents"/>
              <w:bidi w:val="0"/>
              <w:spacing w:before="0" w:after="283"/>
              <w:jc w:val="left"/>
              <w:rPr>
                <w:b/>
              </w:rPr>
            </w:pPr>
            <w:r>
              <w:rPr>
                <w:b/>
              </w:rPr>
              <w:t>) </w:t>
            </w:r>
          </w:p>
        </w:tc>
      </w:tr>
      <w:tr>
        <w:trPr/>
        <w:tc>
          <w:tcPr>
            <w:tcW w:w="9038" w:type="dxa"/>
            <w:tcBorders/>
            <w:shd w:fill="CCEEFF" w:val="cle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Implied AVROBIO Equity Value</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444" w:type="dxa"/>
            <w:tcBorders/>
            <w:shd w:fill="CCEEFF" w:val="clear"/>
            <w:vAlign w:val="bottom"/>
          </w:tcPr>
          <w:p>
            <w:pPr>
              <w:pStyle w:val="TableContents"/>
              <w:bidi w:val="0"/>
              <w:spacing w:before="0" w:after="283"/>
              <w:jc w:val="right"/>
              <w:rPr>
                <w:b/>
              </w:rPr>
            </w:pPr>
            <w:r>
              <w:rPr>
                <w:b/>
              </w:rPr>
              <w:t>72.6</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1</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AVROBIO management, AVROBIO estimates it would retain 12.5% of estimated closing cash balance to settle any pending liabilities following a hypothetical liquidation scenario, which 12.5% would equal $9.2 in the July 2024 liquidation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part of the liquidation analysis, AVROBIO management evaluated a range of possible timing and net amount of distribution of cash reserves, due to the inherent variability of such distributions. The October 2024 liquidation case assumed 75% of cash reserves would be distributed five years after a dissolution date and the July 2024 liquidation case assumed 100% cash reserves would be distributed incrementally through installments up to three years after a dissolution date. The discounted value above reflects the present value of estimated recoverable cash reserves distributed incrementally through installments up to three years after a dissolution date and discounted using the 2-year U.S. Treasury bond yield of 4.34%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038"/>
        <w:gridCol w:w="351"/>
        <w:gridCol w:w="215"/>
        <w:gridCol w:w="444"/>
        <w:gridCol w:w="157"/>
      </w:tblGrid>
      <w:tr>
        <w:trPr/>
        <w:tc>
          <w:tcPr>
            <w:tcW w:w="9038"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4"/>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2024 Liquidation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94.7</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 (Interest Income)</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2.0</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96.7</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13.8</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0.4</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2023 Retention Costs</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0.9</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Full-Time Employee Related Costs</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3.6</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2024 Additional Executive Team Retention Costs</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1.3</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Severance Costs</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2.6</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Cash Reserve Discount 1</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3.5</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28.0</w:t>
            </w:r>
          </w:p>
        </w:tc>
        <w:tc>
          <w:tcPr>
            <w:tcW w:w="157" w:type="dxa"/>
            <w:tcBorders/>
            <w:vAlign w:val="bottom"/>
          </w:tcPr>
          <w:p>
            <w:pPr>
              <w:pStyle w:val="TableContents"/>
              <w:bidi w:val="0"/>
              <w:spacing w:before="0" w:after="283"/>
              <w:jc w:val="left"/>
              <w:rPr>
                <w:b/>
              </w:rPr>
            </w:pPr>
            <w:r>
              <w:rPr>
                <w:b/>
              </w:rPr>
              <w:t>) </w:t>
            </w:r>
          </w:p>
        </w:tc>
      </w:tr>
      <w:tr>
        <w:trPr>
          <w:trHeight w:val="120" w:hRule="atLeast"/>
        </w:trPr>
        <w:tc>
          <w:tcPr>
            <w:tcW w:w="9038" w:type="dxa"/>
            <w:tcBorders/>
            <w:vAlign w:val="center"/>
          </w:tcPr>
          <w:p>
            <w:pPr>
              <w:pStyle w:val="TableContents"/>
              <w:bidi w:val="0"/>
              <w:spacing w:before="0" w:after="283"/>
              <w:jc w:val="left"/>
              <w:rPr>
                <w:sz w:val="4"/>
                <w:szCs w:val="4"/>
              </w:rPr>
            </w:pPr>
            <w:r>
              <w:rPr>
                <w:sz w:val="4"/>
                <w:szCs w:val="4"/>
              </w:rPr>
            </w:r>
          </w:p>
        </w:tc>
        <w:tc>
          <w:tcPr>
            <w:tcW w:w="1167" w:type="dxa"/>
            <w:gridSpan w:val="4"/>
            <w:tcBorders/>
            <w:vAlign w:val="center"/>
          </w:tcPr>
          <w:p>
            <w:pPr>
              <w:pStyle w:val="TableContents"/>
              <w:bidi w:val="0"/>
              <w:spacing w:before="0" w:after="283"/>
              <w:jc w:val="left"/>
              <w:rPr>
                <w:sz w:val="4"/>
                <w:szCs w:val="4"/>
              </w:rPr>
            </w:pPr>
            <w:r>
              <w:rPr>
                <w:sz w:val="4"/>
                <w:szCs w:val="4"/>
              </w:rPr>
            </w:r>
          </w:p>
        </w:tc>
      </w:tr>
      <w:tr>
        <w:trPr/>
        <w:tc>
          <w:tcPr>
            <w:tcW w:w="9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Implied AVROBIO Equity Value</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444" w:type="dxa"/>
            <w:tcBorders/>
            <w:shd w:fill="CCEEFF" w:val="clear"/>
            <w:vAlign w:val="bottom"/>
          </w:tcPr>
          <w:p>
            <w:pPr>
              <w:pStyle w:val="TableContents"/>
              <w:bidi w:val="0"/>
              <w:spacing w:before="0" w:after="283"/>
              <w:jc w:val="right"/>
              <w:rPr>
                <w:b/>
              </w:rPr>
            </w:pPr>
            <w:r>
              <w:rPr>
                <w:b/>
              </w:rPr>
              <w:t>68.7</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1</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AVROBIO management, AVROBIO estimates it would retain 12.5% of estimated closing cash balance to settle any pending liabilities following a hypothetical liquidation scenario, which 12.5% would equal $9.0 in the October 2024 liquidation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part of the liquidation analysis, AVROBIO management evaluated a range of possible timing and net amount of distribution of cash reserves, due to the inherent variability of such distributions. The October 2024 liquidation case assumed 75% of cash reserves would be distributed five years after a dissolution date and the July 2024 liquidation case assumed 100% of cash reserves would be distributed incrementally through installments up to three years after a dissolution date. The discounted value above reflects the present value of estimated recoverable cash reserves distributed five years after a dissolution date and discounted using the 5-year U.S. Treasury bond yield of 4.04%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038"/>
        <w:gridCol w:w="351"/>
        <w:gridCol w:w="215"/>
        <w:gridCol w:w="444"/>
        <w:gridCol w:w="157"/>
      </w:tblGrid>
      <w:tr>
        <w:trPr/>
        <w:tc>
          <w:tcPr>
            <w:tcW w:w="9038"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4"/>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Reverse Merger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94.7</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 (Interest Income)</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1.3</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96.0</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2023 Full Time Equivalent Related Costs</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0.4</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Full Time Equivalent Costs Through May 31, 2024</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1.8</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2024 Severance Non-Executive Team</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1.2</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 Full Time Equivalent  Executive Team</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0.5</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2024 Executive Team Change-in-Control</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2.7</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2.0</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0.4</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12.2</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21.0</w:t>
            </w:r>
          </w:p>
        </w:tc>
        <w:tc>
          <w:tcPr>
            <w:tcW w:w="157" w:type="dxa"/>
            <w:tcBorders/>
            <w:vAlign w:val="bottom"/>
          </w:tcPr>
          <w:p>
            <w:pPr>
              <w:pStyle w:val="TableContents"/>
              <w:bidi w:val="0"/>
              <w:spacing w:before="0" w:after="283"/>
              <w:jc w:val="left"/>
              <w:rPr>
                <w:b/>
              </w:rPr>
            </w:pPr>
            <w:r>
              <w:rPr>
                <w:b/>
              </w:rPr>
              <w:t>) </w:t>
            </w:r>
          </w:p>
        </w:tc>
      </w:tr>
      <w:tr>
        <w:trPr/>
        <w:tc>
          <w:tcPr>
            <w:tcW w:w="9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Estimate</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444" w:type="dxa"/>
            <w:tcBorders/>
            <w:shd w:fill="CCEEFF" w:val="clear"/>
            <w:vAlign w:val="bottom"/>
          </w:tcPr>
          <w:p>
            <w:pPr>
              <w:pStyle w:val="TableContents"/>
              <w:bidi w:val="0"/>
              <w:spacing w:before="0" w:after="283"/>
              <w:jc w:val="right"/>
              <w:rPr>
                <w:b/>
              </w:rPr>
            </w:pPr>
            <w:r>
              <w:rPr>
                <w:b/>
              </w:rPr>
              <w:t>75.0</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tcPr>
          <w:p>
            <w:pPr>
              <w:pStyle w:val="TableContents"/>
              <w:bidi w:val="0"/>
              <w:spacing w:before="0" w:after="0"/>
              <w:jc w:val="left"/>
              <w:rPr>
                <w:rFonts w:ascii="Times New Roman" w:hAnsi="Times New Roman"/>
                <w:b/>
                <w:sz w:val="20"/>
              </w:rPr>
            </w:pPr>
            <w:r>
              <w:rPr>
                <w:rFonts w:ascii="Times New Roman" w:hAnsi="Times New Roman"/>
                <w:b/>
                <w:sz w:val="20"/>
              </w:rPr>
              <w:t>Assigned Value to AVROBIO In Excess of Cash</w:t>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12.5</w:t>
            </w:r>
          </w:p>
        </w:tc>
        <w:tc>
          <w:tcPr>
            <w:tcW w:w="157" w:type="dxa"/>
            <w:tcBorders/>
            <w:vAlign w:val="bottom"/>
          </w:tcPr>
          <w:p>
            <w:pPr>
              <w:pStyle w:val="TableContents"/>
              <w:bidi w:val="0"/>
              <w:spacing w:before="0" w:after="283"/>
              <w:jc w:val="left"/>
              <w:rPr/>
            </w:pPr>
            <w:r>
              <w:rPr/>
              <w:t> </w:t>
            </w:r>
          </w:p>
        </w:tc>
      </w:tr>
      <w:tr>
        <w:trPr/>
        <w:tc>
          <w:tcPr>
            <w:tcW w:w="9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Implied AVROBIO Equity Value</w:t>
            </w:r>
          </w:p>
        </w:tc>
        <w:tc>
          <w:tcPr>
            <w:tcW w:w="35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444" w:type="dxa"/>
            <w:tcBorders/>
            <w:shd w:fill="CCEEFF" w:val="clear"/>
            <w:vAlign w:val="bottom"/>
          </w:tcPr>
          <w:p>
            <w:pPr>
              <w:pStyle w:val="TableContents"/>
              <w:bidi w:val="0"/>
              <w:spacing w:before="0" w:after="283"/>
              <w:jc w:val="right"/>
              <w:rPr>
                <w:b/>
              </w:rPr>
            </w:pPr>
            <w:r>
              <w:rPr>
                <w:b/>
              </w:rPr>
              <w:t>87.5</w:t>
            </w:r>
          </w:p>
        </w:tc>
        <w:tc>
          <w:tcPr>
            <w:tcW w:w="157" w:type="dxa"/>
            <w:tcBorders/>
            <w:shd w:fill="CCEEFF" w:val="clear"/>
            <w:vAlign w:val="bottom"/>
          </w:tcPr>
          <w:p>
            <w:pPr>
              <w:pStyle w:val="TableContents"/>
              <w:bidi w:val="0"/>
              <w:spacing w:before="0" w:after="283"/>
              <w:jc w:val="left"/>
              <w:rPr/>
            </w:pPr>
            <w:r>
              <w:rPr/>
              <w:t> </w:t>
            </w:r>
          </w:p>
        </w:tc>
      </w:tr>
      <w:tr>
        <w:trPr/>
        <w:tc>
          <w:tcPr>
            <w:tcW w:w="903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50" w:name="toc770053_48"/>
      <w:bookmarkEnd w:id="50"/>
      <w:r>
        <w:rPr>
          <w:rFonts w:ascii="Times New Roman" w:hAnsi="Times New Roman"/>
          <w:b/>
          <w:sz w:val="20"/>
        </w:rPr>
        <w:t xml:space="preserve">Opinion of Houlihan Lokey to the AVROBIO Board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2024, Houlihan Lokey orally rendered its opinion to the AVROBIO Board (which was subsequently confirmed in writing by delivery of Houlihan Lokeys written opinion dated January 29, 2024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was fair, from a financial point of view, to AVROBIO. </w:t>
      </w:r>
    </w:p>
    <w:p>
      <w:pPr>
        <w:pStyle w:val="TextBody"/>
        <w:bidi w:val="0"/>
        <w:spacing w:before="240" w:after="0"/>
        <w:jc w:val="left"/>
        <w:rPr>
          <w:rFonts w:ascii="Times New Roman" w:hAnsi="Times New Roman"/>
          <w:b/>
          <w:sz w:val="20"/>
        </w:rPr>
      </w:pPr>
      <w:r>
        <w:rPr>
          <w:rFonts w:ascii="Times New Roman" w:hAnsi="Times New Roman"/>
          <w:b/>
          <w:sz w:val="20"/>
        </w:rPr>
        <w:t xml:space="preserve">Houlihan Lokeys opinion was directed to the AVROBIO Board and only addressed the fairness, from a financial point of view, to AVROBIO of the Exchange Ratio provided for in the Merger pursuant to the Merger Agreement after giving effect to the Related Transactions and did not address, among other things,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The summary of Houlihan Lokeys opinion in this proxy statement/prospectus is qualified in its entirety by reference to the full text of its written opinion, which is attached as </w:t>
      </w:r>
      <w:r>
        <w:rPr>
          <w:rFonts w:ascii="Times New Roman" w:hAnsi="Times New Roman"/>
          <w:b/>
          <w:sz w:val="20"/>
          <w:u w:val="single"/>
        </w:rPr>
        <w:t>Annex B</w:t>
      </w:r>
      <w:r>
        <w:rPr>
          <w:rFonts w:ascii="Times New Roman" w:hAnsi="Times New Roman"/>
          <w:b/>
          <w:sz w:val="20"/>
        </w:rPr>
        <w:t xml:space="preserve">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 recommendation to the AVROBIO Board, any security holder of AVROBIO or any other party as to how to act or vote with respect to any matter relating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 Houlihan Lokey made such reviews, analyses and inquiries as Houlihan Lokey had deemed necessary and appropriate under the circumstances. Among other things, Houlihan Lokey: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January 29, 2024,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relating to AVROBIO and Tectonic that Houlihan Lokey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relating to the historical, current and future operations, financial condition and prospects of AVROBIO and Tectonic made available to Houlihan Lokey by AVROBIO and Tectonic, including (i) a liquidation analysis of AVROBIO prepared by management of AVROBIO (the AVROBIO Liquidation Analysis) and (ii) information regarding the nature of, and indications to be addressed by, Tectonics potential products, the current status and expected future timing of clinical development of Tectonics products, and projected cash expenditures for the development of such products (collectively, the Tectonic Development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spoke with certain members of the managements of AVROBIO and Tectonic regarding the respective businesses, operations, financial condition and prospects of AVROBIO and Tectonic, the Transaction and 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clinical development stage and therapeutic area of focus of Tectonic with that of companies with publicly traded equity securities that Houlihan Lokey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for informational purposes, considered the publicly available financial terms of certain transactions that Houlihan Lokey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current and historical market prices and trading volume for certain of AVROBIOs publicly traded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inquiries and considered such other information and factors as Houlihan Lokey deemed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Houlihan Lokey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management of AVROBIO advised Houlihan Lokey, and Houlihan Lokey with the AVROBIO Boards consent relied upon and assumed, that the AVROBIO Liquidation Analysis was reasonably prepared in good faith on bases reflecting the best currently available estimates and judgments of such management as to (i) the expected realizable value for AVROBIOs assets, assuming an orderly liquidation of such assets, and (ii) the remaining amounts estimated to be available upon completion of such liquidation for distribution to AVROBIOs equity holders. In addition, with the AVROBIO Boards consent, Houlihan Lokey relied upon and assumed that the Tectonic Development Information was reasonably prepared in good faith on bases reflecting the best currently available estimates and judgments of Tectonic management as to the nature of, and indications to be addressed by, Tectonics potential products and the expected timing and cash expenditures associated with the development of Tectonics potential products. Houlihan Lokey expressed no view or opinion with respect to the AVROBIO Liquidation Analysis, the Tectonic Development Information or the respective assumptions on which they were based. At the AVROBIO Boards direction, Houlihan Lokey assumed that the Liquidation Analysis and the Tectonic Development Information provided a reasonable basis on which to evaluate AVROBIO, Tectonic and the Transaction and Houlihan Lokey, at the AVROBIO Boards direction, used and relied upon the Liquidation Analysis and the Tectonic Development Information for purposes of its analysis and the Opinion. In this regard the AVROBIO Board advised Houlihan Lokey, and at the AVROBIO Boards direction Houlihan Lokey relied upon and assumed, that (i) AVROBIO had terminated all company-sponsored treatment-related and company-sponsored long-term follow-up clinical studies relating to its AVR-RD-02, or Gaucher disease type 1, program, and company-sponsored long term follow-up studies relating to its AVR-RD-01, or Fabry disease, program, (ii) AVROBIO had terminated its agreements with the University of Manchester for the license and development of a gene therapy for MPSII, or Hunter syndrome, and discontinued its AVR-RD-05, or Hunter syndrome gene therapy program, (iii) AVROBIO sold its cystinosis gene therapy program to Novartis Pharma AG and Novartis Pharmaceuticals Corporation, (iv) as a result, AVROBIO had three gene therapy product candidates, none of which was currently in active clinical development, (v) since inception, AVROBIO had not generated any product revenue and had financed its operations primarily through the private placement of securities and through public offerings of common stock, (vi) AVROBIO had suffered significant recurring losses from operations, (vii) in the absence of the Transaction or an alternative strategic transaction, AVROBIO would likely dissolve and liquidate, and (viii) the values AVROBIO would receive for its assets in liquidation could be significantly lower than the values reflected in AVROBIOs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reaching its conclusions in the Opinion, with the AVROBIO Boards consent, Houlihan Lokey did not rely upon (i) a discounted cash flow analysis of AVROBIO or Tectonic, because, as the AVROBIO Board advised Houlihan Lokey and directed Houlihan Lokey to assume, other than the projected cash expenditures for Tectonic included in the Tectonic Development Information, no current, reliable projections with respect to the future financial performance of AVROBIO or Tectonic were available, (ii) Houlihan Lokey did not rely upon a review of the publicly available financial terms of other transactions, because Houlihan Lokey did not identify a sufficient number of relevant transactions in which Houlihan Lokey deemed the acquired companies to be sufficiently similar to AVROBIO or Tectonic and (iii) with respect to AVROBIO, Houlihan Lokey did not rely upon a review of companies with publicly traded equity securities that Houlihan Lokey deemed relevant, because Houlihan Lokey did not identify a sufficient number of relevant companies Houlihan Lokey deemed to be sufficiently similar to AVROBIO. Houlihan Lokey relied upon and assumed, without independent verification, that there had been no change in the businesses, assets, liabilities, financial condition, results of operations, cash flows or prospects of AVROBIO or Tectonic since the respective dates of the most recent financial statements and other information, financial or otherwise, provided to Houlihan Lokey that would be material to its analyses or the Opinion, and that there was no information or any facts that would make any of the information reviewed by Houlihan Lokey incomplete or misleading. Houlihan Lokey also relied upon and assumed, without independent verification, the assessments of the managements of AVROBIO and Tectonic as to AVROBIOs and Tectonics existing and future technology, products, product candidates, services and intellectual property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Houlihan Lokey assumed at the AVROBIO Boards direction that there would be no developments with respect to any such matters that would affect its analyses or the Opinion.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relied upon and assumed, without independent verification, that (a) the representations and warranties of all parties to the Merger Agreement and all other related documents and instruments referred to therein were true and correct, (b) each party to the Merger Agreement and such other related documents and instruments would fully and timely perform all of the covenants and agreements required to be performed by such party, (c) all conditions to the consummation of the Transaction would be satisfied without waiver thereof, and (d) the Transaction would be consummated in a timely manner in accordance with the terms described in the Merger Agreement and such other related documents and instruments, without any amendments or modifications. Houlihan Lokey also assumed, with the AVROBIO Boards consent, that the Merger would qualify as a reorganization under Section 368(a) of the Internal Revenue Code of 1986, as amended. Houlihan Lokey relied upon and assumed, without independent verification, that (i) the Transaction would be consummated in a manner that complies in all respects with all applicable foreign, federal, state and local statutes, rules and regulations, and (ii) all governmental, regulatory, and other consents and approvals necessary for the consummation of the Transaction would be obtained and that no delay, limitations, restrictions or conditions would be imposed or amendments, modifications or waivers made that would result in the disposition of any assets of AVROBIO or Tectonic, or otherwise have an effect on the Transaction, AVROBIO or Tectonic or any expected benefits of the Transaction that would be material to its analyses or opinion. Houlihan Lokey also relied upon and assumed, without independent verification, at the AVROBIO Boards direction, that any adjustments to the Exchange Ratio pursuant to the Merger Agreement or otherwise would not be material to its analyses or opinion. In addition, Houlihan Lokey relied upon and assumed, without independent verification, that the final form of the Merger Agreement would not differ in any respect from the draft of the Merger Agreement identified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connection with the Opinion, Houlihan Lokey was not requested to, and did not, make any physical inspection or independent appraisal or evaluation of any of the assets, properties or liabilities (fixed, contingent, derivative, off-balance-sheet or otherwise) of AVROBIO, Tectonic or any other party, nor was Houlihan Lokey provided with any such appraisal or evaluation (other than the AVROBIO Liquidation Analysis provided by AVROBIO management). Houlihan Lokey did not estimate, and expressed no opinion regarding, the liquidation value of any entity or business. Houlihan Lokey did not undertake any independent analysis of any potential or actual litigation, regulatory action, possible unasserted claims or other contingent liabilities, to which AVROBIO or Tectonic was or may have been a party or was or may have been subject, or of any governmental investigation of any possible unasserted claims or other contingent liabilities to which AVROBIO or Tectonic was or may have been a party or was or may have been subject.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was not requested to, and did not, (a) initiate or participate in any discussions or negotiations with, or solicit any indications of interest from, third parties with respect to the Transaction, the securities, assets, businesses or operations of AVROBIO, Tectonic or any other party, or any alternatives to the Transaction, (b) identify, introduce to the AVROBIO Board, AVROBIO or any other party, or screen for creditworthiness, any prospective investors, lenders or other participants in the Transaction, (c) negotiate the terms of the Transaction, or (d) advise the AVROBIO Board, AVROBIO or any other party with respect to alternatives to the Transaction. The Opinion was necessarily based on financial, economic, market and other conditions as in effect on, and the information made available to Houlihan Lokey as of, the date of the Opinion. Houlihan Lokey did not undertake, and is under no obligation, to update, revise, reaffirm or withdraw the Opinion, or otherwise comment on or consider events occurring or coming to its attention after the date of the Opinion. Houlihan Lokey did not express any opinion as to what the value of the AVROBIO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actually would be when issued in the Transaction pursuant to the Merger Agreement or the price or range of prices at which AVROBIO common stock or Tectonic capital stock may be purchased or sold, or otherwise be transferable,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Opinion was furnished for the use of the AVROBIO Board (in its capacity as such) in connection with its evaluation of the Transaction and may not be used for any other purpose without Houlihan Lokeys prior written consent. The Opinion was not intended to be, and did not constitute, a recommendation to the AVROBIO Board, AVROBIO, any security holder or any other party as to how to act or vote with respect to any matter relating to the Transaction or otherwise, including, without limitation, whether any party should participate in the private financings.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was not requested to opine as to, and the Opinion did not express an opinion as to or otherwise address, among other things: (i) the underlying business decision of the AVROBIO Board, AVROBIO, its security holders or any other party to proceed with or effect the Transaction, (ii)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(iii) the fairness of any portion or aspect of the Transaction to the holders of any class of securities, creditors or other constituencies of AVROBIO or Tectonic, or to any other party (including, without limitation, the potential dilutive or other effects of the Transaction), (iv) the relative merits of the Transaction as compared to any alternative business strategies or transactions that might have been available for AVROBIO, Tectonic or any other party, (v) the fairness of any portion or aspect of the Transaction to any one class or group of AVROBIOs, Tectonics or any other partys security holders or other constituents vis-à-vis any other class or group of AVROBIOs, Tectonics or such other partys security holders or other constituents (including, without limitation, the allocation of any consideration amongst or within such classes or groups of security holders or other constituents), (vi) the appropriate capital structure of AVROBIO or Tectonic, whether AVROBIO or Tectonic should be issuing debt or equity securities or a combination of both in the Transaction, or the form, structure or any aspect or terms of any debt or equity financing for, or in connection with, the Transaction (including, without limitation, the private financings and the Company SAFEs) or the likelihood of obtaining such financing, (vii) the acquisition by any party or group of a controlling interest in AVROBIO, (viii) whether or not AVROBIO, Tectonic, their respective security holders or any other party is receiving or paying reasonably equivalent value in the Transaction, (ix) the solvency, creditworthiness or fair value of AVROBIO, Tectonic or any other participant in the Transaction, or any of their respective assets, under any applicable laws relating to bankruptcy, insolvency, fraudulent conveyance or similar matters, or (x) the fairness, financial or otherwise, of the amount, nature or any other aspect of any compensation to or consideration payable to or received by any officers, directors or employees of any party to the Transaction, any class of such persons or any other party, relative to the Exchange Ratio or otherwise. The Opinion did not address the financial or other implications and effects of the Transaction (including, without limitation, any financing associated therewith) on AVROBIO, any security holders, creditors or other constituencies of AVROBIO, or any other party. Furthermore, Houlihan Lokey did not express any opinion, counsel or interpretation regarding matters that require legal, regulatory, environmental, accounting, insurance, tax or other similar professional advice. Houlihan Lokey assumed that such opinions, counsel or interpretations had been or would be obtained from the appropriate professional sources. Furthermore, Houlihan Lokey relied, with the consent of the AVROBIO Board, on the assessments by the AVROBIO Board, AVROBIO and their respective advisors, as to all legal, regulatory, environmental, accounting, insurance, tax and other similar matters with respect to AVROBIO, Tectonic and the Transaction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Opinion to the AVROBIO Board, Houlihan Lokey performed a variety of analyses, including those described below. The summary of Houlihan Lokeys analyses is not a complete description of the analyses underlying the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circumstances presented. As a consequence, neither the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analyses, Houlihan Lokey considered general business, economic, industry and market conditions, financial and otherwise, and other matters as they existed on, and could be evaluated as of, the date of the Opinion. No company or business used in Houlihan Lokeys analyses for comparative purposes is identical to Tectonic and an evaluation of the results of those analyses is not entirely mathematical. The estimates contained in the AVROBIO Liquidation Analysis and the Tectonic Development Information, and the implied exchange ratio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AVROBIO and Tectonic. Much of the information used in, and accordingly the results of, Houlihan Lokeys analyses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Opinion was only one of many factors considered by the AVROBIO Board in evaluating the proposed Merger. Neither the Opinion nor Houlihan Lokeys analyses were determinative of the Exchange Ratio or of the views of the AVROBIO Board with respect to the Merger or the Exchange Ratio. The type and amount of consideration payable in the Merger were determined through negotiation between AVROBIO and Tectonic, and the decision to enter into the Agreement was solely that of the AVROBIO Board. Additionally, Houlihan Lokey did not evaluate any future payments or other proceeds that could accrue to the benefit of the CVR holders pursuant to the CVR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performed by Houlihan Lokey in connection with the preparation of the Opinion and reviewed with the AVROBIO Board on January 29, 2024.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analyses, Houlihan Lokey reviewed a number of financial metrics, including Enterprise Value, which generally is, the value as of a specified date of the relevant companys outstanding equity securities (taking into account outstanding options and other securities convertible, exercisable or exchangeable into or for equity securities of the company) plus the amount of its net debt (the amount of its outstanding indebtedness, non-convertible preferred stock, capital lease obligations and non-controlling interests less the amount of cash and cash equivalents on its balance sheet).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share prices used in the selected companies analysis described below were based on the closing price of the common stock of the selected companies listed below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direction of the AVROBIO Board, Houlihan Lokey assumed for purposes of its financial analyses and opinion to the AVROBIO Board, that the Exchange Ratio provided for in the Merger pursuant to the Merger Agreement, after giving effect to the Related Transactions, would be equal to 0.74458326 shares of AVROBIO common stock for each share of Tectonic capital stock, which assumed, among other things, there would no adjustment to the Exchange Ratio for AVROBIO cash and aggregate proceeds of $130.7 million would be raised from the private financings including the Company SAFEs. </w:t>
      </w:r>
    </w:p>
    <w:p>
      <w:pPr>
        <w:pStyle w:val="TextBody"/>
        <w:bidi w:val="0"/>
        <w:spacing w:before="240" w:after="0"/>
        <w:jc w:val="left"/>
        <w:rPr>
          <w:rFonts w:ascii="Times New Roman" w:hAnsi="Times New Roman"/>
          <w:sz w:val="20"/>
        </w:rPr>
      </w:pPr>
      <w:r>
        <w:rPr>
          <w:rFonts w:ascii="Times New Roman" w:hAnsi="Times New Roman"/>
          <w:i/>
          <w:sz w:val="20"/>
        </w:rPr>
        <w:t xml:space="preserve">AVROBIO - AVROBIO Liquidation Analysis. </w:t>
      </w:r>
      <w:r>
        <w:rPr>
          <w:rFonts w:ascii="Times New Roman" w:hAnsi="Times New Roman"/>
          <w:sz w:val="20"/>
        </w:rPr>
        <w:t xml:space="preserve">Houlihan Lokey reviewed and considered the AVROBIO Liquidation Analysis prepared by management of AVROBIO and noted that the estimates of future cash distributable to AVROBIOs stockholders therein resulted in an aggregate implied equity value for AVROBIO at the time of such distribution ranging from approximately $68.7 million to $72.6 million, implying a value of $14.93 to $15.78 per share of AVROBIO common stock at the time of such distribution, assuming, at the direction of AVROBIO, a one-for-ten reverse stock split. For additional information on AVROBIOs liquidation analysis, see the section titled  </w:t>
      </w:r>
      <w:r>
        <w:rPr>
          <w:rFonts w:ascii="Times New Roman" w:hAnsi="Times New Roman"/>
          <w:i/>
          <w:sz w:val="20"/>
        </w:rPr>
        <w:t> AVROBIO Liquidation Analysis</w:t>
      </w:r>
      <w:r>
        <w:rPr>
          <w:rFonts w:ascii="Times New Roman" w:hAnsi="Times New Roman"/>
          <w:sz w:val="20"/>
        </w:rPr>
        <w:t xml:space="preserve"> on page 203 of this proxy statement/prospectus. </w:t>
      </w:r>
    </w:p>
    <w:p>
      <w:pPr>
        <w:pStyle w:val="TextBody"/>
        <w:bidi w:val="0"/>
        <w:spacing w:before="240" w:after="0"/>
        <w:jc w:val="left"/>
        <w:rPr>
          <w:rFonts w:ascii="Times New Roman" w:hAnsi="Times New Roman"/>
          <w:sz w:val="20"/>
        </w:rPr>
      </w:pPr>
      <w:r>
        <w:rPr>
          <w:rFonts w:ascii="Times New Roman" w:hAnsi="Times New Roman"/>
          <w:i/>
          <w:sz w:val="20"/>
        </w:rPr>
        <w:t>Tectonic - Selected Companies Analysis</w:t>
      </w:r>
      <w:r>
        <w:rPr>
          <w:rFonts w:ascii="Times New Roman" w:hAnsi="Times New Roman"/>
          <w:sz w:val="20"/>
        </w:rPr>
        <w:t xml:space="preserve">. Houlihan Lokey reviewed certain financial and other data for selected companies with publicly traded equity securities that Houlihan Lokey deemed relevant. The selected companies were selected because they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selected companies,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data reviewed included enterprise value and the phase of development, therapeutic category and therapeutic indication of the applicable companys lead product. </w:t>
      </w:r>
    </w:p>
    <w:p>
      <w:pPr>
        <w:pStyle w:val="TextBody"/>
        <w:bidi w:val="0"/>
        <w:spacing w:before="240" w:after="0"/>
        <w:jc w:val="left"/>
        <w:rPr>
          <w:rFonts w:ascii="Times New Roman" w:hAnsi="Times New Roman"/>
          <w:sz w:val="20"/>
        </w:rPr>
      </w:pPr>
      <w:r>
        <w:rPr>
          <w:rFonts w:ascii="Times New Roman" w:hAnsi="Times New Roman"/>
          <w:sz w:val="20"/>
        </w:rPr>
        <w:t xml:space="preserve">The selected companies and corresponding financial and other data are as follows: </w:t>
      </w:r>
    </w:p>
    <w:p>
      <w:pPr>
        <w:pStyle w:val="TextBody"/>
        <w:bidi w:val="0"/>
        <w:spacing w:before="0" w:after="0"/>
        <w:jc w:val="left"/>
        <w:rPr/>
      </w:pPr>
      <w:r>
        <w:rPr/>
        <w:t> </w:t>
      </w:r>
    </w:p>
    <w:tbl>
      <w:tblPr>
        <w:tblW w:w="11130" w:type="dxa"/>
        <w:jc w:val="center"/>
        <w:tblInd w:w="0" w:type="dxa"/>
        <w:tblLayout w:type="fixed"/>
        <w:tblCellMar>
          <w:top w:w="0" w:type="dxa"/>
          <w:left w:w="0" w:type="dxa"/>
          <w:bottom w:w="0" w:type="dxa"/>
          <w:right w:w="0" w:type="dxa"/>
        </w:tblCellMar>
      </w:tblPr>
      <w:tblGrid>
        <w:gridCol w:w="2615"/>
        <w:gridCol w:w="60"/>
        <w:gridCol w:w="247"/>
        <w:gridCol w:w="853"/>
        <w:gridCol w:w="155"/>
        <w:gridCol w:w="60"/>
        <w:gridCol w:w="1775"/>
        <w:gridCol w:w="60"/>
        <w:gridCol w:w="2180"/>
        <w:gridCol w:w="60"/>
        <w:gridCol w:w="3065"/>
      </w:tblGrid>
      <w:tr>
        <w:trPr/>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bottom"/>
          </w:tcPr>
          <w:p>
            <w:pPr>
              <w:pStyle w:val="TableContents"/>
              <w:bidi w:val="0"/>
              <w:spacing w:before="0" w:after="283"/>
              <w:jc w:val="left"/>
              <w:rPr>
                <w:b/>
                <w:i/>
              </w:rPr>
            </w:pPr>
            <w:r>
              <w:rPr>
                <w:b/>
                <w:i/>
              </w:rPr>
              <w:t>(Dollars in millions)</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Enterprise</w:t>
              <w:br/>
              <w:t>Value</w:t>
            </w:r>
          </w:p>
        </w:tc>
        <w:tc>
          <w:tcPr>
            <w:tcW w:w="15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0"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Lead Product</w:t>
            </w:r>
          </w:p>
        </w:tc>
      </w:tr>
      <w:tr>
        <w:trPr/>
        <w:tc>
          <w:tcPr>
            <w:tcW w:w="26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Cardiovascular Companies</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7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Phase</w:t>
            </w:r>
          </w:p>
        </w:tc>
        <w:tc>
          <w:tcPr>
            <w:tcW w:w="60" w:type="dxa"/>
            <w:tcBorders/>
            <w:vAlign w:val="bottom"/>
          </w:tcPr>
          <w:p>
            <w:pPr>
              <w:pStyle w:val="TableContents"/>
              <w:bidi w:val="0"/>
              <w:spacing w:before="0" w:after="283"/>
              <w:jc w:val="left"/>
              <w:rPr/>
            </w:pPr>
            <w:r>
              <w:rPr/>
              <w:t> </w:t>
            </w:r>
          </w:p>
        </w:tc>
        <w:tc>
          <w:tcPr>
            <w:tcW w:w="21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Therapeutic Category</w:t>
            </w:r>
          </w:p>
        </w:tc>
        <w:tc>
          <w:tcPr>
            <w:tcW w:w="60" w:type="dxa"/>
            <w:tcBorders/>
            <w:vAlign w:val="bottom"/>
          </w:tcPr>
          <w:p>
            <w:pPr>
              <w:pStyle w:val="TableContents"/>
              <w:bidi w:val="0"/>
              <w:spacing w:before="0" w:after="283"/>
              <w:jc w:val="left"/>
              <w:rPr/>
            </w:pPr>
            <w:r>
              <w:rPr/>
              <w:t> </w:t>
            </w:r>
          </w:p>
        </w:tc>
        <w:tc>
          <w:tcPr>
            <w:tcW w:w="30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Therapeutic Indication</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Aerovate Therapeutics, Inc.</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354.0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Phase II-B / III</w:t>
            </w:r>
          </w:p>
        </w:tc>
        <w:tc>
          <w:tcPr>
            <w:tcW w:w="60" w:type="dxa"/>
            <w:tcBorders/>
            <w:shd w:fill="CCEEFF" w:val="clear"/>
            <w:vAlign w:val="bottom"/>
          </w:tcPr>
          <w:p>
            <w:pPr>
              <w:pStyle w:val="TableContents"/>
              <w:bidi w:val="0"/>
              <w:spacing w:before="0" w:after="283"/>
              <w:jc w:val="left"/>
              <w:rPr/>
            </w:pPr>
            <w:r>
              <w:rPr/>
              <w:t> </w:t>
            </w:r>
          </w:p>
        </w:tc>
        <w:tc>
          <w:tcPr>
            <w:tcW w:w="2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bottom"/>
          </w:tcPr>
          <w:p>
            <w:pPr>
              <w:pStyle w:val="TableContents"/>
              <w:bidi w:val="0"/>
              <w:spacing w:before="0" w:after="283"/>
              <w:jc w:val="left"/>
              <w:rPr/>
            </w:pPr>
            <w:r>
              <w:rPr/>
              <w:t> </w:t>
            </w:r>
          </w:p>
        </w:tc>
        <w:tc>
          <w:tcPr>
            <w:tcW w:w="30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Cereno Scientific AB (publ)</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97.0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Phase II</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Gossamer Bio, Inc.</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63.1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Phase III</w:t>
            </w:r>
          </w:p>
        </w:tc>
        <w:tc>
          <w:tcPr>
            <w:tcW w:w="60" w:type="dxa"/>
            <w:tcBorders/>
            <w:shd w:fill="CCEEFF" w:val="clear"/>
            <w:vAlign w:val="bottom"/>
          </w:tcPr>
          <w:p>
            <w:pPr>
              <w:pStyle w:val="TableContents"/>
              <w:bidi w:val="0"/>
              <w:spacing w:before="0" w:after="283"/>
              <w:jc w:val="left"/>
              <w:rPr/>
            </w:pPr>
            <w:r>
              <w:rPr/>
              <w:t> </w:t>
            </w:r>
          </w:p>
        </w:tc>
        <w:tc>
          <w:tcPr>
            <w:tcW w:w="2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bottom"/>
          </w:tcPr>
          <w:p>
            <w:pPr>
              <w:pStyle w:val="TableContents"/>
              <w:bidi w:val="0"/>
              <w:spacing w:before="0" w:after="283"/>
              <w:jc w:val="left"/>
              <w:rPr/>
            </w:pPr>
            <w:r>
              <w:rPr/>
              <w:t> </w:t>
            </w:r>
          </w:p>
        </w:tc>
        <w:tc>
          <w:tcPr>
            <w:tcW w:w="30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Pharmosa Biopharm Inc.</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302.5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Phase III</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Tenax Therapeutics, Inc.</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Phase III - Starting</w:t>
            </w:r>
          </w:p>
        </w:tc>
        <w:tc>
          <w:tcPr>
            <w:tcW w:w="60" w:type="dxa"/>
            <w:tcBorders/>
            <w:shd w:fill="CCEEFF" w:val="clear"/>
            <w:vAlign w:val="bottom"/>
          </w:tcPr>
          <w:p>
            <w:pPr>
              <w:pStyle w:val="TableContents"/>
              <w:bidi w:val="0"/>
              <w:spacing w:before="0" w:after="283"/>
              <w:jc w:val="left"/>
              <w:rPr/>
            </w:pPr>
            <w:r>
              <w:rPr/>
              <w:t> </w:t>
            </w:r>
          </w:p>
        </w:tc>
        <w:tc>
          <w:tcPr>
            <w:tcW w:w="2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bottom"/>
          </w:tcPr>
          <w:p>
            <w:pPr>
              <w:pStyle w:val="TableContents"/>
              <w:bidi w:val="0"/>
              <w:spacing w:before="0" w:after="283"/>
              <w:jc w:val="left"/>
              <w:rPr/>
            </w:pPr>
            <w:r>
              <w:rPr/>
              <w:t> </w:t>
            </w:r>
          </w:p>
        </w:tc>
        <w:tc>
          <w:tcPr>
            <w:tcW w:w="30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Pulmonary Hypertension, HFpEF</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Tenaya Therapeutics, Inc.</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Phase I Complete</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HFpEF</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Verve Therapeutics, Inc.</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442.9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2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Cardiovascular, Metabolic</w:t>
            </w:r>
          </w:p>
        </w:tc>
        <w:tc>
          <w:tcPr>
            <w:tcW w:w="60" w:type="dxa"/>
            <w:tcBorders/>
            <w:shd w:fill="CCEEFF" w:val="clear"/>
            <w:vAlign w:val="bottom"/>
          </w:tcPr>
          <w:p>
            <w:pPr>
              <w:pStyle w:val="TableContents"/>
              <w:bidi w:val="0"/>
              <w:spacing w:before="0" w:after="283"/>
              <w:jc w:val="left"/>
              <w:rPr/>
            </w:pPr>
            <w:r>
              <w:rPr/>
              <w:t> </w:t>
            </w:r>
          </w:p>
        </w:tc>
        <w:tc>
          <w:tcPr>
            <w:tcW w:w="30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ASCVD, HeFH</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sz w:val="4"/>
                <w:szCs w:val="4"/>
              </w:rPr>
            </w:pPr>
            <w:r>
              <w:rPr>
                <w:sz w:val="4"/>
                <w:szCs w:val="4"/>
              </w:rPr>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442.9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65" w:type="dxa"/>
            <w:tcBorders/>
            <w:shd w:fill="CCEEFF" w:val="clear"/>
            <w:vAlign w:val="bottom"/>
          </w:tcPr>
          <w:p>
            <w:pPr>
              <w:pStyle w:val="TableContents"/>
              <w:bidi w:val="0"/>
              <w:spacing w:before="0" w:after="283"/>
              <w:jc w:val="left"/>
              <w:rPr>
                <w:sz w:val="4"/>
                <w:szCs w:val="4"/>
              </w:rPr>
            </w:pPr>
            <w:r>
              <w:rPr>
                <w:sz w:val="4"/>
                <w:szCs w:val="4"/>
              </w:rPr>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sz w:val="4"/>
                <w:szCs w:val="4"/>
              </w:rPr>
            </w:pPr>
            <w:r>
              <w:rPr>
                <w:sz w:val="4"/>
                <w:szCs w:val="4"/>
              </w:rPr>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201.2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6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5765" w:type="dxa"/>
            <w:gridSpan w:val="7"/>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5765" w:type="dxa"/>
            <w:gridSpan w:val="7"/>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Selected Early Stage Companies</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sz w:val="4"/>
                <w:szCs w:val="4"/>
              </w:rPr>
            </w:pPr>
            <w:r>
              <w:rPr>
                <w:sz w:val="4"/>
                <w:szCs w:val="4"/>
              </w:rPr>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Acumen Pharmaceuticals, Inc.</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95.1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Phase II Ready</w:t>
            </w:r>
          </w:p>
        </w:tc>
        <w:tc>
          <w:tcPr>
            <w:tcW w:w="60" w:type="dxa"/>
            <w:tcBorders/>
            <w:shd w:fill="CCEEFF" w:val="clear"/>
            <w:vAlign w:val="bottom"/>
          </w:tcPr>
          <w:p>
            <w:pPr>
              <w:pStyle w:val="TableContents"/>
              <w:bidi w:val="0"/>
              <w:spacing w:before="0" w:after="283"/>
              <w:jc w:val="left"/>
              <w:rPr/>
            </w:pPr>
            <w:r>
              <w:rPr/>
              <w:t> </w:t>
            </w:r>
          </w:p>
        </w:tc>
        <w:tc>
          <w:tcPr>
            <w:tcW w:w="2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Central Nervous System</w:t>
            </w:r>
          </w:p>
        </w:tc>
        <w:tc>
          <w:tcPr>
            <w:tcW w:w="60" w:type="dxa"/>
            <w:tcBorders/>
            <w:shd w:fill="CCEEFF" w:val="clear"/>
            <w:vAlign w:val="bottom"/>
          </w:tcPr>
          <w:p>
            <w:pPr>
              <w:pStyle w:val="TableContents"/>
              <w:bidi w:val="0"/>
              <w:spacing w:before="0" w:after="283"/>
              <w:jc w:val="left"/>
              <w:rPr/>
            </w:pPr>
            <w:r>
              <w:rPr/>
              <w:t> </w:t>
            </w:r>
          </w:p>
        </w:tc>
        <w:tc>
          <w:tcPr>
            <w:tcW w:w="30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Alzheimers Disease</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Apogee Therapeutics, Inc.</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1,426.8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Dermatology</w:t>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Atopic Dermatitis</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Cabaletta Bio, Inc.</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790.3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Phase I / II</w:t>
            </w:r>
          </w:p>
        </w:tc>
        <w:tc>
          <w:tcPr>
            <w:tcW w:w="60" w:type="dxa"/>
            <w:tcBorders/>
            <w:shd w:fill="CCEEFF" w:val="clear"/>
            <w:vAlign w:val="bottom"/>
          </w:tcPr>
          <w:p>
            <w:pPr>
              <w:pStyle w:val="TableContents"/>
              <w:bidi w:val="0"/>
              <w:spacing w:before="0" w:after="283"/>
              <w:jc w:val="left"/>
              <w:rPr/>
            </w:pPr>
            <w:r>
              <w:rPr/>
              <w:t> </w:t>
            </w:r>
          </w:p>
        </w:tc>
        <w:tc>
          <w:tcPr>
            <w:tcW w:w="2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shd w:fill="CCEEFF" w:val="clear"/>
            <w:vAlign w:val="bottom"/>
          </w:tcPr>
          <w:p>
            <w:pPr>
              <w:pStyle w:val="TableContents"/>
              <w:bidi w:val="0"/>
              <w:spacing w:before="0" w:after="283"/>
              <w:jc w:val="left"/>
              <w:rPr/>
            </w:pPr>
            <w:r>
              <w:rPr/>
              <w:t> </w:t>
            </w:r>
          </w:p>
        </w:tc>
        <w:tc>
          <w:tcPr>
            <w:tcW w:w="30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Systemic Lupus Erythematosus (SLE)</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Dianthus Therapeutics, Inc.</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75.1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Phase II Ready</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Myasthenia Gravis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100" w:type="dxa"/>
        <w:jc w:val="center"/>
        <w:tblInd w:w="0" w:type="dxa"/>
        <w:tblLayout w:type="fixed"/>
        <w:tblCellMar>
          <w:top w:w="0" w:type="dxa"/>
          <w:left w:w="0" w:type="dxa"/>
          <w:bottom w:w="0" w:type="dxa"/>
          <w:right w:w="0" w:type="dxa"/>
        </w:tblCellMar>
      </w:tblPr>
      <w:tblGrid>
        <w:gridCol w:w="2615"/>
        <w:gridCol w:w="60"/>
        <w:gridCol w:w="175"/>
        <w:gridCol w:w="925"/>
        <w:gridCol w:w="155"/>
        <w:gridCol w:w="60"/>
        <w:gridCol w:w="1535"/>
        <w:gridCol w:w="60"/>
        <w:gridCol w:w="1670"/>
        <w:gridCol w:w="60"/>
        <w:gridCol w:w="3785"/>
      </w:tblGrid>
      <w:tr>
        <w:trPr/>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bottom"/>
          </w:tcPr>
          <w:p>
            <w:pPr>
              <w:pStyle w:val="TableContents"/>
              <w:bidi w:val="0"/>
              <w:spacing w:before="0" w:after="283"/>
              <w:jc w:val="left"/>
              <w:rPr>
                <w:b/>
                <w:i/>
              </w:rPr>
            </w:pPr>
            <w:r>
              <w:rPr>
                <w:b/>
                <w:i/>
              </w:rPr>
              <w:t>(Dollars in millions)</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5"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Enterprise</w:t>
              <w:br/>
              <w:t>Value</w:t>
            </w:r>
          </w:p>
        </w:tc>
        <w:tc>
          <w:tcPr>
            <w:tcW w:w="15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0"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Lead Product</w:t>
            </w:r>
          </w:p>
        </w:tc>
      </w:tr>
      <w:tr>
        <w:trPr/>
        <w:tc>
          <w:tcPr>
            <w:tcW w:w="26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Cardiovascular Companies</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5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Phase</w:t>
            </w:r>
          </w:p>
        </w:tc>
        <w:tc>
          <w:tcPr>
            <w:tcW w:w="60" w:type="dxa"/>
            <w:tcBorders/>
            <w:vAlign w:val="bottom"/>
          </w:tcPr>
          <w:p>
            <w:pPr>
              <w:pStyle w:val="TableContents"/>
              <w:bidi w:val="0"/>
              <w:spacing w:before="0" w:after="283"/>
              <w:jc w:val="left"/>
              <w:rPr/>
            </w:pPr>
            <w:r>
              <w:rPr/>
              <w:t> </w:t>
            </w:r>
          </w:p>
        </w:tc>
        <w:tc>
          <w:tcPr>
            <w:tcW w:w="16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Therapeutic Category</w:t>
            </w:r>
          </w:p>
        </w:tc>
        <w:tc>
          <w:tcPr>
            <w:tcW w:w="60" w:type="dxa"/>
            <w:tcBorders/>
            <w:vAlign w:val="bottom"/>
          </w:tcPr>
          <w:p>
            <w:pPr>
              <w:pStyle w:val="TableContents"/>
              <w:bidi w:val="0"/>
              <w:spacing w:before="0" w:after="283"/>
              <w:jc w:val="left"/>
              <w:rPr/>
            </w:pPr>
            <w:r>
              <w:rPr/>
              <w:t> </w:t>
            </w:r>
          </w:p>
        </w:tc>
        <w:tc>
          <w:tcPr>
            <w:tcW w:w="37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Therapeutic Indication</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Longboard Pharmaceuticals, Inc.</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787.9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center"/>
              <w:rPr/>
            </w:pPr>
            <w:r>
              <w:rPr/>
              <w:t>Phase III Ready</w:t>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Neurology</w:t>
            </w:r>
          </w:p>
        </w:tc>
        <w:tc>
          <w:tcPr>
            <w:tcW w:w="60" w:type="dxa"/>
            <w:tcBorders/>
            <w:shd w:fill="CCEEFF" w:val="clear"/>
            <w:vAlign w:val="bottom"/>
          </w:tcPr>
          <w:p>
            <w:pPr>
              <w:pStyle w:val="TableContents"/>
              <w:bidi w:val="0"/>
              <w:spacing w:before="0" w:after="283"/>
              <w:jc w:val="left"/>
              <w:rPr/>
            </w:pPr>
            <w:r>
              <w:rPr/>
              <w:t> </w:t>
            </w:r>
          </w:p>
        </w:tc>
        <w:tc>
          <w:tcPr>
            <w:tcW w:w="37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Developmental and Epileptic Encephalopathy</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Spyre Therapeutics, Inc.</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1,174.1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center"/>
              <w:rPr/>
            </w:pPr>
            <w:r>
              <w:rPr/>
              <w:t>IND</w:t>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Gastrointestinal</w:t>
            </w:r>
          </w:p>
        </w:tc>
        <w:tc>
          <w:tcPr>
            <w:tcW w:w="60" w:type="dxa"/>
            <w:tcBorders/>
            <w:vAlign w:val="bottom"/>
          </w:tcPr>
          <w:p>
            <w:pPr>
              <w:pStyle w:val="TableContents"/>
              <w:bidi w:val="0"/>
              <w:spacing w:before="0" w:after="283"/>
              <w:jc w:val="left"/>
              <w:rPr/>
            </w:pPr>
            <w:r>
              <w:rPr/>
              <w:t> </w:t>
            </w:r>
          </w:p>
        </w:tc>
        <w:tc>
          <w:tcPr>
            <w:tcW w:w="37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Inflammatory Bowel Disease</w:t>
            </w:r>
          </w:p>
        </w:tc>
      </w:tr>
      <w:tr>
        <w:trPr/>
        <w:tc>
          <w:tcPr>
            <w:tcW w:w="26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Structure Therapeutics Inc.</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1,870.9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center"/>
              <w:rPr/>
            </w:pPr>
            <w:r>
              <w:rPr/>
              <w:t>Phase II-A</w:t>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Metabolic Disorders</w:t>
            </w:r>
          </w:p>
        </w:tc>
        <w:tc>
          <w:tcPr>
            <w:tcW w:w="60" w:type="dxa"/>
            <w:tcBorders/>
            <w:shd w:fill="CCEEFF" w:val="clear"/>
            <w:vAlign w:val="bottom"/>
          </w:tcPr>
          <w:p>
            <w:pPr>
              <w:pStyle w:val="TableContents"/>
              <w:bidi w:val="0"/>
              <w:spacing w:before="0" w:after="283"/>
              <w:jc w:val="left"/>
              <w:rPr/>
            </w:pPr>
            <w:r>
              <w:rPr/>
              <w:t> </w:t>
            </w:r>
          </w:p>
        </w:tc>
        <w:tc>
          <w:tcPr>
            <w:tcW w:w="37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Diabetes and Obesity</w:t>
            </w:r>
          </w:p>
        </w:tc>
      </w:tr>
      <w:tr>
        <w:trPr/>
        <w:tc>
          <w:tcPr>
            <w:tcW w:w="2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Zura Bio Limited</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58.1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center"/>
              <w:rPr/>
            </w:pPr>
            <w:r>
              <w:rPr/>
              <w:t>Phase II Ready</w:t>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vAlign w:val="bottom"/>
          </w:tcPr>
          <w:p>
            <w:pPr>
              <w:pStyle w:val="TableContents"/>
              <w:bidi w:val="0"/>
              <w:spacing w:before="0" w:after="283"/>
              <w:jc w:val="left"/>
              <w:rPr/>
            </w:pPr>
            <w:r>
              <w:rPr/>
              <w:t> </w:t>
            </w:r>
          </w:p>
        </w:tc>
        <w:tc>
          <w:tcPr>
            <w:tcW w:w="37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Systemic Sclerosis</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(95.1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85" w:type="dxa"/>
            <w:tcBorders/>
            <w:shd w:fill="CCEEFF" w:val="clear"/>
            <w:vAlign w:val="bottom"/>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1,870.9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5" w:type="dxa"/>
            <w:tcBorders/>
            <w:vAlign w:val="bottom"/>
          </w:tcPr>
          <w:p>
            <w:pPr>
              <w:pStyle w:val="TableContents"/>
              <w:bidi w:val="0"/>
              <w:spacing w:before="0" w:after="283"/>
              <w:jc w:val="left"/>
              <w:rPr>
                <w:sz w:val="4"/>
                <w:szCs w:val="4"/>
              </w:rPr>
            </w:pPr>
            <w:r>
              <w:rPr>
                <w:sz w:val="4"/>
                <w:szCs w:val="4"/>
              </w:rPr>
            </w:r>
          </w:p>
        </w:tc>
      </w:tr>
      <w:tr>
        <w:trPr/>
        <w:tc>
          <w:tcPr>
            <w:tcW w:w="2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789.1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85" w:type="dxa"/>
            <w:tcBorders/>
            <w:shd w:fill="CCEEFF" w:val="clear"/>
            <w:vAlign w:val="bottom"/>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761.0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All Selected Companies</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85" w:type="dxa"/>
            <w:tcBorders/>
            <w:shd w:fill="CCEEFF" w:val="clear"/>
            <w:vAlign w:val="bottom"/>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(95.1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5" w:type="dxa"/>
            <w:tcBorders/>
            <w:vAlign w:val="bottom"/>
          </w:tcPr>
          <w:p>
            <w:pPr>
              <w:pStyle w:val="TableContents"/>
              <w:bidi w:val="0"/>
              <w:spacing w:before="0" w:after="283"/>
              <w:jc w:val="left"/>
              <w:rPr>
                <w:sz w:val="4"/>
                <w:szCs w:val="4"/>
              </w:rPr>
            </w:pPr>
            <w:r>
              <w:rPr>
                <w:sz w:val="4"/>
                <w:szCs w:val="4"/>
              </w:rPr>
            </w:r>
          </w:p>
        </w:tc>
      </w:tr>
      <w:tr>
        <w:trPr/>
        <w:tc>
          <w:tcPr>
            <w:tcW w:w="2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1,870.9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85" w:type="dxa"/>
            <w:tcBorders/>
            <w:shd w:fill="CCEEFF" w:val="clear"/>
            <w:vAlign w:val="bottom"/>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5" w:type="dxa"/>
            <w:tcBorders/>
            <w:vAlign w:val="bottom"/>
          </w:tcPr>
          <w:p>
            <w:pPr>
              <w:pStyle w:val="TableContents"/>
              <w:bidi w:val="0"/>
              <w:spacing w:before="0" w:after="283"/>
              <w:jc w:val="left"/>
              <w:rPr>
                <w:sz w:val="4"/>
                <w:szCs w:val="4"/>
              </w:rPr>
            </w:pPr>
            <w:r>
              <w:rPr>
                <w:sz w:val="4"/>
                <w:szCs w:val="4"/>
              </w:rPr>
            </w:r>
          </w:p>
        </w:tc>
      </w:tr>
      <w:tr>
        <w:trPr/>
        <w:tc>
          <w:tcPr>
            <w:tcW w:w="2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499.8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8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review of the selected companies, Houlihan Lokey considered, among other things, the fact that Tectonics lead program was in a Phase 1a trial in healthy volunteers, with plans to conduct Phase 1b and Phase 2 trials in patients with Group 2 PH / HFpEF. Houlihan Lokey also noted that the enterprise value for the selected companies with lead products in the cardiovascular therapeutic category ranged from $(8.0 million) to $442.9 million, and the enterprise value for the selected companies with lead products in early stages of development ranged from $(95.1 million) to $1,870.9 million. Taking into account the results of its selected companies analysis of Tectonic, including, among other things, its experience and professional judgment and the observed median enterprise value of the selected cardiovascular companies of $157.3 million, Houlihan Lokey selected an implied enterprise value reference range for Tectonic of $125.0 million to $175.0 million, which resulted in an aggregate implied equity value reference range for Tectonic pro forma for the private financings of $224.6 million to $274.6 million and an implied per share reference range for Tectonic pro forma for the private financings of $10.40 to $12.72. </w:t>
      </w:r>
    </w:p>
    <w:p>
      <w:pPr>
        <w:pStyle w:val="TextBody"/>
        <w:bidi w:val="0"/>
        <w:spacing w:before="240" w:after="0"/>
        <w:jc w:val="left"/>
        <w:rPr>
          <w:rFonts w:ascii="Times New Roman" w:hAnsi="Times New Roman"/>
          <w:sz w:val="20"/>
        </w:rPr>
      </w:pPr>
      <w:r>
        <w:rPr>
          <w:rFonts w:ascii="Times New Roman" w:hAnsi="Times New Roman"/>
          <w:i/>
          <w:sz w:val="20"/>
        </w:rPr>
        <w:t>Implied Exchange Ratio Reference Range</w:t>
      </w:r>
      <w:r>
        <w:rPr>
          <w:rFonts w:ascii="Times New Roman" w:hAnsi="Times New Roman"/>
          <w:sz w:val="20"/>
        </w:rPr>
        <w:t xml:space="preserve">. Taking into account the AVROBIO Liquidation Analysis and Houlihan Lokeys selected companies analysis for Tectonic, Houlihan Lokey (i) divided the low end of the implied per share reference range for Tectonic by the high end of the implied per share reference range for AVBROBIO and (ii) divided the high end of the implied per share reference range for Tectonic by the low end of the implied per share reference range for AVBROBIO, which indicated an implied exchange ratio reference range of 0.65897208 to 0.85154258 shares of AVROBIO common stock for each share of Tectonic capital stock, as compared to the assumed Exchange Ratio in the Merger pursuant to the Merger agreement of 0.74458326 shares of AVROBIO common stock for each share of Tectonic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i/>
          <w:sz w:val="20"/>
        </w:rPr>
        <w:t>Tectonic - Illustrative M&amp;A Transactions</w:t>
      </w:r>
      <w:r>
        <w:rPr>
          <w:rFonts w:ascii="Times New Roman" w:hAnsi="Times New Roman"/>
          <w:sz w:val="20"/>
        </w:rPr>
        <w:t xml:space="preserve">. Solely for illustrative purposes, Houlihan Lokey considered certain financial terms of certain M&amp;A transactions involving target companies that Houlihan Lokey deemed relevant. The illustrative M&amp;A transactions were selected because they involved target companies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M&amp;A transactions, and all criteria were evaluated in their entirety without application of definitive qualifications or limitations to individual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financial data reviewed included overall transaction value, the value of upfront consideration payable on closing of the transaction and the value of any contingent consideration. Transaction values for the M&amp;A transactions were calculated on an enterprise value basis based on the announced transaction equity price and other public information available at the time of the announcement. The M&amp;A transactions and corresponding data were: </w:t>
      </w:r>
    </w:p>
    <w:p>
      <w:pPr>
        <w:pStyle w:val="TextBody"/>
        <w:bidi w:val="0"/>
        <w:spacing w:before="0" w:after="0"/>
        <w:jc w:val="left"/>
        <w:rPr/>
      </w:pPr>
      <w:r>
        <w:rPr/>
        <w:t> </w:t>
      </w:r>
    </w:p>
    <w:tbl>
      <w:tblPr>
        <w:tblW w:w="13895" w:type="dxa"/>
        <w:jc w:val="center"/>
        <w:tblInd w:w="0" w:type="dxa"/>
        <w:tblLayout w:type="fixed"/>
        <w:tblCellMar>
          <w:top w:w="0" w:type="dxa"/>
          <w:left w:w="0" w:type="dxa"/>
          <w:bottom w:w="0" w:type="dxa"/>
          <w:right w:w="0" w:type="dxa"/>
        </w:tblCellMar>
      </w:tblPr>
      <w:tblGrid>
        <w:gridCol w:w="1595"/>
        <w:gridCol w:w="60"/>
        <w:gridCol w:w="60"/>
        <w:gridCol w:w="860"/>
        <w:gridCol w:w="60"/>
        <w:gridCol w:w="60"/>
        <w:gridCol w:w="3650"/>
        <w:gridCol w:w="60"/>
        <w:gridCol w:w="2960"/>
        <w:gridCol w:w="60"/>
        <w:gridCol w:w="232"/>
        <w:gridCol w:w="1228"/>
        <w:gridCol w:w="60"/>
        <w:gridCol w:w="60"/>
        <w:gridCol w:w="153"/>
        <w:gridCol w:w="1307"/>
        <w:gridCol w:w="60"/>
        <w:gridCol w:w="60"/>
        <w:gridCol w:w="198"/>
        <w:gridCol w:w="1052"/>
        <w:gridCol w:w="6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575" w:type="dxa"/>
            <w:gridSpan w:val="4"/>
            <w:tcBorders/>
            <w:vAlign w:val="bottom"/>
          </w:tcPr>
          <w:p>
            <w:pPr>
              <w:pStyle w:val="TableContents"/>
              <w:bidi w:val="0"/>
              <w:spacing w:before="0" w:after="283"/>
              <w:jc w:val="left"/>
              <w:rPr>
                <w:b/>
                <w:i/>
              </w:rPr>
            </w:pPr>
            <w:r>
              <w:rPr>
                <w:b/>
                <w:i/>
              </w:rPr>
              <w:t>(Dollars in millions)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w:t>
            </w:r>
          </w:p>
        </w:tc>
        <w:tc>
          <w:tcPr>
            <w:tcW w:w="6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Effective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60"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Upfront</w:t>
              <w:br/>
              <w:t>Consideration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Contingent</w:t>
              <w:br/>
              <w:t>Consideration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Value</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283"/>
              <w:jc w:val="left"/>
              <w:rPr>
                <w:b/>
              </w:rPr>
            </w:pPr>
            <w:r>
              <w:rPr>
                <w:b/>
              </w:rPr>
              <w:t>Cardiovascular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pPr>
            <w:r>
              <w:rPr/>
              <w:t>9/30/22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10/20/22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DJS Antibodies Ltd</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AbbVie,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350.0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9/20/22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12/1/22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Renovacor, Inc.</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Rocket Pharmaceuticals,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53.0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53.0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3/23/21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9/2/21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Chardan Healthcare Acquisition 2 Corp.</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Renovacor,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116.0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1/19/21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1/15/21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PH Precision Med</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Tenax Therapeutics,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21.6</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7/21/20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12/14/20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Tenzing Acquisition Corp.</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Reviva Pharmaceuticals,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119.7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119.7</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1/13/20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1/13/20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Viamets Oral Aldosterone Synthase Inhibitor</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PhaseBio Pharmaceuticals,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147.6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147.7</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159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pPr>
            <w:r>
              <w:rPr/>
              <w:t>Low</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21.6</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High</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147.6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350.0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Median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84.5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121.3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117.9</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Mean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94.2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134.7</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159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b/>
                <w:u w:val="single"/>
              </w:rPr>
            </w:pPr>
            <w:r>
              <w:rPr>
                <w:b/>
                <w:u w:val="single"/>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59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pPr>
            <w:r>
              <w:rPr/>
              <w:t>11/14/23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Pending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Qsam Biosciences, Inc.</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Telix Pharmaceuticals Limited</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33.1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123.1</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8/21/23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8/23/23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Bird Rock Bio, Inc.</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Skye Bioscience,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6/25/23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Pending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Qpex Biopharma, Inc.</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Shionogi,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140.0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2/21/23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2/21/23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Kinnjiu Biopharma Inc</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Kinnate Biopharma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24.0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11/7/22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11/7/22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Fulgent Pharma LLC</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Fulgent Genetics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9/19/22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9/29/22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Versantis AG</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Genfit SA</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41.4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67.3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108.8</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7/20/22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12/12/22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Larkspur Health Acquisition Corp.</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Zyversa Therapeutics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193.6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193.6</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7/5/22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8/11/22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TeneoTwo Inc</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AstraZeneca Plc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1,165.0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1,265.0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5/31/22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8/16/22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Affinivax Inc</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GSK Plc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3,300.0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3/1/22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3/1/22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Syndesi Therapeutics SA</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AbbVie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870.0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12/14/21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3/11/22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VCN Biosciences SL</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Theriva Biologics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11/11/21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12/13/21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Forendo Pharma Ltd</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Organon &amp; Co</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870.0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945.0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11/11/21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11/11/21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Abfero Pharmaceuticals Inc</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Pharmacosmos AS</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Undisclosed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225.0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10/26/21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10/26/21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Chengdu Antkin Biotechnology Co Ltd</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Shanghai Fosun Pharmaceutical Group</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627.3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627.3</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7/27/21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10/19/21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TeneoBio Inc</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Amgen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2,500.0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2/26/21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3/31/21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Silicon Therapeutics LLC</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Roivant Sciences Ltd</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450.0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Undisclosed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450.0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2/1/21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6/30/21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Leisure Acquisition Corp.</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Ensysce Biosciences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207.0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9/29/20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12/23/20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LifeSci Acquisition Corp.</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Vincerx Pharma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55.0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9/21/20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9/21/20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pPr>
            <w:r>
              <w:rPr/>
              <w:t>Inflazome Ltd</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pPr>
            <w:r>
              <w:rPr/>
              <w:t>F. Hoffmann-La Roche Ltd</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445.9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Undisclosed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445.9</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8/24/20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8/24/20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CerSci Therapeutics Inc</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pPr>
            <w:r>
              <w:rPr/>
              <w:t>Acadia Pharmaceuticals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887.0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939.5</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2/26/20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2/26/20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pPr>
            <w:r>
              <w:rPr/>
              <w:t>PVP Biologics Inc (Inactive)</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pPr>
            <w:r>
              <w:rPr/>
              <w:t>Takeda Pharmaceutical Co Ltd</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330.0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Undisclosed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330.0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1/16/20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5/6/20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Neon Therapeutics, Inc.</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pPr>
            <w:r>
              <w:rPr/>
              <w:t>BioNTech US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67.0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11/18/19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11/25/19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pPr>
            <w:r>
              <w:rPr/>
              <w:t>Rodin Therapeutics Inc</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pPr>
            <w:r>
              <w:rPr/>
              <w:t>Alkermes Plc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850.0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950.0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5/8/19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7/1/19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Therachon AG</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pPr>
            <w:r>
              <w:rPr/>
              <w:t>Pfizer Inc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340.0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470.0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810.0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4/1/19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left"/>
              <w:rPr/>
            </w:pPr>
            <w:r>
              <w:rPr/>
              <w:t>5/8/19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pPr>
            <w:r>
              <w:rPr/>
              <w:t>Novartis AG</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pPr>
            <w:r>
              <w:rPr/>
              <w:t>IFM Tre Inc</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310.0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1,265.0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1,575.0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1/4/19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1/11/19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Yong Shun Technology Development</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pPr>
            <w:r>
              <w:rPr/>
              <w:t>Dragon Merit</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r>
      <w:tr>
        <w:trPr>
          <w:trHeight w:val="120" w:hRule="atLeast"/>
        </w:trPr>
        <w:tc>
          <w:tcPr>
            <w:tcW w:w="159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pPr>
            <w:r>
              <w:rPr/>
              <w:t>Low</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20.0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High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1,600.0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3,300.0</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pPr>
            <w:r>
              <w:rPr/>
              <w:t>Media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68.8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277.5</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pPr>
            <w:r>
              <w:rPr/>
              <w:t>Mean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271.9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429.3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635.1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64"/>
        <w:gridCol w:w="151"/>
        <w:gridCol w:w="453"/>
        <w:gridCol w:w="454"/>
        <w:gridCol w:w="60"/>
        <w:gridCol w:w="151"/>
        <w:gridCol w:w="1497"/>
        <w:gridCol w:w="151"/>
        <w:gridCol w:w="1397"/>
        <w:gridCol w:w="151"/>
        <w:gridCol w:w="232"/>
        <w:gridCol w:w="1274"/>
        <w:gridCol w:w="60"/>
        <w:gridCol w:w="150"/>
        <w:gridCol w:w="232"/>
        <w:gridCol w:w="1274"/>
        <w:gridCol w:w="60"/>
        <w:gridCol w:w="151"/>
        <w:gridCol w:w="198"/>
        <w:gridCol w:w="1077"/>
        <w:gridCol w:w="68"/>
      </w:tblGrid>
      <w:tr>
        <w:trPr/>
        <w:tc>
          <w:tcPr>
            <w:tcW w:w="964"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022" w:type="dxa"/>
            <w:gridSpan w:val="4"/>
            <w:tcBorders/>
            <w:vAlign w:val="bottom"/>
          </w:tcPr>
          <w:p>
            <w:pPr>
              <w:pStyle w:val="TableContents"/>
              <w:bidi w:val="0"/>
              <w:spacing w:before="0" w:after="283"/>
              <w:jc w:val="left"/>
              <w:rPr>
                <w:b/>
                <w:i/>
              </w:rPr>
            </w:pPr>
            <w:r>
              <w:rPr>
                <w:b/>
                <w:i/>
              </w:rPr>
              <w:t>(Dollars in millions)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5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9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w:t>
            </w:r>
          </w:p>
        </w:tc>
        <w:tc>
          <w:tcPr>
            <w:tcW w:w="151"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Effective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51"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151"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Upfront</w:t>
              <w:br/>
              <w:t>Consideration</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Contingent</w:t>
              <w:br/>
              <w:t>Consideration</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Value</w:t>
            </w:r>
          </w:p>
        </w:tc>
        <w:tc>
          <w:tcPr>
            <w:tcW w:w="68" w:type="dxa"/>
            <w:tcBorders/>
            <w:vAlign w:val="bottom"/>
          </w:tcPr>
          <w:p>
            <w:pPr>
              <w:pStyle w:val="TableContents"/>
              <w:bidi w:val="0"/>
              <w:spacing w:before="0" w:after="283"/>
              <w:jc w:val="left"/>
              <w:rPr/>
            </w:pPr>
            <w:r>
              <w:rPr/>
              <w:t> </w:t>
            </w:r>
          </w:p>
        </w:tc>
      </w:tr>
      <w:tr>
        <w:trPr>
          <w:trHeight w:val="120" w:hRule="atLeast"/>
        </w:trPr>
        <w:tc>
          <w:tcPr>
            <w:tcW w:w="2082" w:type="dxa"/>
            <w:gridSpan w:val="5"/>
            <w:tcBorders/>
            <w:vAlign w:val="center"/>
          </w:tcPr>
          <w:p>
            <w:pPr>
              <w:pStyle w:val="TableContents"/>
              <w:bidi w:val="0"/>
              <w:spacing w:before="0" w:after="283"/>
              <w:jc w:val="left"/>
              <w:rPr>
                <w:sz w:val="4"/>
                <w:szCs w:val="4"/>
              </w:rPr>
            </w:pPr>
            <w:r>
              <w:rPr>
                <w:sz w:val="4"/>
                <w:szCs w:val="4"/>
              </w:rPr>
            </w:r>
          </w:p>
        </w:tc>
        <w:tc>
          <w:tcPr>
            <w:tcW w:w="1648" w:type="dxa"/>
            <w:gridSpan w:val="2"/>
            <w:tcBorders/>
            <w:vAlign w:val="center"/>
          </w:tcPr>
          <w:p>
            <w:pPr>
              <w:pStyle w:val="TableContents"/>
              <w:bidi w:val="0"/>
              <w:spacing w:before="0" w:after="283"/>
              <w:jc w:val="left"/>
              <w:rPr>
                <w:sz w:val="4"/>
                <w:szCs w:val="4"/>
              </w:rPr>
            </w:pPr>
            <w:r>
              <w:rPr>
                <w:sz w:val="4"/>
                <w:szCs w:val="4"/>
              </w:rPr>
            </w:r>
          </w:p>
        </w:tc>
        <w:tc>
          <w:tcPr>
            <w:tcW w:w="1548" w:type="dxa"/>
            <w:gridSpan w:val="2"/>
            <w:tcBorders/>
            <w:vAlign w:val="center"/>
          </w:tcPr>
          <w:p>
            <w:pPr>
              <w:pStyle w:val="TableContents"/>
              <w:bidi w:val="0"/>
              <w:spacing w:before="0" w:after="283"/>
              <w:jc w:val="left"/>
              <w:rPr>
                <w:sz w:val="4"/>
                <w:szCs w:val="4"/>
              </w:rPr>
            </w:pPr>
            <w:r>
              <w:rPr>
                <w:sz w:val="4"/>
                <w:szCs w:val="4"/>
              </w:rPr>
            </w:r>
          </w:p>
        </w:tc>
        <w:tc>
          <w:tcPr>
            <w:tcW w:w="1717" w:type="dxa"/>
            <w:gridSpan w:val="4"/>
            <w:tcBorders/>
            <w:vAlign w:val="center"/>
          </w:tcPr>
          <w:p>
            <w:pPr>
              <w:pStyle w:val="TableContents"/>
              <w:bidi w:val="0"/>
              <w:spacing w:before="0" w:after="283"/>
              <w:jc w:val="left"/>
              <w:rPr>
                <w:sz w:val="4"/>
                <w:szCs w:val="4"/>
              </w:rPr>
            </w:pPr>
            <w:r>
              <w:rPr>
                <w:sz w:val="4"/>
                <w:szCs w:val="4"/>
              </w:rPr>
            </w:r>
          </w:p>
        </w:tc>
        <w:tc>
          <w:tcPr>
            <w:tcW w:w="1716"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r>
      <w:tr>
        <w:trPr/>
        <w:tc>
          <w:tcPr>
            <w:tcW w:w="2022" w:type="dxa"/>
            <w:gridSpan w:val="4"/>
            <w:tcBorders/>
            <w:shd w:fill="CCEEFF" w:val="clea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All M&amp;A Transactions</w:t>
            </w:r>
          </w:p>
        </w:tc>
        <w:tc>
          <w:tcPr>
            <w:tcW w:w="60" w:type="dxa"/>
            <w:tcBorders/>
            <w:shd w:fill="CCEEFF" w:val="clear"/>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964" w:type="dxa"/>
            <w:tcBorders/>
            <w:vAlign w:val="bottom"/>
          </w:tcPr>
          <w:p>
            <w:pPr>
              <w:pStyle w:val="TableContents"/>
              <w:bidi w:val="0"/>
              <w:spacing w:before="0" w:after="283"/>
              <w:jc w:val="left"/>
              <w:rPr/>
            </w:pPr>
            <w:r>
              <w:rPr/>
              <w:t>Low</w:t>
            </w:r>
          </w:p>
        </w:tc>
        <w:tc>
          <w:tcPr>
            <w:tcW w:w="151"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20.0</w:t>
            </w:r>
          </w:p>
        </w:tc>
        <w:tc>
          <w:tcPr>
            <w:tcW w:w="68" w:type="dxa"/>
            <w:tcBorders/>
            <w:vAlign w:val="bottom"/>
          </w:tcPr>
          <w:p>
            <w:pPr>
              <w:pStyle w:val="TableContents"/>
              <w:bidi w:val="0"/>
              <w:spacing w:before="0" w:after="283"/>
              <w:jc w:val="left"/>
              <w:rPr/>
            </w:pPr>
            <w:r>
              <w:rPr/>
              <w:t> </w:t>
            </w:r>
          </w:p>
        </w:tc>
      </w:tr>
      <w:tr>
        <w:trPr/>
        <w:tc>
          <w:tcPr>
            <w:tcW w:w="964" w:type="dxa"/>
            <w:tcBorders/>
            <w:shd w:fill="CCEEFF" w:val="clear"/>
            <w:vAlign w:val="bottom"/>
          </w:tcPr>
          <w:p>
            <w:pPr>
              <w:pStyle w:val="TableContents"/>
              <w:bidi w:val="0"/>
              <w:spacing w:before="0" w:after="283"/>
              <w:jc w:val="left"/>
              <w:rPr/>
            </w:pPr>
            <w:r>
              <w:rPr/>
              <w:t>High</w:t>
            </w:r>
          </w:p>
        </w:tc>
        <w:tc>
          <w:tcPr>
            <w:tcW w:w="151"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2,100.0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1,600.0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3,300.0</w:t>
            </w:r>
          </w:p>
        </w:tc>
        <w:tc>
          <w:tcPr>
            <w:tcW w:w="68" w:type="dxa"/>
            <w:tcBorders/>
            <w:shd w:fill="CCEEFF" w:val="clear"/>
            <w:vAlign w:val="bottom"/>
          </w:tcPr>
          <w:p>
            <w:pPr>
              <w:pStyle w:val="TableContents"/>
              <w:bidi w:val="0"/>
              <w:spacing w:before="0" w:after="283"/>
              <w:jc w:val="left"/>
              <w:rPr/>
            </w:pPr>
            <w:r>
              <w:rPr/>
              <w:t> </w:t>
            </w:r>
          </w:p>
        </w:tc>
      </w:tr>
      <w:tr>
        <w:trPr/>
        <w:tc>
          <w:tcPr>
            <w:tcW w:w="964" w:type="dxa"/>
            <w:tcBorders/>
            <w:vAlign w:val="bottom"/>
          </w:tcPr>
          <w:p>
            <w:pPr>
              <w:pStyle w:val="TableContents"/>
              <w:bidi w:val="0"/>
              <w:spacing w:before="0" w:after="283"/>
              <w:jc w:val="left"/>
              <w:rPr/>
            </w:pPr>
            <w:r>
              <w:rPr/>
              <w:t>Media</w:t>
            </w:r>
          </w:p>
        </w:tc>
        <w:tc>
          <w:tcPr>
            <w:tcW w:w="151"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80.1</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200.3</w:t>
            </w:r>
          </w:p>
        </w:tc>
        <w:tc>
          <w:tcPr>
            <w:tcW w:w="68" w:type="dxa"/>
            <w:tcBorders/>
            <w:vAlign w:val="bottom"/>
          </w:tcPr>
          <w:p>
            <w:pPr>
              <w:pStyle w:val="TableContents"/>
              <w:bidi w:val="0"/>
              <w:spacing w:before="0" w:after="283"/>
              <w:jc w:val="left"/>
              <w:rPr/>
            </w:pPr>
            <w:r>
              <w:rPr/>
              <w:t> </w:t>
            </w:r>
          </w:p>
        </w:tc>
      </w:tr>
      <w:tr>
        <w:trPr/>
        <w:tc>
          <w:tcPr>
            <w:tcW w:w="964" w:type="dxa"/>
            <w:tcBorders/>
            <w:shd w:fill="CCEEFF" w:val="clear"/>
            <w:vAlign w:val="bottom"/>
          </w:tcPr>
          <w:p>
            <w:pPr>
              <w:pStyle w:val="TableContents"/>
              <w:bidi w:val="0"/>
              <w:spacing w:before="0" w:after="283"/>
              <w:jc w:val="left"/>
              <w:rPr/>
            </w:pPr>
            <w:r>
              <w:rPr/>
              <w:t>Mean</w:t>
            </w:r>
          </w:p>
        </w:tc>
        <w:tc>
          <w:tcPr>
            <w:tcW w:w="151"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238.6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403.6</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541.3</w:t>
            </w:r>
          </w:p>
        </w:tc>
        <w:tc>
          <w:tcPr>
            <w:tcW w:w="6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NA refers to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In its review of the M&amp;A transactions, Houlihan Lokey considered, among other things, the fact that Tectonics lead program was in a Phase 1a trial in healthy volunteers, with plans to conduct Phase 1b and Phase 2 trials in patients with Group 2 PH / HFpEF. Houlihan Lokey also noted that the enterprise value (before taking into account any contingent consideration) for the M&amp;A transactions involving target companies with lead products in the cardiovascular therapeutic category ranged from $0.1 million to $225.0 million and the enterprise value (before taking into account any contingent consideration) for the M&amp;A transactions involving target companies with lead products in Phase 1 stage of development ranged from $4.7 million to $2,100.0 million. Taking into account the results of its illustrative M&amp;A transactions analysis of Tectonic, including, among other things, its experience and professional judgment and the observed median transaction value of the illustrative M&amp;A transactions involving cardiovascular companies of $117.9 million, Houlihan Lokey selected an illustrative implied enterprise value reference range for Tectonic of $100.0 million to $150.0 million, which resulted in an illustrative aggregate implied equity value reference range for Tectonic pro forma for the private financings of $199.6 million to $249.6 million and an illustrative implied per share reference range for Tectonic pro forma for the private financings of $9.24 to $11.56. </w:t>
      </w:r>
    </w:p>
    <w:p>
      <w:pPr>
        <w:pStyle w:val="TextBody"/>
        <w:bidi w:val="0"/>
        <w:spacing w:before="240" w:after="0"/>
        <w:jc w:val="left"/>
        <w:rPr>
          <w:rFonts w:ascii="Times New Roman" w:hAnsi="Times New Roman"/>
          <w:sz w:val="20"/>
        </w:rPr>
      </w:pPr>
      <w:r>
        <w:rPr>
          <w:rFonts w:ascii="Times New Roman" w:hAnsi="Times New Roman"/>
          <w:i/>
          <w:sz w:val="20"/>
        </w:rPr>
        <w:t>Tectonic - Illustrative IPO Transactions</w:t>
      </w:r>
      <w:r>
        <w:rPr>
          <w:rFonts w:ascii="Times New Roman" w:hAnsi="Times New Roman"/>
          <w:sz w:val="20"/>
        </w:rPr>
        <w:t xml:space="preserve">. Solely for illustrative purposes, Houlihan Lokey considered certain financial terms of certain IPO transactions involving companies that Houlihan Lokey deemed relevant. The illustrative IPO transactions were selected because they involved issuers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IPO transactions,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financial data reviewed included pre-money equity value, gross proceeds, post-money equity value and post-money enterprise value, which were calculated based on the announced transaction IPO price and other public information available at the time of the announcement. The IPO transactions and corresponding data were: </w:t>
      </w:r>
    </w:p>
    <w:p>
      <w:pPr>
        <w:pStyle w:val="TextBody"/>
        <w:bidi w:val="0"/>
        <w:spacing w:before="0" w:after="0"/>
        <w:jc w:val="left"/>
        <w:rPr/>
      </w:pPr>
      <w:r>
        <w:rPr/>
        <w:t> </w:t>
      </w:r>
    </w:p>
    <w:tbl>
      <w:tblPr>
        <w:tblW w:w="12235" w:type="dxa"/>
        <w:jc w:val="center"/>
        <w:tblInd w:w="0" w:type="dxa"/>
        <w:tblLayout w:type="fixed"/>
        <w:tblCellMar>
          <w:top w:w="0" w:type="dxa"/>
          <w:left w:w="0" w:type="dxa"/>
          <w:bottom w:w="0" w:type="dxa"/>
          <w:right w:w="0" w:type="dxa"/>
        </w:tblCellMar>
      </w:tblPr>
      <w:tblGrid>
        <w:gridCol w:w="710"/>
        <w:gridCol w:w="60"/>
        <w:gridCol w:w="2000"/>
        <w:gridCol w:w="60"/>
        <w:gridCol w:w="145"/>
        <w:gridCol w:w="775"/>
        <w:gridCol w:w="60"/>
        <w:gridCol w:w="60"/>
        <w:gridCol w:w="2315"/>
        <w:gridCol w:w="60"/>
        <w:gridCol w:w="64"/>
        <w:gridCol w:w="1081"/>
        <w:gridCol w:w="60"/>
        <w:gridCol w:w="60"/>
        <w:gridCol w:w="140"/>
        <w:gridCol w:w="560"/>
        <w:gridCol w:w="60"/>
        <w:gridCol w:w="60"/>
        <w:gridCol w:w="145"/>
        <w:gridCol w:w="580"/>
        <w:gridCol w:w="60"/>
        <w:gridCol w:w="60"/>
        <w:gridCol w:w="187"/>
        <w:gridCol w:w="748"/>
        <w:gridCol w:w="60"/>
        <w:gridCol w:w="60"/>
        <w:gridCol w:w="145"/>
        <w:gridCol w:w="580"/>
        <w:gridCol w:w="60"/>
        <w:gridCol w:w="60"/>
        <w:gridCol w:w="220"/>
        <w:gridCol w:w="880"/>
        <w:gridCol w:w="60"/>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6185" w:type="dxa"/>
            <w:gridSpan w:val="9"/>
            <w:tcBorders/>
            <w:vAlign w:val="bottom"/>
          </w:tcPr>
          <w:p>
            <w:pPr>
              <w:pStyle w:val="TableContents"/>
              <w:bidi w:val="0"/>
              <w:spacing w:before="0" w:after="283"/>
              <w:jc w:val="left"/>
              <w:rPr>
                <w:b/>
              </w:rPr>
            </w:pPr>
            <w:r>
              <w:rPr>
                <w:b/>
              </w:rPr>
              <w:t>(Dollars in millions, except per share data)</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7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60" w:type="dxa"/>
            <w:tcBorders/>
            <w:vAlign w:val="bottom"/>
          </w:tcPr>
          <w:p>
            <w:pPr>
              <w:pStyle w:val="TableContents"/>
              <w:bidi w:val="0"/>
              <w:spacing w:before="0" w:after="283"/>
              <w:jc w:val="left"/>
              <w:rPr/>
            </w:pPr>
            <w:r>
              <w:rPr/>
              <w:t> </w:t>
            </w:r>
          </w:p>
        </w:tc>
        <w:tc>
          <w:tcPr>
            <w:tcW w:w="20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6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GPCR</w:t>
              <w:br/>
              <w:t>Platform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Lead Asset</w:t>
              <w:br/>
              <w:t>Phase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Offer</w:t>
              <w:b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b/>
              </w:rPr>
              <w:t>Pre-</w:t>
            </w:r>
            <w:r>
              <w:rPr/>
              <w:br/>
            </w:r>
            <w:r>
              <w:rPr>
                <w:b/>
              </w:rPr>
              <w:t>Money</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Proceeds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w:t>
              <w:br/>
              <w:t>Money</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w:t>
              <w:br/>
              <w:t>Money</w:t>
              <w:br/>
              <w:t>Enterprise</w:t>
              <w:br/>
              <w:t>Value</w:t>
            </w:r>
          </w:p>
        </w:tc>
        <w:tc>
          <w:tcPr>
            <w:tcW w:w="60" w:type="dxa"/>
            <w:tcBorders/>
            <w:vAlign w:val="bottom"/>
          </w:tcPr>
          <w:p>
            <w:pPr>
              <w:pStyle w:val="TableContents"/>
              <w:bidi w:val="0"/>
              <w:spacing w:before="0" w:after="283"/>
              <w:jc w:val="left"/>
              <w:rPr/>
            </w:pPr>
            <w:r>
              <w:rPr/>
              <w:t> </w:t>
            </w:r>
          </w:p>
        </w:tc>
      </w:tr>
      <w:tr>
        <w:trPr/>
        <w:tc>
          <w:tcPr>
            <w:tcW w:w="2770" w:type="dxa"/>
            <w:gridSpan w:val="3"/>
            <w:tcBorders/>
            <w:shd w:fill="CCEEFF" w:val="clea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Cardiovascular</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11/2/23</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Lexeo Therapeutics, Inc.</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Cardiomyopathy and Alzheimers</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172.4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272.4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329.7</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2/9/23</w:t>
            </w:r>
          </w:p>
        </w:tc>
        <w:tc>
          <w:tcPr>
            <w:tcW w:w="60"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Mineralys Therapeutics, Inc.</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Hypertension</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432.9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220.8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653.7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357.4</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1/6/22</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CinCor Pharma, Inc.</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Hypertension</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390.7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212.7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603.4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284.6</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7/29/21</w:t>
            </w:r>
          </w:p>
        </w:tc>
        <w:tc>
          <w:tcPr>
            <w:tcW w:w="60"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Tenaya Therapeutics, Inc.</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gHCM and HFpEF</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Preclinical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409.9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207.0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616.9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324.7</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6/29/21</w:t>
            </w:r>
          </w:p>
        </w:tc>
        <w:tc>
          <w:tcPr>
            <w:tcW w:w="60"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Aerovate Therapeutics, Inc.</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PAH</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341.7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247.5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3550" w:type="dxa"/>
        <w:jc w:val="center"/>
        <w:tblInd w:w="0" w:type="dxa"/>
        <w:tblLayout w:type="fixed"/>
        <w:tblCellMar>
          <w:top w:w="0" w:type="dxa"/>
          <w:left w:w="0" w:type="dxa"/>
          <w:bottom w:w="0" w:type="dxa"/>
          <w:right w:w="0" w:type="dxa"/>
        </w:tblCellMar>
      </w:tblPr>
      <w:tblGrid>
        <w:gridCol w:w="710"/>
        <w:gridCol w:w="60"/>
        <w:gridCol w:w="2360"/>
        <w:gridCol w:w="60"/>
        <w:gridCol w:w="121"/>
        <w:gridCol w:w="799"/>
        <w:gridCol w:w="60"/>
        <w:gridCol w:w="60"/>
        <w:gridCol w:w="2960"/>
        <w:gridCol w:w="60"/>
        <w:gridCol w:w="64"/>
        <w:gridCol w:w="1081"/>
        <w:gridCol w:w="60"/>
        <w:gridCol w:w="60"/>
        <w:gridCol w:w="140"/>
        <w:gridCol w:w="560"/>
        <w:gridCol w:w="60"/>
        <w:gridCol w:w="60"/>
        <w:gridCol w:w="140"/>
        <w:gridCol w:w="740"/>
        <w:gridCol w:w="60"/>
        <w:gridCol w:w="60"/>
        <w:gridCol w:w="187"/>
        <w:gridCol w:w="748"/>
        <w:gridCol w:w="60"/>
        <w:gridCol w:w="60"/>
        <w:gridCol w:w="140"/>
        <w:gridCol w:w="740"/>
        <w:gridCol w:w="60"/>
        <w:gridCol w:w="60"/>
        <w:gridCol w:w="175"/>
        <w:gridCol w:w="925"/>
        <w:gridCol w:w="60"/>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190" w:type="dxa"/>
            <w:gridSpan w:val="9"/>
            <w:tcBorders/>
            <w:vAlign w:val="bottom"/>
          </w:tcPr>
          <w:p>
            <w:pPr>
              <w:pStyle w:val="TableContents"/>
              <w:bidi w:val="0"/>
              <w:spacing w:before="0" w:after="283"/>
              <w:jc w:val="left"/>
              <w:rPr>
                <w:b/>
              </w:rPr>
            </w:pPr>
            <w:r>
              <w:rPr>
                <w:b/>
              </w:rPr>
              <w:t>(Dollars in millions, except per share data)</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7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60" w:type="dxa"/>
            <w:tcBorders/>
            <w:vAlign w:val="bottom"/>
          </w:tcPr>
          <w:p>
            <w:pPr>
              <w:pStyle w:val="TableContents"/>
              <w:bidi w:val="0"/>
              <w:spacing w:before="0" w:after="283"/>
              <w:jc w:val="left"/>
              <w:rPr/>
            </w:pPr>
            <w:r>
              <w:rPr/>
              <w:t> </w:t>
            </w:r>
          </w:p>
        </w:tc>
        <w:tc>
          <w:tcPr>
            <w:tcW w:w="23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6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GPCR</w:t>
              <w:br/>
              <w:t>Platform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Lead Asset</w:t>
              <w:br/>
              <w:t>Phase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Offer</w:t>
              <w:b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b/>
              </w:rPr>
              <w:t>Pre-</w:t>
            </w:r>
            <w:r>
              <w:rPr/>
              <w:br/>
            </w:r>
            <w:r>
              <w:rPr>
                <w:b/>
              </w:rPr>
              <w:t>Money</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Proceeds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w:t>
              <w:br/>
              <w:t>Money</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w:t>
              <w:br/>
              <w:t>Money</w:t>
              <w:br/>
              <w:t>Enterprise</w:t>
              <w:br/>
              <w:t>Value</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6/17/21</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Verve Therapeutics,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Hypercholesterolemia and ASCVD</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Preclinical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609.4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306.7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916.1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571.9</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10/28/20</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Galecto,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Pulmonary Fibrosis</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283.8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95.1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378.9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205.2</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5/13/19</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Applied Therapeutics,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Diabetic Cardiomyopathy</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130.5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170.5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114.5</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130.5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170.5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114.5</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609.4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306.7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916.1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571.9</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173.4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491.1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304.6</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165.3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494.2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304.4</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3130" w:type="dxa"/>
            <w:gridSpan w:val="3"/>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r>
      <w:tr>
        <w:trPr/>
        <w:tc>
          <w:tcPr>
            <w:tcW w:w="3130" w:type="dxa"/>
            <w:gridSpan w:val="3"/>
            <w:tcBorders/>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Phase I</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7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3/30/23</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Gubra A/S</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Yes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Obesity</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205.0</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2/2/23</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 Therapeutics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Yes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T2DM / Obesity and PAH</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370.5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555.8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306.0</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9/14/22</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Third Harmonic Bio,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Chronic Urticaria and Asthma</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213.1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685.6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403.8</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7/27/22</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MAIA Biotechnology,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53.2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34.4</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5/5/22</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PepGen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Duchenne Muscular Dystrophy</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160.7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122.9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52.0</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3/24/22</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AN2 Therapeutics,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Infectious Diseases</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212.1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79.4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167.3</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2/3/22</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Arcellx,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Myeloma</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379.4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142.3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521.7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339.5</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10/20/21</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Ventyx Biosciences,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Yes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Ulcerative Colitis and Crohns Disease</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631.3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805.6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513.4</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10/14/21</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MiNK Therapeutics,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Respiratory Distress Syndrome</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351.0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355.1</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7/30/21</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IN8bio,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Leukemia</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138.9</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3/25/21</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Edgewise Therapeutics,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Muscular Dystrophy and Cardiomyopathy</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585.1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521.4</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3/18/21</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Instil Bio,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2,196.2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368.0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2,564.2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1,975.4</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3/11/21</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Longboard Pharmaceuticals,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Yes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DEEs</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132.6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84.8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2/11/21</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Decibel Therapeutics,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Hearing Disorders</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137.9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246.1</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12/4/20</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Silverback Therapeutics,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452.9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277.7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367.9</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10/15/20</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Aligos Therapeutics,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Hepatitis B</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507.0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242.8</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10/1/20</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Oncorus,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240.7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98.4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196.6</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9/24/20</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Prelude Therapeutics,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648.5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181.9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830.4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606.6</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9/17/20</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Athira Pharma,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Alzheimers Disease, Dementia</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227.8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547.7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277.4</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7/15/20</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Relay Therapeutics,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1,337.5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460.0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1,797.5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1,093.1</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6/25/20</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Fusion Pharmaceuticals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495.8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212.5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385.3</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6/4/20</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Applied Molecular Transport Inc.</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Pouchitis and Rheumatoid Arthritis</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center"/>
              <w:rPr/>
            </w:pPr>
            <w:r>
              <w:rPr/>
              <w:t>Phase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299.6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476.7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319.1</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7/17/19</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Fulcrum Therapeutics, Inc.</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Muscular Dystrophy</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center"/>
              <w:rPr/>
            </w:pPr>
            <w:r>
              <w:rPr/>
              <w:t>Phase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373.4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247.2</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41.7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53.2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34.4</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2,196.2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460.0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2,564.2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1,975.4</w:t>
            </w:r>
          </w:p>
        </w:tc>
        <w:tc>
          <w:tcPr>
            <w:tcW w:w="60" w:type="dxa"/>
            <w:tcBorders/>
            <w:shd w:fill="CCEEFF" w:val="clear"/>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60" w:type="dxa"/>
            <w:tcBorders/>
            <w:vAlign w:val="bottom"/>
          </w:tcPr>
          <w:p>
            <w:pPr>
              <w:pStyle w:val="TableContents"/>
              <w:bidi w:val="0"/>
              <w:spacing w:before="0" w:after="283"/>
              <w:jc w:val="left"/>
              <w:rPr/>
            </w:pPr>
            <w:r>
              <w:rPr/>
              <w:t> </w:t>
            </w:r>
          </w:p>
        </w:tc>
        <w:tc>
          <w:tcPr>
            <w:tcW w:w="23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48" w:type="dxa"/>
            <w:tcBorders/>
            <w:vAlign w:val="bottom"/>
          </w:tcPr>
          <w:p>
            <w:pPr>
              <w:pStyle w:val="TableContents"/>
              <w:bidi w:val="0"/>
              <w:spacing w:before="0" w:after="283"/>
              <w:jc w:val="right"/>
              <w:rPr/>
            </w:pPr>
            <w:r>
              <w:rPr/>
              <w:t>172.5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507.0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306.0</w:t>
            </w:r>
          </w:p>
        </w:tc>
        <w:tc>
          <w:tcPr>
            <w:tcW w:w="60" w:type="dxa"/>
            <w:tcBorders/>
            <w:vAlign w:val="bottom"/>
          </w:tcPr>
          <w:p>
            <w:pPr>
              <w:pStyle w:val="TableContents"/>
              <w:bidi w:val="0"/>
              <w:spacing w:before="0" w:after="283"/>
              <w:jc w:val="left"/>
              <w:rPr/>
            </w:pPr>
            <w:r>
              <w:rPr/>
              <w:t> </w:t>
            </w:r>
          </w:p>
        </w:tc>
      </w:tr>
      <w:tr>
        <w:trPr/>
        <w:tc>
          <w:tcPr>
            <w:tcW w:w="7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60" w:type="dxa"/>
            <w:tcBorders/>
            <w:shd w:fill="CCEEFF" w:val="clear"/>
            <w:vAlign w:val="bottom"/>
          </w:tcPr>
          <w:p>
            <w:pPr>
              <w:pStyle w:val="TableContents"/>
              <w:bidi w:val="0"/>
              <w:spacing w:before="0" w:after="283"/>
              <w:jc w:val="left"/>
              <w:rPr/>
            </w:pPr>
            <w:r>
              <w:rPr/>
              <w:t> </w:t>
            </w:r>
          </w:p>
        </w:tc>
        <w:tc>
          <w:tcPr>
            <w:tcW w:w="23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48" w:type="dxa"/>
            <w:tcBorders/>
            <w:shd w:fill="CCEEFF" w:val="clear"/>
            <w:vAlign w:val="bottom"/>
          </w:tcPr>
          <w:p>
            <w:pPr>
              <w:pStyle w:val="TableContents"/>
              <w:bidi w:val="0"/>
              <w:spacing w:before="0" w:after="283"/>
              <w:jc w:val="right"/>
              <w:rPr/>
            </w:pPr>
            <w:r>
              <w:rPr/>
              <w:t>161.4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624.6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395.0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759"/>
        <w:gridCol w:w="72"/>
        <w:gridCol w:w="878"/>
        <w:gridCol w:w="72"/>
        <w:gridCol w:w="460"/>
        <w:gridCol w:w="460"/>
        <w:gridCol w:w="60"/>
        <w:gridCol w:w="72"/>
        <w:gridCol w:w="900"/>
        <w:gridCol w:w="72"/>
        <w:gridCol w:w="577"/>
        <w:gridCol w:w="578"/>
        <w:gridCol w:w="60"/>
        <w:gridCol w:w="72"/>
        <w:gridCol w:w="140"/>
        <w:gridCol w:w="565"/>
        <w:gridCol w:w="60"/>
        <w:gridCol w:w="71"/>
        <w:gridCol w:w="140"/>
        <w:gridCol w:w="742"/>
        <w:gridCol w:w="60"/>
        <w:gridCol w:w="72"/>
        <w:gridCol w:w="187"/>
        <w:gridCol w:w="750"/>
        <w:gridCol w:w="60"/>
        <w:gridCol w:w="72"/>
        <w:gridCol w:w="140"/>
        <w:gridCol w:w="742"/>
        <w:gridCol w:w="60"/>
        <w:gridCol w:w="72"/>
        <w:gridCol w:w="175"/>
        <w:gridCol w:w="931"/>
        <w:gridCol w:w="74"/>
      </w:tblGrid>
      <w:tr>
        <w:trPr/>
        <w:tc>
          <w:tcPr>
            <w:tcW w:w="759"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3733" w:type="dxa"/>
            <w:gridSpan w:val="9"/>
            <w:tcBorders/>
            <w:vAlign w:val="bottom"/>
          </w:tcPr>
          <w:p>
            <w:pPr>
              <w:pStyle w:val="TableContents"/>
              <w:bidi w:val="0"/>
              <w:spacing w:before="0" w:after="283"/>
              <w:jc w:val="left"/>
              <w:rPr>
                <w:b/>
              </w:rPr>
            </w:pPr>
            <w:r>
              <w:rPr>
                <w:b/>
              </w:rPr>
              <w:t>(Dollars in millions, except per share data)</w:t>
            </w:r>
          </w:p>
        </w:tc>
        <w:tc>
          <w:tcPr>
            <w:tcW w:w="72" w:type="dxa"/>
            <w:tcBorders/>
            <w:vAlign w:val="bottom"/>
          </w:tcPr>
          <w:p>
            <w:pPr>
              <w:pStyle w:val="TableContents"/>
              <w:bidi w:val="0"/>
              <w:spacing w:before="0" w:after="283"/>
              <w:jc w:val="left"/>
              <w:rPr/>
            </w:pPr>
            <w:r>
              <w:rPr/>
              <w:t> </w:t>
            </w:r>
          </w:p>
        </w:tc>
        <w:tc>
          <w:tcPr>
            <w:tcW w:w="11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06"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72" w:type="dxa"/>
            <w:tcBorders/>
            <w:vAlign w:val="bottom"/>
          </w:tcPr>
          <w:p>
            <w:pPr>
              <w:pStyle w:val="TableContents"/>
              <w:bidi w:val="0"/>
              <w:spacing w:before="0" w:after="283"/>
              <w:jc w:val="left"/>
              <w:rPr/>
            </w:pPr>
            <w:r>
              <w:rPr/>
              <w:t> </w:t>
            </w:r>
          </w:p>
        </w:tc>
        <w:tc>
          <w:tcPr>
            <w:tcW w:w="8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72"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GPCR</w:t>
              <w:br/>
              <w:t>Platform</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72"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Lead Asset</w:t>
              <w:br/>
              <w:t>Phase</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Offer</w:t>
              <w:br/>
              <w:t>Price</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b/>
              </w:rPr>
              <w:t>Pre-</w:t>
            </w:r>
            <w:r>
              <w:rPr/>
              <w:br/>
            </w:r>
            <w:r>
              <w:rPr>
                <w:b/>
              </w:rPr>
              <w:t>Money</w:t>
              <w:br/>
              <w:t>Value</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Proceeds</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w:t>
              <w:br/>
              <w:t>Money</w:t>
              <w:br/>
              <w:t>Value</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w:t>
              <w:br/>
              <w:t>Money</w:t>
              <w:br/>
              <w:t>Enterprise</w:t>
              <w:br/>
              <w:t>Value</w:t>
            </w:r>
          </w:p>
        </w:tc>
        <w:tc>
          <w:tcPr>
            <w:tcW w:w="74" w:type="dxa"/>
            <w:tcBorders/>
            <w:vAlign w:val="bottom"/>
          </w:tcPr>
          <w:p>
            <w:pPr>
              <w:pStyle w:val="TableContents"/>
              <w:bidi w:val="0"/>
              <w:spacing w:before="0" w:after="283"/>
              <w:jc w:val="left"/>
              <w:rPr/>
            </w:pPr>
            <w:r>
              <w:rPr/>
              <w:t> </w:t>
            </w:r>
          </w:p>
        </w:tc>
      </w:tr>
      <w:tr>
        <w:trPr>
          <w:trHeight w:val="120" w:hRule="atLeast"/>
        </w:trPr>
        <w:tc>
          <w:tcPr>
            <w:tcW w:w="1709" w:type="dxa"/>
            <w:gridSpan w:val="3"/>
            <w:tcBorders/>
            <w:vAlign w:val="center"/>
          </w:tcPr>
          <w:p>
            <w:pPr>
              <w:pStyle w:val="TableContents"/>
              <w:bidi w:val="0"/>
              <w:spacing w:before="0" w:after="283"/>
              <w:jc w:val="left"/>
              <w:rPr>
                <w:sz w:val="4"/>
                <w:szCs w:val="4"/>
              </w:rPr>
            </w:pPr>
            <w:r>
              <w:rPr>
                <w:sz w:val="4"/>
                <w:szCs w:val="4"/>
              </w:rPr>
            </w:r>
          </w:p>
        </w:tc>
        <w:tc>
          <w:tcPr>
            <w:tcW w:w="1052" w:type="dxa"/>
            <w:gridSpan w:val="4"/>
            <w:tcBorders/>
            <w:vAlign w:val="center"/>
          </w:tcPr>
          <w:p>
            <w:pPr>
              <w:pStyle w:val="TableContents"/>
              <w:bidi w:val="0"/>
              <w:spacing w:before="0" w:after="283"/>
              <w:jc w:val="left"/>
              <w:rPr>
                <w:sz w:val="4"/>
                <w:szCs w:val="4"/>
              </w:rPr>
            </w:pPr>
            <w:r>
              <w:rPr>
                <w:sz w:val="4"/>
                <w:szCs w:val="4"/>
              </w:rPr>
            </w:r>
          </w:p>
        </w:tc>
        <w:tc>
          <w:tcPr>
            <w:tcW w:w="972" w:type="dxa"/>
            <w:gridSpan w:val="2"/>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c>
          <w:tcPr>
            <w:tcW w:w="837"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1014" w:type="dxa"/>
            <w:gridSpan w:val="4"/>
            <w:tcBorders/>
            <w:vAlign w:val="center"/>
          </w:tcPr>
          <w:p>
            <w:pPr>
              <w:pStyle w:val="TableContents"/>
              <w:bidi w:val="0"/>
              <w:spacing w:before="0" w:after="283"/>
              <w:jc w:val="left"/>
              <w:rPr>
                <w:sz w:val="4"/>
                <w:szCs w:val="4"/>
              </w:rPr>
            </w:pPr>
            <w:r>
              <w:rPr>
                <w:sz w:val="4"/>
                <w:szCs w:val="4"/>
              </w:rPr>
            </w:r>
          </w:p>
        </w:tc>
        <w:tc>
          <w:tcPr>
            <w:tcW w:w="1252" w:type="dxa"/>
            <w:gridSpan w:val="4"/>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All Selected IPOs</w:t>
            </w:r>
          </w:p>
        </w:tc>
        <w:tc>
          <w:tcPr>
            <w:tcW w:w="72"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31"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72"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41.7</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53.2</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31" w:type="dxa"/>
            <w:tcBorders/>
            <w:vAlign w:val="bottom"/>
          </w:tcPr>
          <w:p>
            <w:pPr>
              <w:pStyle w:val="TableContents"/>
              <w:bidi w:val="0"/>
              <w:spacing w:before="0" w:after="283"/>
              <w:jc w:val="right"/>
              <w:rPr/>
            </w:pPr>
            <w:r>
              <w:rPr/>
              <w:t>34.4</w:t>
            </w:r>
          </w:p>
        </w:tc>
        <w:tc>
          <w:tcPr>
            <w:tcW w:w="74" w:type="dxa"/>
            <w:tcBorders/>
            <w:vAlign w:val="bottom"/>
          </w:tcPr>
          <w:p>
            <w:pPr>
              <w:pStyle w:val="TableContents"/>
              <w:bidi w:val="0"/>
              <w:spacing w:before="0" w:after="283"/>
              <w:jc w:val="left"/>
              <w:rPr/>
            </w:pPr>
            <w:r>
              <w:rPr/>
              <w:t> </w:t>
            </w:r>
          </w:p>
        </w:tc>
      </w:tr>
      <w:tr>
        <w:trPr/>
        <w:tc>
          <w:tcPr>
            <w:tcW w:w="759"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72"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21.00</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2,196.2</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460.0</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2,564.2</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31" w:type="dxa"/>
            <w:tcBorders/>
            <w:shd w:fill="CCEEFF" w:val="clear"/>
            <w:vAlign w:val="bottom"/>
          </w:tcPr>
          <w:p>
            <w:pPr>
              <w:pStyle w:val="TableContents"/>
              <w:bidi w:val="0"/>
              <w:spacing w:before="0" w:after="283"/>
              <w:jc w:val="right"/>
              <w:rPr/>
            </w:pPr>
            <w:r>
              <w:rPr/>
              <w:t>1,975.4</w:t>
            </w:r>
          </w:p>
        </w:tc>
        <w:tc>
          <w:tcPr>
            <w:tcW w:w="74" w:type="dxa"/>
            <w:tcBorders/>
            <w:shd w:fill="CCEEFF" w:val="clear"/>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72"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16.00</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334.5</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172.5</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507.0</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31" w:type="dxa"/>
            <w:tcBorders/>
            <w:vAlign w:val="bottom"/>
          </w:tcPr>
          <w:p>
            <w:pPr>
              <w:pStyle w:val="TableContents"/>
              <w:bidi w:val="0"/>
              <w:spacing w:before="0" w:after="283"/>
              <w:jc w:val="right"/>
              <w:rPr/>
            </w:pPr>
            <w:r>
              <w:rPr/>
              <w:t>306.0</w:t>
            </w:r>
          </w:p>
        </w:tc>
        <w:tc>
          <w:tcPr>
            <w:tcW w:w="74" w:type="dxa"/>
            <w:tcBorders/>
            <w:vAlign w:val="bottom"/>
          </w:tcPr>
          <w:p>
            <w:pPr>
              <w:pStyle w:val="TableContents"/>
              <w:bidi w:val="0"/>
              <w:spacing w:before="0" w:after="283"/>
              <w:jc w:val="left"/>
              <w:rPr/>
            </w:pPr>
            <w:r>
              <w:rPr/>
              <w:t> </w:t>
            </w:r>
          </w:p>
        </w:tc>
      </w:tr>
      <w:tr>
        <w:trPr/>
        <w:tc>
          <w:tcPr>
            <w:tcW w:w="759"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72"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15.26</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428.6</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162.4</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591.0</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31" w:type="dxa"/>
            <w:tcBorders/>
            <w:shd w:fill="CCEEFF" w:val="clear"/>
            <w:vAlign w:val="bottom"/>
          </w:tcPr>
          <w:p>
            <w:pPr>
              <w:pStyle w:val="TableContents"/>
              <w:bidi w:val="0"/>
              <w:spacing w:before="0" w:after="283"/>
              <w:jc w:val="right"/>
              <w:rPr/>
            </w:pPr>
            <w:r>
              <w:rPr/>
              <w:t>371.6</w:t>
            </w:r>
          </w:p>
        </w:tc>
        <w:tc>
          <w:tcPr>
            <w:tcW w:w="7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review of the illustrative IPO transactions, Houlihan Lokey considered, among other things, the fact that Tectonics lead product was in Phase 1a trials. Houlihan Lokey also noted that the enterprise value for the issuers in the illustrative IPO transactions involving issuers with lead products in the cardiovascular therapeutic category ranged from $130.5 million to $609.4 million, and the enterprise value for the issuers in the illustrative IPO transactions involving issuers with lead products in the Phase 1 stage of development ranged from $41.7 million to $2,196.2 million. Taking into account the results of its illustrative IPO transactions analysis of Tectonic, including, among other things, its experience and professional judgment and the observed median post money enterprise value of the illustrative IPO transactions involving cardiovascular companies of $304.6 million, Houlihan Lokey selected an illustrative implied enterprise value reference range for Tectonic of $150.0 million to $200.0 million, which resulted in an illustrative aggregate implied equity value reference range for Tectonic pro forma for the private financings of $249.6 million to $299.6 million and an illustrative implied per share reference range for Tectonic pro forma for the private financings of $11.56 to $13.88. </w:t>
      </w:r>
    </w:p>
    <w:p>
      <w:pPr>
        <w:pStyle w:val="TextBody"/>
        <w:bidi w:val="0"/>
        <w:spacing w:before="240" w:after="0"/>
        <w:jc w:val="left"/>
        <w:rPr>
          <w:rFonts w:ascii="Times New Roman" w:hAnsi="Times New Roman"/>
          <w:sz w:val="20"/>
        </w:rPr>
      </w:pPr>
      <w:r>
        <w:rPr>
          <w:rFonts w:ascii="Times New Roman" w:hAnsi="Times New Roman"/>
          <w:i/>
          <w:sz w:val="20"/>
        </w:rPr>
        <w:t>Tectonic - Illustrative Private Financing Transactions</w:t>
      </w:r>
      <w:r>
        <w:rPr>
          <w:rFonts w:ascii="Times New Roman" w:hAnsi="Times New Roman"/>
          <w:sz w:val="20"/>
        </w:rPr>
        <w:t xml:space="preserve">. Solely for illustrative purposes, Houlihan Lokey considered certain financial terms of certain private financing transactions involving companies that Houlihan Lokey deemed relevant. The illustrative private financing transactions were selected because they involved issuers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private financing transactions,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financial data reviewed included amount raised, total capital raised, pre-money enterprise value and post-money enterprise value, which were based on public information available at the time of the announcement. The private financing transactions and corresponding data were: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7"/>
        <w:gridCol w:w="150"/>
        <w:gridCol w:w="2820"/>
        <w:gridCol w:w="150"/>
        <w:gridCol w:w="1052"/>
        <w:gridCol w:w="150"/>
        <w:gridCol w:w="172"/>
        <w:gridCol w:w="689"/>
        <w:gridCol w:w="60"/>
        <w:gridCol w:w="150"/>
        <w:gridCol w:w="154"/>
        <w:gridCol w:w="624"/>
        <w:gridCol w:w="60"/>
        <w:gridCol w:w="150"/>
        <w:gridCol w:w="231"/>
        <w:gridCol w:w="929"/>
        <w:gridCol w:w="60"/>
        <w:gridCol w:w="150"/>
        <w:gridCol w:w="145"/>
        <w:gridCol w:w="591"/>
        <w:gridCol w:w="71"/>
      </w:tblGrid>
      <w:tr>
        <w:trPr/>
        <w:tc>
          <w:tcPr>
            <w:tcW w:w="1647"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6830" w:type="dxa"/>
            <w:gridSpan w:val="8"/>
            <w:tcBorders/>
            <w:vAlign w:val="bottom"/>
          </w:tcPr>
          <w:p>
            <w:pPr>
              <w:pStyle w:val="TableContents"/>
              <w:bidi w:val="0"/>
              <w:spacing w:before="0" w:after="283"/>
              <w:jc w:val="left"/>
              <w:rPr>
                <w:b/>
                <w:i/>
              </w:rPr>
            </w:pPr>
            <w:r>
              <w:rPr>
                <w:b/>
                <w:i/>
              </w:rPr>
              <w:t>(Dollars in millions)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6" w:type="dxa"/>
            <w:gridSpan w:val="2"/>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r>
      <w:tr>
        <w:trPr/>
        <w:tc>
          <w:tcPr>
            <w:tcW w:w="16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 Date</w:t>
            </w:r>
          </w:p>
        </w:tc>
        <w:tc>
          <w:tcPr>
            <w:tcW w:w="150" w:type="dxa"/>
            <w:tcBorders/>
            <w:vAlign w:val="bottom"/>
          </w:tcPr>
          <w:p>
            <w:pPr>
              <w:pStyle w:val="TableContents"/>
              <w:bidi w:val="0"/>
              <w:spacing w:before="0" w:after="283"/>
              <w:jc w:val="left"/>
              <w:rPr/>
            </w:pPr>
            <w:r>
              <w:rPr/>
              <w:t>  </w:t>
            </w:r>
          </w:p>
        </w:tc>
        <w:tc>
          <w:tcPr>
            <w:tcW w:w="2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150" w:type="dxa"/>
            <w:tcBorders/>
            <w:vAlign w:val="bottom"/>
          </w:tcPr>
          <w:p>
            <w:pPr>
              <w:pStyle w:val="TableContents"/>
              <w:bidi w:val="0"/>
              <w:spacing w:before="0" w:after="283"/>
              <w:jc w:val="left"/>
              <w:rPr/>
            </w:pPr>
            <w:r>
              <w:rPr/>
              <w:t>  </w:t>
            </w:r>
          </w:p>
        </w:tc>
        <w:tc>
          <w:tcPr>
            <w:tcW w:w="105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Financing</w:t>
            </w:r>
          </w:p>
          <w:p>
            <w:pPr>
              <w:pStyle w:val="TableContents"/>
              <w:bidi w:val="0"/>
              <w:spacing w:before="0" w:after="20"/>
              <w:jc w:val="center"/>
              <w:rPr>
                <w:rFonts w:ascii="Times New Roman" w:hAnsi="Times New Roman"/>
                <w:b/>
                <w:sz w:val="16"/>
              </w:rPr>
            </w:pPr>
            <w:r>
              <w:rPr>
                <w:rFonts w:ascii="Times New Roman" w:hAnsi="Times New Roman"/>
                <w:b/>
                <w:sz w:val="16"/>
              </w:rPr>
              <w:t>Round</w:t>
            </w:r>
          </w:p>
        </w:tc>
        <w:tc>
          <w:tcPr>
            <w:tcW w:w="150"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pPr>
            <w:r>
              <w:rPr>
                <w:b/>
              </w:rPr>
              <w:t>Amount</w:t>
            </w:r>
            <w:r>
              <w:rPr/>
              <w:br/>
            </w:r>
            <w:r>
              <w:rPr>
                <w:b/>
              </w:rPr>
              <w:t>Raised</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Capital</w:t>
              <w:br/>
              <w:t>Raised</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Pre-Money</w:t>
            </w:r>
            <w:r>
              <w:rPr/>
              <w:br/>
            </w:r>
            <w:r>
              <w:rPr>
                <w:b/>
              </w:rPr>
              <w:t>Value</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6" w:type="dxa"/>
            <w:gridSpan w:val="2"/>
            <w:tcBorders>
              <w:bottom w:val="single" w:sz="8" w:space="0" w:color="000000"/>
            </w:tcBorders>
            <w:tcMar>
              <w:bottom w:w="28" w:type="dxa"/>
            </w:tcMar>
            <w:vAlign w:val="bottom"/>
          </w:tcPr>
          <w:p>
            <w:pPr>
              <w:pStyle w:val="TableContents"/>
              <w:bidi w:val="0"/>
              <w:spacing w:before="0" w:after="283"/>
              <w:jc w:val="center"/>
              <w:rPr/>
            </w:pPr>
            <w:r>
              <w:rPr>
                <w:b/>
              </w:rPr>
              <w:t>Post-</w:t>
              <w:br/>
              <w:t>Money</w:t>
            </w:r>
            <w:r>
              <w:rPr/>
              <w:br/>
            </w:r>
            <w:r>
              <w:rPr>
                <w:b/>
              </w:rPr>
              <w:t>Value</w:t>
            </w:r>
          </w:p>
        </w:tc>
        <w:tc>
          <w:tcPr>
            <w:tcW w:w="71" w:type="dxa"/>
            <w:tcBorders/>
            <w:vAlign w:val="bottom"/>
          </w:tcPr>
          <w:p>
            <w:pPr>
              <w:pStyle w:val="TableContents"/>
              <w:bidi w:val="0"/>
              <w:spacing w:before="0" w:after="283"/>
              <w:jc w:val="left"/>
              <w:rPr/>
            </w:pPr>
            <w:r>
              <w:rPr/>
              <w:t> </w:t>
            </w:r>
          </w:p>
        </w:tc>
      </w:tr>
      <w:tr>
        <w:trPr/>
        <w:tc>
          <w:tcPr>
            <w:tcW w:w="1647"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Cardiovascular</w:t>
            </w:r>
          </w:p>
        </w:tc>
        <w:tc>
          <w:tcPr>
            <w:tcW w:w="150" w:type="dxa"/>
            <w:tcBorders/>
            <w:shd w:fill="CCEEFF" w:val="clear"/>
            <w:vAlign w:val="bottom"/>
          </w:tcPr>
          <w:p>
            <w:pPr>
              <w:pStyle w:val="TableContents"/>
              <w:bidi w:val="0"/>
              <w:spacing w:before="0" w:after="283"/>
              <w:jc w:val="left"/>
              <w:rPr/>
            </w:pPr>
            <w:r>
              <w:rPr/>
              <w:t>  </w:t>
            </w:r>
          </w:p>
        </w:tc>
        <w:tc>
          <w:tcPr>
            <w:tcW w:w="282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1647" w:type="dxa"/>
            <w:tcBorders/>
            <w:vAlign w:val="center"/>
          </w:tcPr>
          <w:p>
            <w:pPr>
              <w:pStyle w:val="TableContents"/>
              <w:bidi w:val="0"/>
              <w:spacing w:before="0" w:after="283"/>
              <w:jc w:val="left"/>
              <w:rPr>
                <w:sz w:val="4"/>
                <w:szCs w:val="4"/>
              </w:rPr>
            </w:pPr>
            <w:r>
              <w:rPr>
                <w:sz w:val="4"/>
                <w:szCs w:val="4"/>
              </w:rPr>
            </w:r>
          </w:p>
        </w:tc>
        <w:tc>
          <w:tcPr>
            <w:tcW w:w="2970"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71" w:type="dxa"/>
            <w:gridSpan w:val="4"/>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r>
      <w:tr>
        <w:trPr/>
        <w:tc>
          <w:tcPr>
            <w:tcW w:w="1647" w:type="dxa"/>
            <w:tcBorders/>
          </w:tcPr>
          <w:p>
            <w:pPr>
              <w:pStyle w:val="TableContents"/>
              <w:bidi w:val="0"/>
              <w:spacing w:before="0" w:after="0"/>
              <w:jc w:val="left"/>
              <w:rPr>
                <w:rFonts w:ascii="Times New Roman" w:hAnsi="Times New Roman"/>
                <w:sz w:val="20"/>
              </w:rPr>
            </w:pPr>
            <w:r>
              <w:rPr>
                <w:rFonts w:ascii="Times New Roman" w:hAnsi="Times New Roman"/>
                <w:sz w:val="20"/>
              </w:rPr>
              <w:t>10/31/23</w:t>
            </w:r>
          </w:p>
        </w:tc>
        <w:tc>
          <w:tcPr>
            <w:tcW w:w="15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283"/>
              <w:jc w:val="left"/>
              <w:rPr/>
            </w:pPr>
            <w:r>
              <w:rPr/>
              <w:t>Imagine Pharma, Inc.</w:t>
            </w:r>
          </w:p>
        </w:tc>
        <w:tc>
          <w:tcPr>
            <w:tcW w:w="15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left"/>
              <w:rPr/>
            </w:pPr>
            <w:r>
              <w:rPr/>
              <w:t>Series A</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NA</w:t>
            </w:r>
          </w:p>
        </w:tc>
        <w:tc>
          <w:tcPr>
            <w:tcW w:w="71" w:type="dxa"/>
            <w:tcBorders/>
            <w:vAlign w:val="bottom"/>
          </w:tcPr>
          <w:p>
            <w:pPr>
              <w:pStyle w:val="TableContents"/>
              <w:bidi w:val="0"/>
              <w:spacing w:before="0" w:after="283"/>
              <w:jc w:val="left"/>
              <w:rPr/>
            </w:pPr>
            <w:r>
              <w:rPr/>
              <w:t> </w:t>
            </w:r>
          </w:p>
        </w:tc>
      </w:tr>
      <w:tr>
        <w:trPr/>
        <w:tc>
          <w:tcPr>
            <w:tcW w:w="1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10/17/23</w:t>
            </w:r>
          </w:p>
        </w:tc>
        <w:tc>
          <w:tcPr>
            <w:tcW w:w="150" w:type="dxa"/>
            <w:tcBorders/>
            <w:shd w:fill="CCEEFF" w:val="clear"/>
            <w:vAlign w:val="bottom"/>
          </w:tcPr>
          <w:p>
            <w:pPr>
              <w:pStyle w:val="TableContents"/>
              <w:bidi w:val="0"/>
              <w:spacing w:before="0" w:after="283"/>
              <w:jc w:val="left"/>
              <w:rPr/>
            </w:pPr>
            <w:r>
              <w:rPr/>
              <w:t>  </w:t>
            </w:r>
          </w:p>
        </w:tc>
        <w:tc>
          <w:tcPr>
            <w:tcW w:w="2820" w:type="dxa"/>
            <w:tcBorders/>
            <w:shd w:fill="CCEEFF" w:val="clear"/>
            <w:vAlign w:val="bottom"/>
          </w:tcPr>
          <w:p>
            <w:pPr>
              <w:pStyle w:val="TableContents"/>
              <w:bidi w:val="0"/>
              <w:spacing w:before="0" w:after="283"/>
              <w:jc w:val="left"/>
              <w:rPr/>
            </w:pPr>
            <w:r>
              <w:rPr/>
              <w:t>Amplifier Therapeutics</w:t>
            </w:r>
          </w:p>
        </w:tc>
        <w:tc>
          <w:tcPr>
            <w:tcW w:w="15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left"/>
              <w:rPr/>
            </w:pPr>
            <w:r>
              <w:rPr/>
              <w:t>Series A</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33.3</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33.3</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NA</w:t>
            </w:r>
          </w:p>
        </w:tc>
        <w:tc>
          <w:tcPr>
            <w:tcW w:w="71" w:type="dxa"/>
            <w:tcBorders/>
            <w:shd w:fill="CCEEFF" w:val="clear"/>
            <w:vAlign w:val="bottom"/>
          </w:tcPr>
          <w:p>
            <w:pPr>
              <w:pStyle w:val="TableContents"/>
              <w:bidi w:val="0"/>
              <w:spacing w:before="0" w:after="283"/>
              <w:jc w:val="left"/>
              <w:rPr/>
            </w:pPr>
            <w:r>
              <w:rPr/>
              <w:t> </w:t>
            </w:r>
          </w:p>
        </w:tc>
      </w:tr>
      <w:tr>
        <w:trPr/>
        <w:tc>
          <w:tcPr>
            <w:tcW w:w="1647" w:type="dxa"/>
            <w:tcBorders/>
          </w:tcPr>
          <w:p>
            <w:pPr>
              <w:pStyle w:val="TableContents"/>
              <w:bidi w:val="0"/>
              <w:spacing w:before="0" w:after="0"/>
              <w:jc w:val="left"/>
              <w:rPr>
                <w:rFonts w:ascii="Times New Roman" w:hAnsi="Times New Roman"/>
                <w:sz w:val="20"/>
              </w:rPr>
            </w:pPr>
            <w:r>
              <w:rPr>
                <w:rFonts w:ascii="Times New Roman" w:hAnsi="Times New Roman"/>
                <w:sz w:val="20"/>
              </w:rPr>
              <w:t>12/14/22</w:t>
            </w:r>
          </w:p>
        </w:tc>
        <w:tc>
          <w:tcPr>
            <w:tcW w:w="15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283"/>
              <w:jc w:val="left"/>
              <w:rPr/>
            </w:pPr>
            <w:r>
              <w:rPr/>
              <w:t>XyloCor Therapeutics</w:t>
            </w:r>
          </w:p>
        </w:tc>
        <w:tc>
          <w:tcPr>
            <w:tcW w:w="15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left"/>
              <w:rPr/>
            </w:pPr>
            <w:r>
              <w:rPr/>
              <w:t>Series A1</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54.5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62.6</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74.6</w:t>
            </w:r>
          </w:p>
        </w:tc>
        <w:tc>
          <w:tcPr>
            <w:tcW w:w="71" w:type="dxa"/>
            <w:tcBorders/>
            <w:vAlign w:val="bottom"/>
          </w:tcPr>
          <w:p>
            <w:pPr>
              <w:pStyle w:val="TableContents"/>
              <w:bidi w:val="0"/>
              <w:spacing w:before="0" w:after="283"/>
              <w:jc w:val="left"/>
              <w:rPr/>
            </w:pPr>
            <w:r>
              <w:rPr/>
              <w:t> </w:t>
            </w:r>
          </w:p>
        </w:tc>
      </w:tr>
      <w:tr>
        <w:trPr/>
        <w:tc>
          <w:tcPr>
            <w:tcW w:w="1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1/20/21</w:t>
            </w:r>
          </w:p>
        </w:tc>
        <w:tc>
          <w:tcPr>
            <w:tcW w:w="150" w:type="dxa"/>
            <w:tcBorders/>
            <w:shd w:fill="CCEEFF" w:val="clear"/>
            <w:vAlign w:val="bottom"/>
          </w:tcPr>
          <w:p>
            <w:pPr>
              <w:pStyle w:val="TableContents"/>
              <w:bidi w:val="0"/>
              <w:spacing w:before="0" w:after="283"/>
              <w:jc w:val="left"/>
              <w:rPr/>
            </w:pPr>
            <w:r>
              <w:rPr/>
              <w:t>  </w:t>
            </w:r>
          </w:p>
        </w:tc>
        <w:tc>
          <w:tcPr>
            <w:tcW w:w="2820" w:type="dxa"/>
            <w:tcBorders/>
            <w:shd w:fill="CCEEFF" w:val="clear"/>
            <w:vAlign w:val="bottom"/>
          </w:tcPr>
          <w:p>
            <w:pPr>
              <w:pStyle w:val="TableContents"/>
              <w:bidi w:val="0"/>
              <w:spacing w:before="0" w:after="283"/>
              <w:jc w:val="left"/>
              <w:rPr/>
            </w:pPr>
            <w:r>
              <w:rPr/>
              <w:t>XyloCor Therapeutics</w:t>
            </w:r>
          </w:p>
        </w:tc>
        <w:tc>
          <w:tcPr>
            <w:tcW w:w="15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left"/>
              <w:rPr/>
            </w:pPr>
            <w:r>
              <w:rPr/>
              <w:t>Series A1</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22.6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42.5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62.6</w:t>
            </w:r>
          </w:p>
        </w:tc>
        <w:tc>
          <w:tcPr>
            <w:tcW w:w="71" w:type="dxa"/>
            <w:tcBorders/>
            <w:shd w:fill="CCEEFF" w:val="clear"/>
            <w:vAlign w:val="bottom"/>
          </w:tcPr>
          <w:p>
            <w:pPr>
              <w:pStyle w:val="TableContents"/>
              <w:bidi w:val="0"/>
              <w:spacing w:before="0" w:after="283"/>
              <w:jc w:val="left"/>
              <w:rPr/>
            </w:pPr>
            <w:r>
              <w:rPr/>
              <w:t> </w:t>
            </w:r>
          </w:p>
        </w:tc>
      </w:tr>
      <w:tr>
        <w:trPr/>
        <w:tc>
          <w:tcPr>
            <w:tcW w:w="1647" w:type="dxa"/>
            <w:tcBorders/>
          </w:tcPr>
          <w:p>
            <w:pPr>
              <w:pStyle w:val="TableContents"/>
              <w:bidi w:val="0"/>
              <w:spacing w:before="0" w:after="0"/>
              <w:jc w:val="left"/>
              <w:rPr>
                <w:rFonts w:ascii="Times New Roman" w:hAnsi="Times New Roman"/>
                <w:sz w:val="20"/>
              </w:rPr>
            </w:pPr>
            <w:r>
              <w:rPr>
                <w:rFonts w:ascii="Times New Roman" w:hAnsi="Times New Roman"/>
                <w:sz w:val="20"/>
              </w:rPr>
              <w:t>8/19/22</w:t>
            </w:r>
          </w:p>
        </w:tc>
        <w:tc>
          <w:tcPr>
            <w:tcW w:w="15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283"/>
              <w:jc w:val="left"/>
              <w:rPr/>
            </w:pPr>
            <w:r>
              <w:rPr/>
              <w:t>Rivus Pharmaceuticals</w:t>
            </w:r>
          </w:p>
        </w:tc>
        <w:tc>
          <w:tcPr>
            <w:tcW w:w="15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left"/>
              <w:rPr/>
            </w:pPr>
            <w:r>
              <w:rPr/>
              <w:t>Series B</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132.0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167.0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432.0</w:t>
            </w:r>
          </w:p>
        </w:tc>
        <w:tc>
          <w:tcPr>
            <w:tcW w:w="71" w:type="dxa"/>
            <w:tcBorders/>
            <w:vAlign w:val="bottom"/>
          </w:tcPr>
          <w:p>
            <w:pPr>
              <w:pStyle w:val="TableContents"/>
              <w:bidi w:val="0"/>
              <w:spacing w:before="0" w:after="283"/>
              <w:jc w:val="left"/>
              <w:rPr/>
            </w:pPr>
            <w:r>
              <w:rPr/>
              <w:t> </w:t>
            </w:r>
          </w:p>
        </w:tc>
      </w:tr>
      <w:tr>
        <w:trPr/>
        <w:tc>
          <w:tcPr>
            <w:tcW w:w="1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7/20/21</w:t>
            </w:r>
          </w:p>
        </w:tc>
        <w:tc>
          <w:tcPr>
            <w:tcW w:w="150" w:type="dxa"/>
            <w:tcBorders/>
            <w:shd w:fill="CCEEFF" w:val="clear"/>
            <w:vAlign w:val="bottom"/>
          </w:tcPr>
          <w:p>
            <w:pPr>
              <w:pStyle w:val="TableContents"/>
              <w:bidi w:val="0"/>
              <w:spacing w:before="0" w:after="283"/>
              <w:jc w:val="left"/>
              <w:rPr/>
            </w:pPr>
            <w:r>
              <w:rPr/>
              <w:t>  </w:t>
            </w:r>
          </w:p>
        </w:tc>
        <w:tc>
          <w:tcPr>
            <w:tcW w:w="2820" w:type="dxa"/>
            <w:tcBorders/>
            <w:shd w:fill="CCEEFF" w:val="clear"/>
            <w:vAlign w:val="bottom"/>
          </w:tcPr>
          <w:p>
            <w:pPr>
              <w:pStyle w:val="TableContents"/>
              <w:bidi w:val="0"/>
              <w:spacing w:before="0" w:after="283"/>
              <w:jc w:val="left"/>
              <w:rPr/>
            </w:pPr>
            <w:r>
              <w:rPr/>
              <w:t>Rivus Pharmaceuticals</w:t>
            </w:r>
          </w:p>
        </w:tc>
        <w:tc>
          <w:tcPr>
            <w:tcW w:w="15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left"/>
              <w:rPr/>
            </w:pPr>
            <w:r>
              <w:rPr/>
              <w:t>Series A</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35.0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35.0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15.0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50.0</w:t>
            </w:r>
          </w:p>
        </w:tc>
        <w:tc>
          <w:tcPr>
            <w:tcW w:w="71" w:type="dxa"/>
            <w:tcBorders/>
            <w:shd w:fill="CCEEFF" w:val="clear"/>
            <w:vAlign w:val="bottom"/>
          </w:tcPr>
          <w:p>
            <w:pPr>
              <w:pStyle w:val="TableContents"/>
              <w:bidi w:val="0"/>
              <w:spacing w:before="0" w:after="283"/>
              <w:jc w:val="left"/>
              <w:rPr/>
            </w:pPr>
            <w:r>
              <w:rPr/>
              <w:t> </w:t>
            </w:r>
          </w:p>
        </w:tc>
      </w:tr>
      <w:tr>
        <w:trPr/>
        <w:tc>
          <w:tcPr>
            <w:tcW w:w="1647" w:type="dxa"/>
            <w:tcBorders/>
          </w:tcPr>
          <w:p>
            <w:pPr>
              <w:pStyle w:val="TableContents"/>
              <w:bidi w:val="0"/>
              <w:spacing w:before="0" w:after="0"/>
              <w:jc w:val="left"/>
              <w:rPr>
                <w:rFonts w:ascii="Times New Roman" w:hAnsi="Times New Roman"/>
                <w:sz w:val="20"/>
              </w:rPr>
            </w:pPr>
            <w:r>
              <w:rPr>
                <w:rFonts w:ascii="Times New Roman" w:hAnsi="Times New Roman"/>
                <w:sz w:val="20"/>
              </w:rPr>
              <w:t>6/1/22</w:t>
            </w:r>
          </w:p>
        </w:tc>
        <w:tc>
          <w:tcPr>
            <w:tcW w:w="15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283"/>
              <w:jc w:val="left"/>
              <w:rPr/>
            </w:pPr>
            <w:r>
              <w:rPr/>
              <w:t>Mineralys</w:t>
            </w:r>
          </w:p>
        </w:tc>
        <w:tc>
          <w:tcPr>
            <w:tcW w:w="15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left"/>
              <w:rPr/>
            </w:pPr>
            <w:r>
              <w:rPr/>
              <w:t>Series B</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118.0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158.0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268.0</w:t>
            </w:r>
          </w:p>
        </w:tc>
        <w:tc>
          <w:tcPr>
            <w:tcW w:w="71" w:type="dxa"/>
            <w:tcBorders/>
            <w:vAlign w:val="bottom"/>
          </w:tcPr>
          <w:p>
            <w:pPr>
              <w:pStyle w:val="TableContents"/>
              <w:bidi w:val="0"/>
              <w:spacing w:before="0" w:after="283"/>
              <w:jc w:val="left"/>
              <w:rPr/>
            </w:pPr>
            <w:r>
              <w:rPr/>
              <w:t> </w:t>
            </w:r>
          </w:p>
        </w:tc>
      </w:tr>
      <w:tr>
        <w:trPr/>
        <w:tc>
          <w:tcPr>
            <w:tcW w:w="1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1/18/22</w:t>
            </w:r>
          </w:p>
        </w:tc>
        <w:tc>
          <w:tcPr>
            <w:tcW w:w="150" w:type="dxa"/>
            <w:tcBorders/>
            <w:shd w:fill="CCEEFF" w:val="clear"/>
            <w:vAlign w:val="bottom"/>
          </w:tcPr>
          <w:p>
            <w:pPr>
              <w:pStyle w:val="TableContents"/>
              <w:bidi w:val="0"/>
              <w:spacing w:before="0" w:after="283"/>
              <w:jc w:val="left"/>
              <w:rPr/>
            </w:pPr>
            <w:r>
              <w:rPr/>
              <w:t>  </w:t>
            </w:r>
          </w:p>
        </w:tc>
        <w:tc>
          <w:tcPr>
            <w:tcW w:w="2820" w:type="dxa"/>
            <w:tcBorders/>
            <w:shd w:fill="CCEEFF" w:val="clear"/>
            <w:vAlign w:val="bottom"/>
          </w:tcPr>
          <w:p>
            <w:pPr>
              <w:pStyle w:val="TableContents"/>
              <w:bidi w:val="0"/>
              <w:spacing w:before="0" w:after="283"/>
              <w:jc w:val="left"/>
              <w:rPr/>
            </w:pPr>
            <w:r>
              <w:rPr/>
              <w:t>Mineralys</w:t>
            </w:r>
          </w:p>
        </w:tc>
        <w:tc>
          <w:tcPr>
            <w:tcW w:w="15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left"/>
              <w:rPr/>
            </w:pPr>
            <w:r>
              <w:rPr/>
              <w:t>Series A</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77.5</w:t>
            </w:r>
          </w:p>
        </w:tc>
        <w:tc>
          <w:tcPr>
            <w:tcW w:w="71" w:type="dxa"/>
            <w:tcBorders/>
            <w:shd w:fill="CCEEFF" w:val="clear"/>
            <w:vAlign w:val="bottom"/>
          </w:tcPr>
          <w:p>
            <w:pPr>
              <w:pStyle w:val="TableContents"/>
              <w:bidi w:val="0"/>
              <w:spacing w:before="0" w:after="283"/>
              <w:jc w:val="left"/>
              <w:rPr/>
            </w:pPr>
            <w:r>
              <w:rPr/>
              <w:t> </w:t>
            </w:r>
          </w:p>
        </w:tc>
      </w:tr>
      <w:tr>
        <w:trPr/>
        <w:tc>
          <w:tcPr>
            <w:tcW w:w="1647" w:type="dxa"/>
            <w:tcBorders/>
          </w:tcPr>
          <w:p>
            <w:pPr>
              <w:pStyle w:val="TableContents"/>
              <w:bidi w:val="0"/>
              <w:spacing w:before="0" w:after="0"/>
              <w:jc w:val="left"/>
              <w:rPr>
                <w:rFonts w:ascii="Times New Roman" w:hAnsi="Times New Roman"/>
                <w:sz w:val="20"/>
              </w:rPr>
            </w:pPr>
            <w:r>
              <w:rPr>
                <w:rFonts w:ascii="Times New Roman" w:hAnsi="Times New Roman"/>
                <w:sz w:val="20"/>
              </w:rPr>
              <w:t>12/20/21</w:t>
            </w:r>
          </w:p>
        </w:tc>
        <w:tc>
          <w:tcPr>
            <w:tcW w:w="15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283"/>
              <w:jc w:val="left"/>
              <w:rPr/>
            </w:pPr>
            <w:r>
              <w:rPr/>
              <w:t>Armgo Pharma</w:t>
            </w:r>
          </w:p>
        </w:tc>
        <w:tc>
          <w:tcPr>
            <w:tcW w:w="15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left"/>
              <w:rPr/>
            </w:pPr>
            <w:r>
              <w:rPr/>
              <w:t>Series B</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35.0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35.0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70.0</w:t>
            </w:r>
          </w:p>
        </w:tc>
        <w:tc>
          <w:tcPr>
            <w:tcW w:w="71" w:type="dxa"/>
            <w:tcBorders/>
            <w:vAlign w:val="bottom"/>
          </w:tcPr>
          <w:p>
            <w:pPr>
              <w:pStyle w:val="TableContents"/>
              <w:bidi w:val="0"/>
              <w:spacing w:before="0" w:after="283"/>
              <w:jc w:val="left"/>
              <w:rPr/>
            </w:pPr>
            <w:r>
              <w:rPr/>
              <w:t> </w:t>
            </w:r>
          </w:p>
        </w:tc>
      </w:tr>
      <w:tr>
        <w:trPr/>
        <w:tc>
          <w:tcPr>
            <w:tcW w:w="1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9/22/21</w:t>
            </w:r>
          </w:p>
        </w:tc>
        <w:tc>
          <w:tcPr>
            <w:tcW w:w="150" w:type="dxa"/>
            <w:tcBorders/>
            <w:shd w:fill="CCEEFF" w:val="clear"/>
            <w:vAlign w:val="bottom"/>
          </w:tcPr>
          <w:p>
            <w:pPr>
              <w:pStyle w:val="TableContents"/>
              <w:bidi w:val="0"/>
              <w:spacing w:before="0" w:after="283"/>
              <w:jc w:val="left"/>
              <w:rPr/>
            </w:pPr>
            <w:r>
              <w:rPr/>
              <w:t>  </w:t>
            </w:r>
          </w:p>
        </w:tc>
        <w:tc>
          <w:tcPr>
            <w:tcW w:w="2820" w:type="dxa"/>
            <w:tcBorders/>
            <w:shd w:fill="CCEEFF" w:val="clear"/>
            <w:vAlign w:val="bottom"/>
          </w:tcPr>
          <w:p>
            <w:pPr>
              <w:pStyle w:val="TableContents"/>
              <w:bidi w:val="0"/>
              <w:spacing w:before="0" w:after="283"/>
              <w:jc w:val="left"/>
              <w:rPr/>
            </w:pPr>
            <w:r>
              <w:rPr/>
              <w:t>CinCor Pharma</w:t>
            </w:r>
          </w:p>
        </w:tc>
        <w:tc>
          <w:tcPr>
            <w:tcW w:w="150"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left"/>
              <w:rPr/>
            </w:pPr>
            <w:r>
              <w:rPr/>
              <w:t>Series B</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142.9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192.9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230.0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372.9</w:t>
            </w:r>
          </w:p>
        </w:tc>
        <w:tc>
          <w:tcPr>
            <w:tcW w:w="71" w:type="dxa"/>
            <w:tcBorders/>
            <w:shd w:fill="CCEEFF" w:val="clear"/>
            <w:vAlign w:val="bottom"/>
          </w:tcPr>
          <w:p>
            <w:pPr>
              <w:pStyle w:val="TableContents"/>
              <w:bidi w:val="0"/>
              <w:spacing w:before="0" w:after="283"/>
              <w:jc w:val="left"/>
              <w:rPr/>
            </w:pPr>
            <w:r>
              <w:rPr/>
              <w:t> </w:t>
            </w:r>
          </w:p>
        </w:tc>
      </w:tr>
      <w:tr>
        <w:trPr/>
        <w:tc>
          <w:tcPr>
            <w:tcW w:w="1647" w:type="dxa"/>
            <w:tcBorders/>
          </w:tcPr>
          <w:p>
            <w:pPr>
              <w:pStyle w:val="TableContents"/>
              <w:bidi w:val="0"/>
              <w:spacing w:before="0" w:after="0"/>
              <w:jc w:val="left"/>
              <w:rPr>
                <w:rFonts w:ascii="Times New Roman" w:hAnsi="Times New Roman"/>
                <w:sz w:val="20"/>
              </w:rPr>
            </w:pPr>
            <w:r>
              <w:rPr>
                <w:rFonts w:ascii="Times New Roman" w:hAnsi="Times New Roman"/>
                <w:sz w:val="20"/>
              </w:rPr>
              <w:t>5/14/19</w:t>
            </w:r>
          </w:p>
        </w:tc>
        <w:tc>
          <w:tcPr>
            <w:tcW w:w="15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283"/>
              <w:jc w:val="left"/>
              <w:rPr/>
            </w:pPr>
            <w:r>
              <w:rPr/>
              <w:t>CinCor Pharma</w:t>
            </w:r>
          </w:p>
        </w:tc>
        <w:tc>
          <w:tcPr>
            <w:tcW w:w="15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left"/>
              <w:rPr/>
            </w:pPr>
            <w:r>
              <w:rPr/>
              <w:t>Series A</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15.0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65.0</w:t>
            </w:r>
          </w:p>
        </w:tc>
        <w:tc>
          <w:tcPr>
            <w:tcW w:w="7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451"/>
        <w:gridCol w:w="143"/>
        <w:gridCol w:w="3095"/>
        <w:gridCol w:w="143"/>
        <w:gridCol w:w="1027"/>
        <w:gridCol w:w="143"/>
        <w:gridCol w:w="172"/>
        <w:gridCol w:w="688"/>
        <w:gridCol w:w="60"/>
        <w:gridCol w:w="143"/>
        <w:gridCol w:w="154"/>
        <w:gridCol w:w="621"/>
        <w:gridCol w:w="60"/>
        <w:gridCol w:w="143"/>
        <w:gridCol w:w="231"/>
        <w:gridCol w:w="928"/>
        <w:gridCol w:w="60"/>
        <w:gridCol w:w="143"/>
        <w:gridCol w:w="145"/>
        <w:gridCol w:w="587"/>
        <w:gridCol w:w="68"/>
      </w:tblGrid>
      <w:tr>
        <w:trPr/>
        <w:tc>
          <w:tcPr>
            <w:tcW w:w="145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6862" w:type="dxa"/>
            <w:gridSpan w:val="8"/>
            <w:tcBorders/>
            <w:vAlign w:val="bottom"/>
          </w:tcPr>
          <w:p>
            <w:pPr>
              <w:pStyle w:val="TableContents"/>
              <w:bidi w:val="0"/>
              <w:spacing w:before="0" w:after="283"/>
              <w:jc w:val="left"/>
              <w:rPr>
                <w:b/>
                <w:i/>
              </w:rPr>
            </w:pPr>
            <w:r>
              <w:rPr>
                <w:b/>
                <w:i/>
              </w:rPr>
              <w:t>(Dollars in millions)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32"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14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 Date</w:t>
            </w:r>
          </w:p>
        </w:tc>
        <w:tc>
          <w:tcPr>
            <w:tcW w:w="143" w:type="dxa"/>
            <w:tcBorders/>
            <w:vAlign w:val="bottom"/>
          </w:tcPr>
          <w:p>
            <w:pPr>
              <w:pStyle w:val="TableContents"/>
              <w:bidi w:val="0"/>
              <w:spacing w:before="0" w:after="283"/>
              <w:jc w:val="left"/>
              <w:rPr/>
            </w:pPr>
            <w:r>
              <w:rPr/>
              <w:t>  </w:t>
            </w:r>
          </w:p>
        </w:tc>
        <w:tc>
          <w:tcPr>
            <w:tcW w:w="30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143" w:type="dxa"/>
            <w:tcBorders/>
            <w:vAlign w:val="bottom"/>
          </w:tcPr>
          <w:p>
            <w:pPr>
              <w:pStyle w:val="TableContents"/>
              <w:bidi w:val="0"/>
              <w:spacing w:before="0" w:after="283"/>
              <w:jc w:val="left"/>
              <w:rPr/>
            </w:pPr>
            <w:r>
              <w:rPr/>
              <w:t>  </w:t>
            </w:r>
          </w:p>
        </w:tc>
        <w:tc>
          <w:tcPr>
            <w:tcW w:w="102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Financing</w:t>
            </w:r>
          </w:p>
          <w:p>
            <w:pPr>
              <w:pStyle w:val="TableContents"/>
              <w:bidi w:val="0"/>
              <w:spacing w:before="0" w:after="20"/>
              <w:jc w:val="center"/>
              <w:rPr>
                <w:rFonts w:ascii="Times New Roman" w:hAnsi="Times New Roman"/>
                <w:b/>
                <w:sz w:val="16"/>
              </w:rPr>
            </w:pPr>
            <w:r>
              <w:rPr>
                <w:rFonts w:ascii="Times New Roman" w:hAnsi="Times New Roman"/>
                <w:b/>
                <w:sz w:val="16"/>
              </w:rPr>
              <w:t>Round</w:t>
            </w:r>
          </w:p>
        </w:tc>
        <w:tc>
          <w:tcPr>
            <w:tcW w:w="143"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Amount</w:t>
            </w:r>
            <w:r>
              <w:rPr/>
              <w:br/>
            </w:r>
            <w:r>
              <w:rPr>
                <w:b/>
              </w:rPr>
              <w:t>Raised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Capital</w:t>
              <w:br/>
              <w:t>Raised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pPr>
            <w:r>
              <w:rPr>
                <w:b/>
              </w:rPr>
              <w:t>Pre-Money</w:t>
            </w:r>
            <w:r>
              <w:rPr/>
              <w:br/>
            </w:r>
            <w:r>
              <w:rPr>
                <w:b/>
              </w:rPr>
              <w:t>Value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32" w:type="dxa"/>
            <w:gridSpan w:val="2"/>
            <w:tcBorders>
              <w:bottom w:val="single" w:sz="8" w:space="0" w:color="000000"/>
            </w:tcBorders>
            <w:tcMar>
              <w:bottom w:w="28" w:type="dxa"/>
            </w:tcMar>
            <w:vAlign w:val="bottom"/>
          </w:tcPr>
          <w:p>
            <w:pPr>
              <w:pStyle w:val="TableContents"/>
              <w:bidi w:val="0"/>
              <w:spacing w:before="0" w:after="283"/>
              <w:jc w:val="center"/>
              <w:rPr/>
            </w:pPr>
            <w:r>
              <w:rPr>
                <w:b/>
              </w:rPr>
              <w:t>Post-</w:t>
              <w:br/>
              <w:t>Money</w:t>
            </w:r>
            <w:r>
              <w:rPr/>
              <w:br/>
            </w:r>
            <w:r>
              <w:rPr>
                <w:b/>
              </w:rPr>
              <w:t>Value</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8/31/21</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Versanis Bio</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35.0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105.0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3/1/21</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Tenaya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C</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106.0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248.0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270.0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376.0</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10/3/19</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Tenaya Therapeutics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B</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92.0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142.0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118.0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210.0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1/14/21</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Verve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B</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94.0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215.5</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325.0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419.0</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1/11/20</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Verve Therapeutics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A2</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63.0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121.5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130.0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193.0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12/8/20</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Edgewise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C</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95.0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155.0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295.0</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9/17/19</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Edgewise Therapeutics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B</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120.0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10/21/20</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InCarda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C</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77.9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128.3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158.3</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8/14/19</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Renovacor</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22.3</w:t>
            </w:r>
          </w:p>
        </w:tc>
        <w:tc>
          <w:tcPr>
            <w:tcW w:w="68" w:type="dxa"/>
            <w:tcBorders/>
            <w:shd w:fill="CCEEFF" w:val="clear"/>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before="0" w:after="283"/>
              <w:jc w:val="left"/>
              <w:rPr>
                <w:sz w:val="4"/>
                <w:szCs w:val="4"/>
              </w:rPr>
            </w:pPr>
            <w:r>
              <w:rPr>
                <w:sz w:val="4"/>
                <w:szCs w:val="4"/>
              </w:rPr>
            </w:r>
          </w:p>
        </w:tc>
        <w:tc>
          <w:tcPr>
            <w:tcW w:w="1063" w:type="dxa"/>
            <w:gridSpan w:val="4"/>
            <w:tcBorders/>
            <w:vAlign w:val="center"/>
          </w:tcPr>
          <w:p>
            <w:pPr>
              <w:pStyle w:val="TableContents"/>
              <w:bidi w:val="0"/>
              <w:spacing w:before="0" w:after="283"/>
              <w:jc w:val="left"/>
              <w:rPr>
                <w:sz w:val="4"/>
                <w:szCs w:val="4"/>
              </w:rPr>
            </w:pPr>
            <w:r>
              <w:rPr>
                <w:sz w:val="4"/>
                <w:szCs w:val="4"/>
              </w:rPr>
            </w:r>
          </w:p>
        </w:tc>
        <w:tc>
          <w:tcPr>
            <w:tcW w:w="978" w:type="dxa"/>
            <w:gridSpan w:val="4"/>
            <w:tcBorders/>
            <w:vAlign w:val="center"/>
          </w:tcPr>
          <w:p>
            <w:pPr>
              <w:pStyle w:val="TableContents"/>
              <w:bidi w:val="0"/>
              <w:spacing w:before="0" w:after="283"/>
              <w:jc w:val="left"/>
              <w:rPr>
                <w:sz w:val="4"/>
                <w:szCs w:val="4"/>
              </w:rPr>
            </w:pPr>
            <w:r>
              <w:rPr>
                <w:sz w:val="4"/>
                <w:szCs w:val="4"/>
              </w:rPr>
            </w:r>
          </w:p>
        </w:tc>
        <w:tc>
          <w:tcPr>
            <w:tcW w:w="1362" w:type="dxa"/>
            <w:gridSpan w:val="4"/>
            <w:tcBorders/>
            <w:vAlign w:val="center"/>
          </w:tcPr>
          <w:p>
            <w:pPr>
              <w:pStyle w:val="TableContents"/>
              <w:bidi w:val="0"/>
              <w:spacing w:before="0" w:after="283"/>
              <w:jc w:val="left"/>
              <w:rPr>
                <w:sz w:val="4"/>
                <w:szCs w:val="4"/>
              </w:rPr>
            </w:pPr>
            <w:r>
              <w:rPr>
                <w:sz w:val="4"/>
                <w:szCs w:val="4"/>
              </w:rPr>
            </w:r>
          </w:p>
        </w:tc>
        <w:tc>
          <w:tcPr>
            <w:tcW w:w="943"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22.3</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142.9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248.0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325.0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432.0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65.0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90.3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139.2</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63.2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97.7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120.2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187.3</w:t>
            </w:r>
          </w:p>
        </w:tc>
        <w:tc>
          <w:tcPr>
            <w:tcW w:w="68" w:type="dxa"/>
            <w:tcBorders/>
            <w:shd w:fill="CCEEFF" w:val="clear"/>
            <w:vAlign w:val="bottom"/>
          </w:tcPr>
          <w:p>
            <w:pPr>
              <w:pStyle w:val="TableContents"/>
              <w:bidi w:val="0"/>
              <w:spacing w:before="0" w:after="283"/>
              <w:jc w:val="left"/>
              <w:rPr/>
            </w:pPr>
            <w:r>
              <w:rPr/>
              <w:t> </w:t>
            </w:r>
          </w:p>
        </w:tc>
      </w:tr>
      <w:tr>
        <w:trPr>
          <w:trHeight w:val="120" w:hRule="atLeast"/>
        </w:trPr>
        <w:tc>
          <w:tcPr>
            <w:tcW w:w="4689" w:type="dxa"/>
            <w:gridSpan w:val="3"/>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before="0" w:after="283"/>
              <w:jc w:val="left"/>
              <w:rPr>
                <w:sz w:val="4"/>
                <w:szCs w:val="4"/>
              </w:rPr>
            </w:pPr>
            <w:r>
              <w:rPr>
                <w:sz w:val="4"/>
                <w:szCs w:val="4"/>
              </w:rPr>
            </w:r>
          </w:p>
        </w:tc>
        <w:tc>
          <w:tcPr>
            <w:tcW w:w="1063" w:type="dxa"/>
            <w:gridSpan w:val="4"/>
            <w:tcBorders/>
            <w:vAlign w:val="center"/>
          </w:tcPr>
          <w:p>
            <w:pPr>
              <w:pStyle w:val="TableContents"/>
              <w:bidi w:val="0"/>
              <w:spacing w:before="0" w:after="283"/>
              <w:jc w:val="left"/>
              <w:rPr>
                <w:sz w:val="4"/>
                <w:szCs w:val="4"/>
              </w:rPr>
            </w:pPr>
            <w:r>
              <w:rPr>
                <w:sz w:val="4"/>
                <w:szCs w:val="4"/>
              </w:rPr>
            </w:r>
          </w:p>
        </w:tc>
        <w:tc>
          <w:tcPr>
            <w:tcW w:w="978" w:type="dxa"/>
            <w:gridSpan w:val="4"/>
            <w:tcBorders/>
            <w:vAlign w:val="center"/>
          </w:tcPr>
          <w:p>
            <w:pPr>
              <w:pStyle w:val="TableContents"/>
              <w:bidi w:val="0"/>
              <w:spacing w:before="0" w:after="283"/>
              <w:jc w:val="left"/>
              <w:rPr>
                <w:sz w:val="4"/>
                <w:szCs w:val="4"/>
              </w:rPr>
            </w:pPr>
            <w:r>
              <w:rPr>
                <w:sz w:val="4"/>
                <w:szCs w:val="4"/>
              </w:rPr>
            </w:r>
          </w:p>
        </w:tc>
        <w:tc>
          <w:tcPr>
            <w:tcW w:w="1362" w:type="dxa"/>
            <w:gridSpan w:val="4"/>
            <w:tcBorders/>
            <w:vAlign w:val="center"/>
          </w:tcPr>
          <w:p>
            <w:pPr>
              <w:pStyle w:val="TableContents"/>
              <w:bidi w:val="0"/>
              <w:spacing w:before="0" w:after="283"/>
              <w:jc w:val="left"/>
              <w:rPr>
                <w:sz w:val="4"/>
                <w:szCs w:val="4"/>
              </w:rPr>
            </w:pPr>
            <w:r>
              <w:rPr>
                <w:sz w:val="4"/>
                <w:szCs w:val="4"/>
              </w:rPr>
            </w:r>
          </w:p>
        </w:tc>
        <w:tc>
          <w:tcPr>
            <w:tcW w:w="943" w:type="dxa"/>
            <w:gridSpan w:val="4"/>
            <w:tcBorders/>
            <w:vAlign w:val="center"/>
          </w:tcPr>
          <w:p>
            <w:pPr>
              <w:pStyle w:val="TableContents"/>
              <w:bidi w:val="0"/>
              <w:spacing w:before="0" w:after="283"/>
              <w:jc w:val="left"/>
              <w:rPr>
                <w:sz w:val="4"/>
                <w:szCs w:val="4"/>
              </w:rPr>
            </w:pPr>
            <w:r>
              <w:rPr>
                <w:sz w:val="4"/>
                <w:szCs w:val="4"/>
              </w:rPr>
            </w:r>
          </w:p>
        </w:tc>
      </w:tr>
      <w:tr>
        <w:trPr/>
        <w:tc>
          <w:tcPr>
            <w:tcW w:w="4689"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Early Stage - GPCR</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before="0" w:after="283"/>
              <w:jc w:val="left"/>
              <w:rPr>
                <w:sz w:val="4"/>
                <w:szCs w:val="4"/>
              </w:rPr>
            </w:pPr>
            <w:r>
              <w:rPr>
                <w:sz w:val="4"/>
                <w:szCs w:val="4"/>
              </w:rPr>
            </w:r>
          </w:p>
        </w:tc>
        <w:tc>
          <w:tcPr>
            <w:tcW w:w="1063" w:type="dxa"/>
            <w:gridSpan w:val="4"/>
            <w:tcBorders/>
            <w:vAlign w:val="center"/>
          </w:tcPr>
          <w:p>
            <w:pPr>
              <w:pStyle w:val="TableContents"/>
              <w:bidi w:val="0"/>
              <w:spacing w:before="0" w:after="283"/>
              <w:jc w:val="left"/>
              <w:rPr>
                <w:sz w:val="4"/>
                <w:szCs w:val="4"/>
              </w:rPr>
            </w:pPr>
            <w:r>
              <w:rPr>
                <w:sz w:val="4"/>
                <w:szCs w:val="4"/>
              </w:rPr>
            </w:r>
          </w:p>
        </w:tc>
        <w:tc>
          <w:tcPr>
            <w:tcW w:w="978" w:type="dxa"/>
            <w:gridSpan w:val="4"/>
            <w:tcBorders/>
            <w:vAlign w:val="center"/>
          </w:tcPr>
          <w:p>
            <w:pPr>
              <w:pStyle w:val="TableContents"/>
              <w:bidi w:val="0"/>
              <w:spacing w:before="0" w:after="283"/>
              <w:jc w:val="left"/>
              <w:rPr>
                <w:sz w:val="4"/>
                <w:szCs w:val="4"/>
              </w:rPr>
            </w:pPr>
            <w:r>
              <w:rPr>
                <w:sz w:val="4"/>
                <w:szCs w:val="4"/>
              </w:rPr>
            </w:r>
          </w:p>
        </w:tc>
        <w:tc>
          <w:tcPr>
            <w:tcW w:w="1362" w:type="dxa"/>
            <w:gridSpan w:val="4"/>
            <w:tcBorders/>
            <w:vAlign w:val="center"/>
          </w:tcPr>
          <w:p>
            <w:pPr>
              <w:pStyle w:val="TableContents"/>
              <w:bidi w:val="0"/>
              <w:spacing w:before="0" w:after="283"/>
              <w:jc w:val="left"/>
              <w:rPr>
                <w:sz w:val="4"/>
                <w:szCs w:val="4"/>
              </w:rPr>
            </w:pPr>
            <w:r>
              <w:rPr>
                <w:sz w:val="4"/>
                <w:szCs w:val="4"/>
              </w:rPr>
            </w:r>
          </w:p>
        </w:tc>
        <w:tc>
          <w:tcPr>
            <w:tcW w:w="943"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12/14/23</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Deep Apple Therapeutics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52.0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57.0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NA</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7/11/23</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Septerna</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B</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170.0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320.0</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1/27/22</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Septerna</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45.0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145.0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4/20/23</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Enveda Biosciences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B</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119.0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175.0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319.0</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6/22/21</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Enveda Biosciences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51.0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56.0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100.1</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2/15/23</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Maxion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A</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15.9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15.9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13.7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29.5</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10/25/21</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Pathios Therapeutics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35.2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36.5</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11/28/22</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Escient Pharmaceuticals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C</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120.0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237.5</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130.0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250.0</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8/25/20</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Escient Pharmaceuticals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B</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77.5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117.5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150.0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8/1/22</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Structure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B</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133.0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191.0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218.0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351.0</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3/11/20</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Structure Therapeutics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A1</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26.0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58.0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NA</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4/29/19</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Structure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A</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32.0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NA</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5/10/22</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Domain Therapeutics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NA</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2/23/21</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Teon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A</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35.0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35.0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63.7</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10/28/20</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Longboard Pharmaceuticals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pPr>
            <w:r>
              <w:rPr/>
              <w:t>Series A</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56.0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56.0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45.0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101.0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5/1/19</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Confo Therapeutics</w:t>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pPr>
            <w:r>
              <w:rPr/>
              <w:t>Series A</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33.1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40.4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48.0</w:t>
            </w:r>
          </w:p>
        </w:tc>
        <w:tc>
          <w:tcPr>
            <w:tcW w:w="68" w:type="dxa"/>
            <w:tcBorders/>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before="0" w:after="283"/>
              <w:jc w:val="left"/>
              <w:rPr>
                <w:sz w:val="4"/>
                <w:szCs w:val="4"/>
              </w:rPr>
            </w:pPr>
            <w:r>
              <w:rPr>
                <w:sz w:val="4"/>
                <w:szCs w:val="4"/>
              </w:rPr>
            </w:r>
          </w:p>
        </w:tc>
        <w:tc>
          <w:tcPr>
            <w:tcW w:w="1063" w:type="dxa"/>
            <w:gridSpan w:val="4"/>
            <w:tcBorders/>
            <w:vAlign w:val="center"/>
          </w:tcPr>
          <w:p>
            <w:pPr>
              <w:pStyle w:val="TableContents"/>
              <w:bidi w:val="0"/>
              <w:spacing w:before="0" w:after="283"/>
              <w:jc w:val="left"/>
              <w:rPr>
                <w:sz w:val="4"/>
                <w:szCs w:val="4"/>
              </w:rPr>
            </w:pPr>
            <w:r>
              <w:rPr>
                <w:sz w:val="4"/>
                <w:szCs w:val="4"/>
              </w:rPr>
            </w:r>
          </w:p>
        </w:tc>
        <w:tc>
          <w:tcPr>
            <w:tcW w:w="978" w:type="dxa"/>
            <w:gridSpan w:val="4"/>
            <w:tcBorders/>
            <w:vAlign w:val="center"/>
          </w:tcPr>
          <w:p>
            <w:pPr>
              <w:pStyle w:val="TableContents"/>
              <w:bidi w:val="0"/>
              <w:spacing w:before="0" w:after="283"/>
              <w:jc w:val="left"/>
              <w:rPr>
                <w:sz w:val="4"/>
                <w:szCs w:val="4"/>
              </w:rPr>
            </w:pPr>
            <w:r>
              <w:rPr>
                <w:sz w:val="4"/>
                <w:szCs w:val="4"/>
              </w:rPr>
            </w:r>
          </w:p>
        </w:tc>
        <w:tc>
          <w:tcPr>
            <w:tcW w:w="1362" w:type="dxa"/>
            <w:gridSpan w:val="4"/>
            <w:tcBorders/>
            <w:vAlign w:val="center"/>
          </w:tcPr>
          <w:p>
            <w:pPr>
              <w:pStyle w:val="TableContents"/>
              <w:bidi w:val="0"/>
              <w:spacing w:before="0" w:after="283"/>
              <w:jc w:val="left"/>
              <w:rPr>
                <w:sz w:val="4"/>
                <w:szCs w:val="4"/>
              </w:rPr>
            </w:pPr>
            <w:r>
              <w:rPr>
                <w:sz w:val="4"/>
                <w:szCs w:val="4"/>
              </w:rPr>
            </w:r>
          </w:p>
        </w:tc>
        <w:tc>
          <w:tcPr>
            <w:tcW w:w="943"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15.9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15.9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13.7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29.5</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218.0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351.0</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51.5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57.5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57.5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123.0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66.1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96.7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86.2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159.5</w:t>
            </w:r>
          </w:p>
        </w:tc>
        <w:tc>
          <w:tcPr>
            <w:tcW w:w="68" w:type="dxa"/>
            <w:tcBorders/>
            <w:vAlign w:val="bottom"/>
          </w:tcPr>
          <w:p>
            <w:pPr>
              <w:pStyle w:val="TableContents"/>
              <w:bidi w:val="0"/>
              <w:spacing w:before="0" w:after="283"/>
              <w:jc w:val="left"/>
              <w:rPr/>
            </w:pPr>
            <w:r>
              <w:rPr/>
              <w:t> </w:t>
            </w:r>
          </w:p>
        </w:tc>
      </w:tr>
      <w:tr>
        <w:trPr>
          <w:trHeight w:val="120" w:hRule="atLeast"/>
        </w:trPr>
        <w:tc>
          <w:tcPr>
            <w:tcW w:w="4689" w:type="dxa"/>
            <w:gridSpan w:val="3"/>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before="0" w:after="283"/>
              <w:jc w:val="left"/>
              <w:rPr>
                <w:sz w:val="4"/>
                <w:szCs w:val="4"/>
              </w:rPr>
            </w:pPr>
            <w:r>
              <w:rPr>
                <w:sz w:val="4"/>
                <w:szCs w:val="4"/>
              </w:rPr>
            </w:r>
          </w:p>
        </w:tc>
        <w:tc>
          <w:tcPr>
            <w:tcW w:w="1063" w:type="dxa"/>
            <w:gridSpan w:val="4"/>
            <w:tcBorders/>
            <w:vAlign w:val="center"/>
          </w:tcPr>
          <w:p>
            <w:pPr>
              <w:pStyle w:val="TableContents"/>
              <w:bidi w:val="0"/>
              <w:spacing w:before="0" w:after="283"/>
              <w:jc w:val="left"/>
              <w:rPr>
                <w:sz w:val="4"/>
                <w:szCs w:val="4"/>
              </w:rPr>
            </w:pPr>
            <w:r>
              <w:rPr>
                <w:sz w:val="4"/>
                <w:szCs w:val="4"/>
              </w:rPr>
            </w:r>
          </w:p>
        </w:tc>
        <w:tc>
          <w:tcPr>
            <w:tcW w:w="978" w:type="dxa"/>
            <w:gridSpan w:val="4"/>
            <w:tcBorders/>
            <w:vAlign w:val="center"/>
          </w:tcPr>
          <w:p>
            <w:pPr>
              <w:pStyle w:val="TableContents"/>
              <w:bidi w:val="0"/>
              <w:spacing w:before="0" w:after="283"/>
              <w:jc w:val="left"/>
              <w:rPr>
                <w:sz w:val="4"/>
                <w:szCs w:val="4"/>
              </w:rPr>
            </w:pPr>
            <w:r>
              <w:rPr>
                <w:sz w:val="4"/>
                <w:szCs w:val="4"/>
              </w:rPr>
            </w:r>
          </w:p>
        </w:tc>
        <w:tc>
          <w:tcPr>
            <w:tcW w:w="1362" w:type="dxa"/>
            <w:gridSpan w:val="4"/>
            <w:tcBorders/>
            <w:vAlign w:val="center"/>
          </w:tcPr>
          <w:p>
            <w:pPr>
              <w:pStyle w:val="TableContents"/>
              <w:bidi w:val="0"/>
              <w:spacing w:before="0" w:after="283"/>
              <w:jc w:val="left"/>
              <w:rPr>
                <w:sz w:val="4"/>
                <w:szCs w:val="4"/>
              </w:rPr>
            </w:pPr>
            <w:r>
              <w:rPr>
                <w:sz w:val="4"/>
                <w:szCs w:val="4"/>
              </w:rPr>
            </w:r>
          </w:p>
        </w:tc>
        <w:tc>
          <w:tcPr>
            <w:tcW w:w="943" w:type="dxa"/>
            <w:gridSpan w:val="4"/>
            <w:tcBorders/>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All Private Financings</w:t>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22.3</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325.0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432.0</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43"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50.5</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59.0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66.3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132.5</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43"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64.5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97.2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106.6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176.2</w:t>
            </w:r>
          </w:p>
        </w:tc>
        <w:tc>
          <w:tcPr>
            <w:tcW w:w="6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NA refers to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In its review of the illustrative private financing transactions, Houlihan Lokey considered, among other things, the fact that Tectonics lead program was in a Phase 1a trial in healthy volunteers, with plans to conduct Phase 1b and Phase 2 trials in patients with Group 2 PH / HFpEF. Houlihan Lokey also noted that the enterprise value for the companies in the illustrative private financing transactions involving companies with lead products in the cardiovascular therapeutic category ranged from $11.3 million to $325.0 million, and the enterprise value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in the illustrative private financing transactions involving companies with lead products in early stages of development and a GPCR platform ranged from $13.7 million to $218.0 million. Taking into account the results of its illustrative private financing transactions analysis of Tectonic, including, among other things, its experience and professional judgment and the observed median post money enterprise value of the illustrative private financing transactions involving cardiovascular companies of $139.2 million, Houlihan Lokey selected an illustrative implied enterprise value reference range for Tectonic of $125.0 million to $175.0 million, which resulted in an aggregate illustrative implied equity value reference range for Tectonic pro forma for the private financings (in the Transaction) of $224.6 million to $274.6 million and an illustrative implied per share reference range for Tectonic pro forma for the private financings (in the Transaction) of $10.40 to $12.72. </w:t>
      </w:r>
    </w:p>
    <w:p>
      <w:pPr>
        <w:pStyle w:val="TextBody"/>
        <w:bidi w:val="0"/>
        <w:spacing w:before="240" w:after="0"/>
        <w:jc w:val="left"/>
        <w:rPr>
          <w:rFonts w:ascii="Times New Roman" w:hAnsi="Times New Roman"/>
          <w:sz w:val="20"/>
        </w:rPr>
      </w:pPr>
      <w:r>
        <w:rPr>
          <w:rFonts w:ascii="Times New Roman" w:hAnsi="Times New Roman"/>
          <w:i/>
          <w:sz w:val="20"/>
        </w:rPr>
        <w:t>Illustrative Implied Exchange Ratio Reference Range</w:t>
      </w:r>
      <w:r>
        <w:rPr>
          <w:rFonts w:ascii="Times New Roman" w:hAnsi="Times New Roman"/>
          <w:sz w:val="20"/>
        </w:rPr>
        <w:t xml:space="preserve">. Taking into account the AVROBIO Liquidation Analysis and Houlihan Lokeys illustrative M&amp;A transactions, illustrative IPO transactions and illustrative private financing transactions analyses for Tectonic, Houlihan Lokey (i) divided the low end of the implied per share reference range for Tectonic indicated by the applicable analysis by the high end of the implied per share reference range for AVBROBIO and (ii) divided the high end of the implied per share reference range for Tectonic indicated by the applicable analysis by the low end of the implied per share reference range for AVBROBIO, which indicated illustrative implied exchange ratio reference ranges of 0.58561962 to 0.77401431 shares of AVROBIO common stock for each share of Tectonic capital stock based on the illustrative M&amp;A transactions analysis, 0.73232454 to 0.92907085 shares of AVROBIO common stock for each share of Tectonic capital stock based on the illustrative IPO transactions analysis and 0.65897208 to 0.85154258 shares of AVROBIO common stock for each share of Tectonic capital stock based on the illustrative private financings transactions analysis, in each case as compared to the assumed Exchange Ratio in the Merger pursuant to the Merger agreement of 0.74458326 shares of AVROBIO common stock for each share of Tectonic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Houlihan Lokey was engaged by AVROBIO to provide an opinion to the AVROBIO Board as to the fairness, from a financial point of view, to AVROBIO of the Exchange Ratio provided for in the Merger pursuant to the Merger Agreement, after giving effect to the Related Transactions. AVROBIO engaged Houlihan Lokey based on Houlihan Lokeys experience and reputation. Houlihan Lokey is regularly engaged to render financial opinions in connection with mergers, acquisitions, divestitures, leveraged buyouts, and for other purposes. Pursuant to its engagement by AVROBIO, Houlihan Lokey became entitled to an aggregate fee of $400,000 for its services, a portion of which became payable to Houlihan Lokey upon its retention by AVROBIO and the remainder of which became payable upon the delivery of its opinion. AVROBIO has also agreed to reimburse Houlihan Lokey for certain expenses and to indemnify Houlihan Lokey, its affiliates and certain related parties against certain liabilities and expenses arising out of or relating to Houlihan Lokeys engagement.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AVROBIO, Tectonic, or any other party that may be involved in the Transaction and their respective affiliates or security holders or any currency or commodity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and certain of its affiliates may provide investment banking, financial advisory and/or other financial or consulting services to AVROBIO, Tectonic, other participants in the Transaction or certain of their respective affiliates or security holders in the future, for which Houlihan Lokey and its affiliates may receive compensation. In addition, during the past two years, Houlihan Lokey provided financial advisory services to a group of five clients, of which an affiliate of a security holder of Tectonic was a member of this group, for which Houlihan Lokey received compensation of approximately $350,000. Furthermore, in connection with bankruptcies, restructurings, distressed situations and similar matters, Houlihan Lokey and certain of its affiliates may have in the past acted, may currently be acting and may in the future act as financial advisor to debtors,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creditors, equity holders, trustees, agents and other interested parties (including, without limitation, formal and informal committees or groups of creditors) that may have included or represented and may include or represent, directly or indirectly, or may be or have been adverse to, AVROBIO, Tectonic, other participants in the Transaction or certain of their respective affiliates or security holders, for which advice and services Houlihan Lokey and its affiliates have received and may receive compensation. </w:t>
      </w:r>
    </w:p>
    <w:p>
      <w:pPr>
        <w:pStyle w:val="TextBody"/>
        <w:bidi w:val="0"/>
        <w:spacing w:before="360" w:after="0"/>
        <w:jc w:val="left"/>
        <w:rPr>
          <w:rFonts w:ascii="Times New Roman" w:hAnsi="Times New Roman"/>
          <w:b/>
          <w:sz w:val="20"/>
        </w:rPr>
      </w:pPr>
      <w:bookmarkStart w:id="51" w:name="toc770053_49"/>
      <w:bookmarkEnd w:id="51"/>
      <w:r>
        <w:rPr>
          <w:rFonts w:ascii="Times New Roman" w:hAnsi="Times New Roman"/>
          <w:b/>
          <w:sz w:val="20"/>
        </w:rPr>
        <w:t xml:space="preserve">Interests of AVROBIOs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AVROBIO Board with respect to issuing shares of AVROBIO common stock in the merger and the other matters to be acted upon by the AVROBIO stockholders at the special meeting, the AVROBIO stockholders should be aware that AVROBIOs directors and executive officers have interests in the merger that are different from, or in addition to, the interests of AVROBIO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was aware of these potential conflicts of interest and considered them, among other matters, in reaching its decision to approve the Merger Agreement and the merger, and to recommend that the AVROBIO stockholders approve the proposals to be presented to the AVROBIO stockholders for consideration at the special meeting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March 15, 2024, AVROBIOs current non-employee directors and executive officers beneficially owned, in the aggregate, approximately 4,905,581 shares of AVROBIO common stock, which for purposes of this subsection excludes any AVROBIO shares issuable upon exercise or settlement of AVROBIO stock options or AVROBIO RSUs held by such individuals, and includes shares of AVROBIO common stock held by affiliates of such directors and officers. The affirmative vote of a majority of votes properly cast by the holders of AVROBIO common stock entitled to vote at the special meeting, assuming a quorum is present, is required for approval of Proposal Nos. 1, 2, 4, 5, 6 and 7. The affirmative vote of the holders of a majority of the outstanding shares of AVROBIO common stock entitled to vote at the special meeting is required for approval of Proposal No. 3. As of March 15, 2024, certain AVROBIO stockholders who in the aggregate owned approximately 10.8% of the outstanding shares of AVROBIO have entered into a support agreement in connection with the merger. 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certain AVROBIO stockholders affiliated with AVROBIOs directors also currently hold shares of AVROBIO common stock. The table below sets forth the ownership of AVROBIO common stock by affiliates of AVROBIOs directors as of March 15,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31"/>
        <w:gridCol w:w="264"/>
        <w:gridCol w:w="1144"/>
      </w:tblGrid>
      <w:tr>
        <w:trPr/>
        <w:tc>
          <w:tcPr>
            <w:tcW w:w="5531"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264" w:type="dxa"/>
            <w:tcBorders/>
            <w:vAlign w:val="bottom"/>
          </w:tcPr>
          <w:p>
            <w:pPr>
              <w:pStyle w:val="TableContents"/>
              <w:bidi w:val="0"/>
              <w:spacing w:before="0" w:after="283"/>
              <w:jc w:val="left"/>
              <w:rPr/>
            </w:pPr>
            <w:r>
              <w:rPr/>
              <w:t>  </w:t>
            </w:r>
          </w:p>
        </w:tc>
        <w:tc>
          <w:tcPr>
            <w:tcW w:w="1144" w:type="dxa"/>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w:t>
              <w:br/>
              <w:t>Stock Held</w:t>
            </w:r>
          </w:p>
        </w:tc>
      </w:tr>
      <w:tr>
        <w:trPr/>
        <w:tc>
          <w:tcPr>
            <w:tcW w:w="55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Affiliates of Atlas Venture Fund(1)</w:t>
            </w:r>
          </w:p>
        </w:tc>
        <w:tc>
          <w:tcPr>
            <w:tcW w:w="264"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center"/>
              <w:rPr/>
            </w:pPr>
            <w:r>
              <w:rPr/>
              <w:t>4,541,381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in part on a Schedule 13D filed with the SEC on July 30, 2019 and a Form 4 filed with the SEC on February 18, 2020. 3,710,052 shares are held directly by Atlas Venture Fund X, L.P. (Atlas Venture X), 810,811 shares are held directly by Atlas Venture Opportunity Fund I, L.P. (Atlas Venture Opportunity) and 20,518 shares are held directly by Atlas Venture Associates X, L.P. (AVA X LP). AVA X LP is the general partner of Atlas Venture X, and Atlas Venture Associates X, LLC (AVA X LLC) is the general partner of AVA X LP. Atlas Venture Associates Opportunity I, L.P. (AVA Opportunity LP) is the general partner of Atlas Venture Opportunity and Atlas Venture Associates Opportunity I, LLC (AVA Opportunity LLC) is the general partner of AVA Opportunity LP. Bruce Booth is a member of AVA X LLC and AVA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Opportunity LLC and a member of the AVROBIO Board. Dr. Booth disclaims beneficial ownership of such shares, except to the extent of his proportionate pecuniary interest therein, if any. The address for Atlas Venture X is 300 Technology Square, 8th Floor, Cambridge, MA 02139.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AVROBIO Stock Options and AVROBIO RSUs </w:t>
      </w:r>
    </w:p>
    <w:p>
      <w:pPr>
        <w:pStyle w:val="TextBody"/>
        <w:bidi w:val="0"/>
        <w:spacing w:before="120" w:after="0"/>
        <w:jc w:val="left"/>
        <w:rPr>
          <w:rFonts w:ascii="Times New Roman" w:hAnsi="Times New Roman"/>
          <w:sz w:val="20"/>
        </w:rPr>
      </w:pPr>
      <w:r>
        <w:rPr>
          <w:rFonts w:ascii="Times New Roman" w:hAnsi="Times New Roman"/>
          <w:sz w:val="20"/>
        </w:rPr>
        <w:t xml:space="preserve">Each AVROBIO in-the-money option that is outstanding immediately prior to the effective time that is held by a current AVROBIO employee, director, or consultant of AVROBIO as of the date hereof will be accelerated in full effective as of the effective time and (ii) each AVROBIO in-the-money option that is unexpired, unexercised and outstanding as of immediately prior to the effective time and is held by a current AVROBIO employee, director or consultant as of the date of the execution of the Merger Agreement and who is a signatory to the lock-up agreement, will survive the closing and remain outstanding and exercisable until six months after the expiration of the Restricted Period (as defined in the signatorys respective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Further, the Merger Agreement provides that 50% of certain specified unexpired, unexercised and unvested AVROBIO options that remain outstanding as of immediately prior to the Effective Time (the Specified Options) (A) that are held by a current employee, director, or consultant of AVROBIO as of the date of the Merger Agreement will be accelerated in full effective as of immediately prior to the effective time, and (B) each Specified Option that is unexpired, unexercised, and outstanding as of immediately prior to the effective time and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signatorys respective lock-up agreement). The Specified Options are certain out-of-the-money options held by certain members of AVROBIO management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all outstanding AVROBIO RSUs that vest solely on the basis of time will be accelerated in full as of immediately prior to the effective time.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AVROBIO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information regarding the AVROBIO stock options and RSUs held as of March 15, 2024 by the individuals who are AVROBIOs executive officers and AVROBIOs current non-employee directors. The number of shares of AVROBIO common stock underlying such AVROBIO options and AVROBIO RSUs and, with respect to stock options, the applicable exercise prices of such options will be adjusted appropriately to reflect the proposed reverse stock split.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06"/>
        <w:gridCol w:w="582"/>
        <w:gridCol w:w="148"/>
        <w:gridCol w:w="2079"/>
        <w:gridCol w:w="60"/>
        <w:gridCol w:w="582"/>
        <w:gridCol w:w="505"/>
        <w:gridCol w:w="1230"/>
        <w:gridCol w:w="63"/>
      </w:tblGrid>
      <w:tr>
        <w:trPr/>
        <w:tc>
          <w:tcPr>
            <w:tcW w:w="2506"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w:t>
            </w:r>
          </w:p>
        </w:tc>
        <w:tc>
          <w:tcPr>
            <w:tcW w:w="582" w:type="dxa"/>
            <w:tcBorders/>
            <w:vAlign w:val="bottom"/>
          </w:tcPr>
          <w:p>
            <w:pPr>
              <w:pStyle w:val="TableContents"/>
              <w:bidi w:val="0"/>
              <w:spacing w:before="0" w:after="283"/>
              <w:jc w:val="left"/>
              <w:rPr/>
            </w:pPr>
            <w:r>
              <w:rPr/>
              <w:t>  </w:t>
            </w:r>
          </w:p>
        </w:tc>
        <w:tc>
          <w:tcPr>
            <w:tcW w:w="2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Under</w:t>
              <w:br/>
              <w:t>Outstanding Options</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Under</w:t>
              <w:br/>
              <w:t>Restricted Stock</w:t>
              <w:br/>
              <w:t>Units</w:t>
            </w:r>
          </w:p>
        </w:tc>
        <w:tc>
          <w:tcPr>
            <w:tcW w:w="63"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58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20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506" w:type="dxa"/>
            <w:tcBorders/>
          </w:tcPr>
          <w:p>
            <w:pPr>
              <w:pStyle w:val="TableContents"/>
              <w:bidi w:val="0"/>
              <w:spacing w:before="0" w:after="0"/>
              <w:jc w:val="left"/>
              <w:rPr>
                <w:rFonts w:ascii="Times New Roman" w:hAnsi="Times New Roman"/>
                <w:sz w:val="20"/>
              </w:rPr>
            </w:pPr>
            <w:r>
              <w:rPr>
                <w:rFonts w:ascii="Times New Roman" w:hAnsi="Times New Roman"/>
                <w:sz w:val="20"/>
              </w:rPr>
              <w:t>Bruce Booth, D.Phil</w:t>
            </w:r>
          </w:p>
        </w:tc>
        <w:tc>
          <w:tcPr>
            <w:tcW w:w="58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right"/>
              <w:rPr/>
            </w:pPr>
            <w:r>
              <w:rPr/>
              <w:t>93,712</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Ian Clark</w:t>
            </w:r>
          </w:p>
        </w:tc>
        <w:tc>
          <w:tcPr>
            <w:tcW w:w="58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right"/>
              <w:rPr/>
            </w:pPr>
            <w:r>
              <w:rPr/>
              <w:t>172,734</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Times New Roman" w:hAnsi="Times New Roman"/>
                <w:sz w:val="20"/>
              </w:rPr>
            </w:pPr>
            <w:r>
              <w:rPr>
                <w:rFonts w:ascii="Times New Roman" w:hAnsi="Times New Roman"/>
                <w:sz w:val="20"/>
              </w:rPr>
              <w:t>Phillip Donenberg</w:t>
            </w:r>
          </w:p>
        </w:tc>
        <w:tc>
          <w:tcPr>
            <w:tcW w:w="58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right"/>
              <w:rPr/>
            </w:pPr>
            <w:r>
              <w:rPr/>
              <w:t>112,455</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Gail Farfel</w:t>
            </w:r>
          </w:p>
        </w:tc>
        <w:tc>
          <w:tcPr>
            <w:tcW w:w="58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right"/>
              <w:rPr/>
            </w:pPr>
            <w:r>
              <w:rPr/>
              <w:t>98,037</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Times New Roman" w:hAnsi="Times New Roman"/>
                <w:sz w:val="20"/>
              </w:rPr>
            </w:pPr>
            <w:r>
              <w:rPr>
                <w:rFonts w:ascii="Times New Roman" w:hAnsi="Times New Roman"/>
                <w:sz w:val="20"/>
              </w:rPr>
              <w:t>Annalisa Jenkins, M.B.B.S., F.R.C.P.</w:t>
            </w:r>
          </w:p>
        </w:tc>
        <w:tc>
          <w:tcPr>
            <w:tcW w:w="58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right"/>
              <w:rPr/>
            </w:pPr>
            <w:r>
              <w:rPr/>
              <w:t>133,223</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Paige, Ph.D.</w:t>
            </w:r>
          </w:p>
        </w:tc>
        <w:tc>
          <w:tcPr>
            <w:tcW w:w="58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right"/>
              <w:rPr/>
            </w:pPr>
            <w:r>
              <w:rPr/>
              <w:t>93,712</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Times New Roman" w:hAnsi="Times New Roman"/>
                <w:sz w:val="20"/>
              </w:rPr>
            </w:pPr>
            <w:r>
              <w:rPr>
                <w:rFonts w:ascii="Times New Roman" w:hAnsi="Times New Roman"/>
                <w:sz w:val="20"/>
              </w:rPr>
              <w:t>Philip Vickers, Ph.D.</w:t>
            </w:r>
          </w:p>
        </w:tc>
        <w:tc>
          <w:tcPr>
            <w:tcW w:w="58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right"/>
              <w:rPr/>
            </w:pPr>
            <w:r>
              <w:rPr/>
              <w:t>112,455</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800" w:type="pct"/>
        <w:jc w:val="center"/>
        <w:tblInd w:w="0" w:type="dxa"/>
        <w:tblLayout w:type="fixed"/>
        <w:tblCellMar>
          <w:top w:w="0" w:type="dxa"/>
          <w:left w:w="0" w:type="dxa"/>
          <w:bottom w:w="0" w:type="dxa"/>
          <w:right w:w="0" w:type="dxa"/>
        </w:tblCellMar>
      </w:tblPr>
      <w:tblGrid>
        <w:gridCol w:w="2689"/>
        <w:gridCol w:w="539"/>
        <w:gridCol w:w="123"/>
        <w:gridCol w:w="2049"/>
        <w:gridCol w:w="60"/>
        <w:gridCol w:w="539"/>
        <w:gridCol w:w="117"/>
        <w:gridCol w:w="1576"/>
        <w:gridCol w:w="63"/>
      </w:tblGrid>
      <w:tr>
        <w:trPr/>
        <w:tc>
          <w:tcPr>
            <w:tcW w:w="2689" w:type="dxa"/>
            <w:tcBorders/>
            <w:vAlign w:val="center"/>
          </w:tcPr>
          <w:p>
            <w:pPr>
              <w:pStyle w:val="TableContents"/>
              <w:bidi w:val="0"/>
              <w:spacing w:before="0" w:after="283"/>
              <w:jc w:val="left"/>
              <w:rPr>
                <w:sz w:val="4"/>
                <w:szCs w:val="4"/>
              </w:rPr>
            </w:pPr>
            <w:r>
              <w:rPr>
                <w:sz w:val="4"/>
                <w:szCs w:val="4"/>
              </w:rPr>
            </w:r>
          </w:p>
        </w:tc>
        <w:tc>
          <w:tcPr>
            <w:tcW w:w="539"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9"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w:t>
            </w:r>
          </w:p>
        </w:tc>
        <w:tc>
          <w:tcPr>
            <w:tcW w:w="539" w:type="dxa"/>
            <w:tcBorders/>
            <w:vAlign w:val="bottom"/>
          </w:tcPr>
          <w:p>
            <w:pPr>
              <w:pStyle w:val="TableContents"/>
              <w:bidi w:val="0"/>
              <w:spacing w:before="0" w:after="283"/>
              <w:jc w:val="left"/>
              <w:rPr/>
            </w:pPr>
            <w:r>
              <w:rPr/>
              <w:t>  </w:t>
            </w:r>
          </w:p>
        </w:tc>
        <w:tc>
          <w:tcPr>
            <w:tcW w:w="2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Under</w:t>
              <w:br/>
              <w:t>Outstanding Options</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Under</w:t>
              <w:br/>
              <w:t>Restricted Stock</w:t>
              <w:br/>
              <w:t>Units</w:t>
            </w:r>
          </w:p>
        </w:tc>
        <w:tc>
          <w:tcPr>
            <w:tcW w:w="63" w:type="dxa"/>
            <w:tcBorders/>
            <w:vAlign w:val="bottom"/>
          </w:tcPr>
          <w:p>
            <w:pPr>
              <w:pStyle w:val="TableContents"/>
              <w:bidi w:val="0"/>
              <w:spacing w:before="0" w:after="283"/>
              <w:jc w:val="left"/>
              <w:rPr/>
            </w:pPr>
            <w:r>
              <w:rPr/>
              <w:t> </w:t>
            </w:r>
          </w:p>
        </w:tc>
      </w:tr>
      <w:tr>
        <w:trPr/>
        <w:tc>
          <w:tcPr>
            <w:tcW w:w="26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53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20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3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57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689" w:type="dxa"/>
            <w:tcBorders/>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53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9" w:type="dxa"/>
            <w:tcBorders/>
            <w:vAlign w:val="bottom"/>
          </w:tcPr>
          <w:p>
            <w:pPr>
              <w:pStyle w:val="TableContents"/>
              <w:bidi w:val="0"/>
              <w:spacing w:before="0" w:after="283"/>
              <w:jc w:val="right"/>
              <w:rPr/>
            </w:pPr>
            <w:r>
              <w:rPr/>
              <w:t>1,067,000</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right"/>
              <w:rPr/>
            </w:pPr>
            <w:r>
              <w:rPr/>
              <w:t>190,249</w:t>
            </w:r>
          </w:p>
        </w:tc>
        <w:tc>
          <w:tcPr>
            <w:tcW w:w="63" w:type="dxa"/>
            <w:tcBorders/>
            <w:vAlign w:val="bottom"/>
          </w:tcPr>
          <w:p>
            <w:pPr>
              <w:pStyle w:val="TableContents"/>
              <w:bidi w:val="0"/>
              <w:spacing w:before="0" w:after="283"/>
              <w:jc w:val="left"/>
              <w:rPr/>
            </w:pPr>
            <w:r>
              <w:rPr/>
              <w:t> </w:t>
            </w:r>
          </w:p>
        </w:tc>
      </w:tr>
      <w:tr>
        <w:trPr/>
        <w:tc>
          <w:tcPr>
            <w:tcW w:w="2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Avruch</w:t>
            </w:r>
          </w:p>
        </w:tc>
        <w:tc>
          <w:tcPr>
            <w:tcW w:w="53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49" w:type="dxa"/>
            <w:tcBorders/>
            <w:shd w:fill="CCEEFF" w:val="clear"/>
            <w:vAlign w:val="bottom"/>
          </w:tcPr>
          <w:p>
            <w:pPr>
              <w:pStyle w:val="TableContents"/>
              <w:bidi w:val="0"/>
              <w:spacing w:before="0" w:after="283"/>
              <w:jc w:val="right"/>
              <w:rPr/>
            </w:pPr>
            <w:r>
              <w:rPr/>
              <w:t>766,336</w:t>
            </w:r>
          </w:p>
        </w:tc>
        <w:tc>
          <w:tcPr>
            <w:tcW w:w="60"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right"/>
              <w:rPr/>
            </w:pPr>
            <w:r>
              <w:rPr/>
              <w:t>98,499</w:t>
            </w:r>
          </w:p>
        </w:tc>
        <w:tc>
          <w:tcPr>
            <w:tcW w:w="63" w:type="dxa"/>
            <w:tcBorders/>
            <w:shd w:fill="CCEEFF" w:val="clear"/>
            <w:vAlign w:val="bottom"/>
          </w:tcPr>
          <w:p>
            <w:pPr>
              <w:pStyle w:val="TableContents"/>
              <w:bidi w:val="0"/>
              <w:spacing w:before="0" w:after="283"/>
              <w:jc w:val="left"/>
              <w:rPr/>
            </w:pPr>
            <w:r>
              <w:rPr/>
              <w:t> </w:t>
            </w:r>
          </w:p>
        </w:tc>
      </w:tr>
      <w:tr>
        <w:trPr/>
        <w:tc>
          <w:tcPr>
            <w:tcW w:w="2689" w:type="dxa"/>
            <w:tcBorders/>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53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9" w:type="dxa"/>
            <w:tcBorders/>
            <w:vAlign w:val="bottom"/>
          </w:tcPr>
          <w:p>
            <w:pPr>
              <w:pStyle w:val="TableContents"/>
              <w:bidi w:val="0"/>
              <w:spacing w:before="0" w:after="283"/>
              <w:jc w:val="right"/>
              <w:rPr/>
            </w:pPr>
            <w:r>
              <w:rPr/>
              <w:t>524,497</w:t>
            </w:r>
          </w:p>
        </w:tc>
        <w:tc>
          <w:tcPr>
            <w:tcW w:w="60"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right"/>
              <w:rPr/>
            </w:pPr>
            <w:r>
              <w:rPr/>
              <w:t>130,171</w:t>
            </w:r>
          </w:p>
        </w:tc>
        <w:tc>
          <w:tcPr>
            <w:tcW w:w="63" w:type="dxa"/>
            <w:tcBorders/>
            <w:vAlign w:val="bottom"/>
          </w:tcPr>
          <w:p>
            <w:pPr>
              <w:pStyle w:val="TableContents"/>
              <w:bidi w:val="0"/>
              <w:spacing w:before="0" w:after="283"/>
              <w:jc w:val="left"/>
              <w:rPr/>
            </w:pPr>
            <w:r>
              <w:rPr/>
              <w:t> </w:t>
            </w:r>
          </w:p>
        </w:tc>
      </w:tr>
      <w:tr>
        <w:trPr/>
        <w:tc>
          <w:tcPr>
            <w:tcW w:w="2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Essra Ridha</w:t>
            </w:r>
          </w:p>
        </w:tc>
        <w:tc>
          <w:tcPr>
            <w:tcW w:w="53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49" w:type="dxa"/>
            <w:tcBorders/>
            <w:shd w:fill="CCEEFF" w:val="clear"/>
            <w:vAlign w:val="bottom"/>
          </w:tcPr>
          <w:p>
            <w:pPr>
              <w:pStyle w:val="TableContents"/>
              <w:bidi w:val="0"/>
              <w:spacing w:before="0" w:after="283"/>
              <w:jc w:val="right"/>
              <w:rPr/>
            </w:pPr>
            <w:r>
              <w:rPr/>
              <w:t>458,000</w:t>
            </w:r>
          </w:p>
        </w:tc>
        <w:tc>
          <w:tcPr>
            <w:tcW w:w="60"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right"/>
              <w:rPr/>
            </w:pPr>
            <w:r>
              <w:rPr/>
              <w:t>98,499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value of in-the-money AVROBIO options and RSUs that will be subject to accelerated vesting is $1.1 million for executive officers and $0.1 million for directors, assuming $1.33 per share of AVROBIO common stock, which reflects the average closing market price of AVROBIOs common stock over the first five trading days ending three trading days prior to the first public announcement of the transaction. In addition, the executive officers and directors hold an aggregate of 447,500 shares subject to Specified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Positions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currently consists of seven members and is currently divided into three classes of directors with three directors in Class I, two directors in Class II and two directors in Class III. Each director serves for a term ending on the date of the third annual meeting following the annual meeting at which he or she was elected and until his or her successor is duly elected and qualified. The terms and members of each class of directors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Gail Farfel, Ph.D., Christopher Paige, Ph.D. and Philip Vickers, Ph.D., and their terms will expire at the annual meeting of stockholders to be held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Ian Clark and Annalisa Jenkins, M.B.B.S., F.R.C.P., and their terms will expire at the annual meeting of stockholders to be held in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Bruce Booth, D.Phil. and Phillip Donenberg, and their terms will expire at the annual meeting of stockholders to be held in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merger, one of the current AVROBIO directors will serve as a director of the combined company, and the combined companys directors will consist of six members, with five directors designated by Tectonic, who are Terrance McGuire, Alise Reicin, Timothy A. Springer, Praveen Tipirneni and Stefan Vitorovic, and one director designated by AVROBIO, who is Phillip Donenberg.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the current AVROBIO directors and executive officers, and there are no family relationships among any of the proposed combined company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AVROBIO directors and officers under the Merger Agreement, please see the section 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254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AVROBIO compensates its non-employee directors for their service on the AVROBIO Board pursuant to its director compensation program. Non-employee members of the AVROBIO Board receive cash compensation, payable in quarterly installments, in arrears following the end of each quarter in which service occurred, prorated based on the number of actual days served by the director during such calendar quarter. Pursuant to the director compensation program, non-employee directors are also eligible to receive initial and annual grants of stock options. Each initial stock option granted to AVROBIOs non-employee directors, vests and becomes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36 equal monthly installments over a three-year period; provided, however, that all vesting shall cease if the director resigns from the AVROBIO Board or otherwise ceases to serve as a director of AVROBIO. Each annual stock option granted to AVROBIOs non-employee directors, vests and becomes exercisable in full upon the earlier to occur of the first anniversary of the date of grant or the date of the next annual meeting. AVROBIO also reimburses its non-employee directors for reasonable travel and out-of-pocket expenses incurred in connection with attending its board of director and committee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Severance Arrangements </w:t>
      </w:r>
    </w:p>
    <w:p>
      <w:pPr>
        <w:pStyle w:val="TextBody"/>
        <w:bidi w:val="0"/>
        <w:spacing w:before="120" w:after="0"/>
        <w:jc w:val="left"/>
        <w:rPr>
          <w:rFonts w:ascii="Times New Roman" w:hAnsi="Times New Roman"/>
          <w:i/>
          <w:sz w:val="20"/>
        </w:rPr>
      </w:pPr>
      <w:r>
        <w:rPr>
          <w:rFonts w:ascii="Times New Roman" w:hAnsi="Times New Roman"/>
          <w:i/>
          <w:sz w:val="20"/>
        </w:rPr>
        <w:t xml:space="preserve">Erik Ostrowski </w:t>
      </w:r>
    </w:p>
    <w:p>
      <w:pPr>
        <w:pStyle w:val="TextBody"/>
        <w:bidi w:val="0"/>
        <w:spacing w:before="120" w:after="0"/>
        <w:jc w:val="left"/>
        <w:rPr>
          <w:rFonts w:ascii="Times New Roman" w:hAnsi="Times New Roman"/>
          <w:sz w:val="20"/>
        </w:rPr>
      </w:pPr>
      <w:r>
        <w:rPr>
          <w:rFonts w:ascii="Times New Roman" w:hAnsi="Times New Roman"/>
          <w:sz w:val="20"/>
        </w:rPr>
        <w:t xml:space="preserve">Mr. Ostrowskis employment agreement provides that, in the event that his employment is terminated by AVROBIO without cause or by Mr. Ostrowski with good reason (as each term is defined in his employment agreement),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in equal installments over nine months in accordance with AVROBIOs normal payroll cycle,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nine months, and (iii) acceleration of vesting of all stock options and other stock based awards held by Mr. Ostrowski that would have vested if 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Ostrowskis employment is terminated by AVROBIO without cause or by Mr. Ostrowski for good reason, in each case, within three months prior to or 18 months after a change in control, subject to the execution and effectiveness of a separation agreement and release, he will be entitled to receive (i) a lump sum amount equal to 100% of the sum of his current base salary (or his base salary in effect immediately prior to the change in control if higher) plus his target bonus for that year, less any amount paid to Mr. Ostrowski in the same calendar year under the Employee Confidentiality, Assignment and Noncompetition Agreement,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12 months, and (iii) full acceleration of vesting of all time-based stock options and other time-based stock-based awards held by Mr. Ostrowski. </w:t>
      </w:r>
    </w:p>
    <w:p>
      <w:pPr>
        <w:pStyle w:val="TextBody"/>
        <w:bidi w:val="0"/>
        <w:spacing w:before="360" w:after="0"/>
        <w:jc w:val="left"/>
        <w:rPr>
          <w:rFonts w:ascii="Times New Roman" w:hAnsi="Times New Roman"/>
          <w:i/>
          <w:sz w:val="20"/>
        </w:rPr>
      </w:pPr>
      <w:r>
        <w:rPr>
          <w:rFonts w:ascii="Times New Roman" w:hAnsi="Times New Roman"/>
          <w:i/>
          <w:sz w:val="20"/>
        </w:rPr>
        <w:t xml:space="preserve">Azadeh Golipour </w:t>
      </w:r>
    </w:p>
    <w:p>
      <w:pPr>
        <w:pStyle w:val="TextBody"/>
        <w:bidi w:val="0"/>
        <w:spacing w:before="120" w:after="0"/>
        <w:jc w:val="left"/>
        <w:rPr>
          <w:rFonts w:ascii="Times New Roman" w:hAnsi="Times New Roman"/>
          <w:sz w:val="20"/>
        </w:rPr>
      </w:pPr>
      <w:r>
        <w:rPr>
          <w:rFonts w:ascii="Times New Roman" w:hAnsi="Times New Roman"/>
          <w:sz w:val="20"/>
        </w:rPr>
        <w:t xml:space="preserve">Dr. Golipours employment agreement provides that, in the event that her employment is terminated by AVROBIO without cause or by Dr. Golipour with good reason (as each term is defined in her employment agreement), subject to the execution and effectiveness of a separation agreement and release, she will be entitled to receive (i) an amount equal to 75% of her base salary less any garden leave pay paid to Dr. Golipour in the same calendar year under the Employee Confidentiality, Assignment and Noncompetition Agreement, provided that Dr. Golipour has not breached any of the confidentiality, noncompetition or cooperation provisions set forth in, or incorporated into, the employment agreement, payable in equal installments over nine months in accordance with AVROBIOs normal payroll cycle, (ii) if Dr. Golipour was participating in AVROBIOs group health plan and elects COBRA health continuation, a monthly cash payment equal to the monthly employer contribution that AVROBIO would have made to provide health insurance to Dr. Golipour had she remained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employed with AVROBIO for up to nine months, and (iii) acceleration of vesting of all stock options and other stock based awards held by Dr. Golipour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Golipours employment is terminated by AVROBIO without cause or by Dr. Golipour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less any amount paid to Dr. Golipour in the same calendar year under the Employee Confidentiality, Assignment and Noncompetition Agreement, (ii) if Dr. Golipour was participating in AVROBIOs group health plan and elects COBRA health continuation, a monthly cash payment equal to the monthly employer contribution that AVROBIO would have made to provide health insurance to Dr. Golipour had she remained employed with AVROBIO for up to 12 months, and (iii) full acceleration of vesting of all time-based stock options and other time-based stock-based awards held by Dr. Golipour. </w:t>
      </w:r>
    </w:p>
    <w:p>
      <w:pPr>
        <w:pStyle w:val="TextBody"/>
        <w:bidi w:val="0"/>
        <w:spacing w:before="360" w:after="0"/>
        <w:jc w:val="left"/>
        <w:rPr>
          <w:rFonts w:ascii="Times New Roman" w:hAnsi="Times New Roman"/>
          <w:i/>
          <w:sz w:val="20"/>
        </w:rPr>
      </w:pPr>
      <w:r>
        <w:rPr>
          <w:rFonts w:ascii="Times New Roman" w:hAnsi="Times New Roman"/>
          <w:i/>
          <w:sz w:val="20"/>
        </w:rPr>
        <w:t xml:space="preserve">Essra Ridha </w:t>
      </w:r>
    </w:p>
    <w:p>
      <w:pPr>
        <w:pStyle w:val="TextBody"/>
        <w:bidi w:val="0"/>
        <w:spacing w:before="120" w:after="0"/>
        <w:jc w:val="left"/>
        <w:rPr>
          <w:rFonts w:ascii="Times New Roman" w:hAnsi="Times New Roman"/>
          <w:sz w:val="20"/>
        </w:rPr>
      </w:pPr>
      <w:r>
        <w:rPr>
          <w:rFonts w:ascii="Times New Roman" w:hAnsi="Times New Roman"/>
          <w:sz w:val="20"/>
        </w:rPr>
        <w:t xml:space="preserve">Dr. Ridhas employment agreement provides that, in the event that her employment is terminated by AVROBIO without cause or by Dr. Ridha with good reason (as each term is defined in her employment agreement), subject to the execution and effectiveness of a separation agreement and release, she will be entitled to receive (i) an amount equal to 75% of her base salary, (ii) nine (9) months of benefits allowance, which would include medical, dental, vision, and leisure travel insurance benefits, and (iii) acceleration of vesting of all stock options and other stock based awards held by Dr. Ridha that would have vested if she had remained employed by AVROBIO for an additional nine months following the date of termination. In addition, in the event that Dr. Ridhas employment is terminated by AVROBIO without cause or by Dr. Ridha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(ii) 12 months of benefits allowance, which would include medical, dental, vision, and leisure travel insurance benefits, and (iii) full acceleration of vesting of all time-based stock options and other time-based stock-based awards held by Dr. Ridha.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Retention Bonuses </w:t>
      </w:r>
    </w:p>
    <w:p>
      <w:pPr>
        <w:pStyle w:val="TextBody"/>
        <w:bidi w:val="0"/>
        <w:spacing w:before="120" w:after="0"/>
        <w:jc w:val="left"/>
        <w:rPr>
          <w:rFonts w:ascii="Times New Roman" w:hAnsi="Times New Roman"/>
          <w:sz w:val="20"/>
        </w:rPr>
      </w:pPr>
      <w:r>
        <w:rPr>
          <w:rFonts w:ascii="Times New Roman" w:hAnsi="Times New Roman"/>
          <w:sz w:val="20"/>
        </w:rPr>
        <w:t>On June 9, 2023, the AVROBIO Compensation Committee approved cash retention bonuses for each of Mr. Ostrowski, Dr. Golipour and Dr. Ridha. The Retention Bonuses were payable to each of Mr. Ostrowski, Dr. Golipour and Dr. Ridha, subject to each executive continuing to be employed by AVROBIO as of December 31, 2023. The amount of the retention bonuses payable to each of Mr. Ostrowski, Dr. Golipour and Dr. Ridha equaled to (i) 125% of each executives base salary for calendar year 2023 as in effect on June 9, 2023 (except that, in the case of Mr. Ostrowski, such calculation was based on his base salary in effect as of July 1, 2023), plus (ii) 125% of each executives target 2023 annual bonus as in effect on June 9, 2023 (except that, in the case of Mr. Ostrowski, such calculation was based on his target 2023 annual bonus in effect for the six month period commencing July 1, 2023), in each case pro-rated for the period of time from June 9, 2023 to December 31, 2023.</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related footnotes present information about the compensation payable to AVROBIOs named executive officers in connection with the merger. The compensation shown in the table below is intended to comply with Item 402(t) of Regulation S-K, which requires disclosure of information about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for each named executive officer that is based on or otherwise relates to the Merger. This compensation is referred to as golden parachute compensation by the applicable SEC disclosure rules. AVROBIOs named executive officers who are no longer employed by AVROBIO have been excluded from the table below and will not receive any golden parachute compensation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values in the table below are based on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relevant price per share of AVROBIO common stock is approximately $1.33, which reflects the average closing market price of AVROBIOs common stock over the first five trading days ending three trading days prior to the first public announcement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who is currently employed by AVROBIO will remain employed through the closing of the merger, and that their employment is terminated without cause or by the executive officer for good reason as of immediately following the effective time of the merger on March 15, 2024 (in each case, referred to as a qualifying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holds the outstanding equity awards that were held by such AVROBIO named executive officer as of March 15, 2024, the latest practicable date before the filing of this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base salary, target annual incentive compensation, and health and welfare benefit elections of each AVROBIO named executive officer remains the same as of March 15,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footnotes describe payments and benefits that will be paid solely based on the closing of merger (single-trigger payments), and payments and benefits that will be paid based on the closing of the merger and a qualifying termination following the merger (double-trigger payments).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84"/>
        <w:gridCol w:w="262"/>
        <w:gridCol w:w="60"/>
        <w:gridCol w:w="821"/>
        <w:gridCol w:w="60"/>
        <w:gridCol w:w="262"/>
        <w:gridCol w:w="60"/>
        <w:gridCol w:w="821"/>
        <w:gridCol w:w="60"/>
        <w:gridCol w:w="262"/>
        <w:gridCol w:w="96"/>
        <w:gridCol w:w="1109"/>
        <w:gridCol w:w="60"/>
        <w:gridCol w:w="262"/>
        <w:gridCol w:w="60"/>
        <w:gridCol w:w="982"/>
        <w:gridCol w:w="67"/>
      </w:tblGrid>
      <w:tr>
        <w:trPr/>
        <w:tc>
          <w:tcPr>
            <w:tcW w:w="4084"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62"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($)(1)</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w:t>
              <w:br/>
              <w:t>($)(3)</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4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829,250</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301,288</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26,918</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1,157,456</w:t>
            </w:r>
          </w:p>
        </w:tc>
        <w:tc>
          <w:tcPr>
            <w:tcW w:w="67" w:type="dxa"/>
            <w:tcBorders/>
            <w:shd w:fill="CCEEFF" w:val="clear"/>
            <w:vAlign w:val="bottom"/>
          </w:tcPr>
          <w:p>
            <w:pPr>
              <w:pStyle w:val="TableContents"/>
              <w:bidi w:val="0"/>
              <w:spacing w:before="0" w:after="283"/>
              <w:jc w:val="left"/>
              <w:rPr/>
            </w:pPr>
            <w:r>
              <w:rPr/>
              <w:t> </w:t>
            </w:r>
          </w:p>
        </w:tc>
      </w:tr>
      <w:tr>
        <w:trPr/>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Geoff MacKay(4)</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607,500</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209,218</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9,173</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825,891</w:t>
            </w:r>
          </w:p>
        </w:tc>
        <w:tc>
          <w:tcPr>
            <w:tcW w:w="67" w:type="dxa"/>
            <w:tcBorders/>
            <w:shd w:fill="CCEEFF" w:val="clear"/>
            <w:vAlign w:val="bottom"/>
          </w:tcPr>
          <w:p>
            <w:pPr>
              <w:pStyle w:val="TableContents"/>
              <w:bidi w:val="0"/>
              <w:spacing w:before="0" w:after="283"/>
              <w:jc w:val="left"/>
              <w:rPr/>
            </w:pPr>
            <w:r>
              <w:rPr/>
              <w:t> </w:t>
            </w:r>
          </w:p>
        </w:tc>
      </w:tr>
      <w:tr>
        <w:trPr/>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Essra Ridha(5)</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714,380</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171,270</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3,671</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889,321</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a lump sum amount equal to 100% of the sum of the named executive officers current base salary (or base salary in effect immediately prior to the change in control if higher) plus target bonus for that year, which amounts are double trigger payments.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Amount represents the estimated consideration payable with respect to all AVROBIO stock options and other AVROBIO stock-based awards held by AVROBIOs named executive officers upon a qualifying termination of employment in connection with the merger, as discussed above under </w:t>
            </w:r>
            <w:r>
              <w:rPr>
                <w:rFonts w:ascii="Times New Roman" w:hAnsi="Times New Roman"/>
                <w:i/>
                <w:sz w:val="20"/>
              </w:rPr>
              <w:t>Executive Severance Arrangements</w:t>
            </w:r>
            <w:r>
              <w:rPr>
                <w:rFonts w:ascii="Times New Roman" w:hAnsi="Times New Roman"/>
                <w:sz w:val="20"/>
              </w:rPr>
              <w:t xml:space="preserve">. The consideration payable with respect to such awards are double-trigger payments.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estimated value of reimbursement of COBRA premiums for health benefit coverage, in an amount equal to the monthly employer contribution that AVROBIO would have made to provide health insurance to Mr. Ostrowski and Dr. Golipour had the executive remained employed with AVROBIO until the earliest of 12 months following the date of termination, based on the costs of coverage and benefit elections in effect as of March 15, 2024. For Dr. Ridha, this amount represents 12 months of benefits allowance, which would include medical, dental, vision, and leisure travel insurance benefits. Such amounts are double-trigger payments.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his separation with AVROBIO, effective as of May 1, 2023, Mr. MacKay is ineligible for severance benefits in connection with the merger.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the Cash and Perquisites/Benefits columns were converted from GBP to USD using the exchange rate as of February 1, 2024 (1 GBP = 1.2745 USD).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AVROBIOs charter and bylaws, AVROBIO has entered into indemnification agreements with each of its directors and officers. These agreements provide for the indemnification of AVROBIOs directors and executive officers for all reasonable expenses and liabilities incurred in connection with any action or proceeding brought against them by reason of the fact that they are or were agents of AVROBIO. AVROBIO believes that these charter and bylaw provisions and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bookmarkStart w:id="52" w:name="toc770053_49a"/>
      <w:bookmarkEnd w:id="52"/>
      <w:r>
        <w:rPr>
          <w:rFonts w:ascii="Times New Roman" w:hAnsi="Times New Roman"/>
          <w:b/>
          <w:sz w:val="20"/>
        </w:rPr>
        <w:t xml:space="preserve">Interests of Tectonics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Tectonic Board with respect to approving the merger, stockholders should be aware that Tectonics directors and executive officers have interests in the merger that are different from, or in addition to, the interests of Tectonic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Tectonic Board was aware of these potential conflicts of interest and considered them, among other matters, in reaching its decision to approve the Merger Agreement and the merger, and to recommend that the Tectonic stockholders approve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Certain of Tectonics directors participated, or are affiliated with entities that participated, in the private financings, including Timothy A. Springer, Andrew Kruse, Stefan Vitorovic and Terrance McGuire.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December 31, 2023, Tectonics current non-employee directors and executive officers beneficially owned, in the aggregate approximately 90.5% of the outstanding shares of Tectonic capital stock, which for purposes of this subsection excludes any Tectonic shares issuable upon exercise or settlement of Tectonic stock options held by such individual. Each of Tectonics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Tectonic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under the Tectonic Equity Incentive Plan and that, following assumption by AVROBIO at the effective time, whether or not vested, will be converted into an option to purchase shares of AVROBIO common stock. AVROBIO will assume the Tectonic Equity Incentive Plan, as amended, and each such outstanding option to purchase shares of Tectonic common stock in accordance with the terms (as in effect as of the date of the Merger Agreement) of the Tectonic Equity Incentive Plan and the terms of the stock option agreement by which such option to purchase shares of Tectonic common stock is evidenced.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Alise Reicin, Tectonics Chief Executive Officer and a member of the Tectonic Board, held stock options granted pursuant to the Tectonic Equity Incentive Plan to purchase 416,304 shares of Tectonics common stock, of which 107,190 options have been exercised, and 20,468 shares of Tectonic Common Stock issued upon such exercises remain subject to vesting. Marcella K. Ruddy, Tectonics Chief Medical Officer, held stock options granted pursuant to the Tectonic Equity Incentive Plan to purchase 177,233 shares of Tectonics common stock. Christian Cortis, Tectonics Chief Operating Officer and Chief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held stock options granted pursuant to the Tectonic Equity Incentive Plan to purchase 336,359 shares of Tectonics common stock. Praveen Tipirneni, a member of the Tectonic Board, held stock options granted pursuant to the Tectonic Equity Incentive Plan to purchase 22,765 shares of Tectonics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427 of this proxy statement/prospectus certain of Tectonics directors and executive officers are expected to become the directors and executive officers of the combined company upon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Tectonic directors and officers under the Merger Agreement, please see the section 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254 of this proxy statement/prospectus. </w:t>
      </w:r>
    </w:p>
    <w:p>
      <w:pPr>
        <w:pStyle w:val="TextBody"/>
        <w:bidi w:val="0"/>
        <w:spacing w:before="360" w:after="0"/>
        <w:jc w:val="left"/>
        <w:rPr>
          <w:rFonts w:ascii="Times New Roman" w:hAnsi="Times New Roman"/>
          <w:b/>
          <w:sz w:val="20"/>
        </w:rPr>
      </w:pPr>
      <w:bookmarkStart w:id="53" w:name="toc770053_50"/>
      <w:bookmarkEnd w:id="53"/>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Delaware law, at the completion of the merger, Merger Sub, a wholly owned subsidiary of AVROBIO formed by AVROBIO in connection with the merger, will merge with and into Tectonic, with Tectonic surviving as a wholly owned subsidiary of AVROBIO. </w:t>
      </w:r>
    </w:p>
    <w:p>
      <w:pPr>
        <w:pStyle w:val="TextBody"/>
        <w:bidi w:val="0"/>
        <w:spacing w:before="360" w:after="0"/>
        <w:jc w:val="left"/>
        <w:rPr>
          <w:rFonts w:ascii="Times New Roman" w:hAnsi="Times New Roman"/>
          <w:b/>
          <w:sz w:val="20"/>
        </w:rPr>
      </w:pPr>
      <w:bookmarkStart w:id="54" w:name="toc770053_51"/>
      <w:bookmarkEnd w:id="54"/>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exchange ratio described in more detail in the sections titled </w:t>
      </w:r>
      <w:r>
        <w:rPr>
          <w:rFonts w:ascii="Times New Roman" w:hAnsi="Times New Roman"/>
          <w:i/>
          <w:sz w:val="20"/>
        </w:rPr>
        <w:t>The Merger AgreementMerger 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xml:space="preserve"> beginning on pages 239 and 240, respectively,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AVROBIO common stock will be issued in connection with the merger, and no certificates or scrip for any such fractional shares will be issued. Any fractional shares of AVROBIO common stock resulting from the conversion of shares of Tectonic common stock (including shares of Tectonic common stock issued upon conversion of Tectonic preferred stock as well as the private financing shares and the Company SAFEs) into the right to receive a number of AVROBIO common stock equal to the exchange ratio or from the settlement of Tectonic options pursuant to the Merger Agreement (after aggregating all fractional shares of AVROBIO common stock issuable to such holder) will be rounded to the nearest whole share of AVROBIO common stock, with no cash being paid for any fractional share of AVROBIO common stock eliminated by such rounding. </w:t>
      </w:r>
    </w:p>
    <w:p>
      <w:pPr>
        <w:pStyle w:val="TextBody"/>
        <w:bidi w:val="0"/>
        <w:spacing w:before="360" w:after="0"/>
        <w:jc w:val="left"/>
        <w:rPr>
          <w:rFonts w:ascii="Times New Roman" w:hAnsi="Times New Roman"/>
          <w:b/>
          <w:sz w:val="20"/>
        </w:rPr>
      </w:pPr>
      <w:bookmarkStart w:id="55" w:name="toc770053_52"/>
      <w:bookmarkEnd w:id="55"/>
      <w:r>
        <w:rPr>
          <w:rFonts w:ascii="Times New Roman" w:hAnsi="Times New Roman"/>
          <w:b/>
          <w:sz w:val="20"/>
        </w:rPr>
        <w:t xml:space="preserve">Calculation of AVROBIOs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AVROBIOs net cash means, as of the cash determination time (which is as of 11:59 p.m. Eastern Time on the last business day prior to the anticipated closing date)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cash and cash equivalents and marketable securities as of immediately prior to the closing and determined in accordance with GAAP, in a manner consistent with the manner in which such items were historically determined and in accordance with AVROBIOs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AVROBIOs prepaid expenses and deposits of AVROBIO and its subsidiaries;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certain cash payments actually required to be made by AVROBIO under its contractual obligations to the extent unpaid as of immediately prior to closing;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unpaid liabilities as of the date of closing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AVROBIOs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AVROBIOs property, liabilities for taxes relating to the disposition of AVROBIOs pre-closing assets, and any guarantees relating to each of the foregoing);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transaction expenses to the extent unpaid as of the closing;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unpaid cash cost of change in control payments, severance payments, bonus payments, retention or similar payments payable to AVROBIOs employees (whether single or double trigger) (including, without limitation, (a) a reasonable estimate of payment or reimbursement by AVROBIO for continued coverage under any employee benefit plan in existence immediately prior to the closing (excluding any such plan contemplated by the Incentive Plan Proposal and the ESPP Proposal) and (b) including the employer portion of any employment, payroll, or similar taxes with respect to all such compensation);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related to AVROBIO or any of its subsidiaries payment obligations pursuant to any real estate leases;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unpaid premium (a) associated with obtaining a tail policy on AVROBIOs existing directors and officers liability insurance policy and (b) the clinical trial liability insurance tail policy;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unpaid taxes of AVROBIO and its subsidiaries for tax periods (or portions thereof) ending on or before the closing and which are accrued in accordance with GAAP as of immediately prior to the closing (unless otherwise required by law);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unpaid costs and expenses (including a reasonable estimate of any taxes) relating to the winding down of any portion of AVROBIOs pre-closing business, which is either not to be held for sale after the date of closing or subject to the terms of the CVR Agreement;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withholding and other taxes payable in connection with the distribution of any CVRs to any former AVROBIO stockholder;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paid prior to or actually incurred as of, the closing not otherwise already reducing cash and cash equivalents, by AVROBIO as a result of any litigation against AVROBIO and/or its directors relating to the Merger Agreement or the transactions contemplated therein;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of the transaction expenses payable by Tectonic pursuant to the Merger Agreement that are paid by AVROBIO or its subsidiaries prior to the closing; and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 of the IP Expense Fund (as defined in the CVR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prior to the anticipated closing date, AVROBIO will deliver to Tectonic a net cash schedule setting forth, in reasonable detail, AVROBIOs good faith estimated calculation of its net cash at the cash determination time, prepared and certified by AVROBIOs Chief Financial Officer (or if there is no chief financial officer, the principal financial and accounting officer), and, if requested, the relevant work papers and back-up materials used or useful in preparing the net cash schedule. No later than three business days after delivery of the cash determination time (the last day of such period referred to as the response date), Tectonic will have the right to dispute any part of the net cash schedule by delivering a written notice to that effect to AVROBIO (referred to herein as a dispute notice). Any dispute notice will identify, in reasonable detail and, to the extent known, the nature and amounts of any proposed revisions to AVROBIOs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If, on or prior to the response date, Tectonic disputes the net cash schedule, the parties shall attempt in good faith to resolve the disputed items and negotiate an agreed-upon determination of net cash. If the parties are unable to negotiate an agreed-upon determination of net cash or any component thereof within three days after the delivery of Tectonics dispute notice, any remaining disagreements will be referred to an independent auditor of recognized national standing mutually agreed upon by AVROBIO and Tectonic. The determination of the amount of net cash made by such auditor shall be final and binding on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AVROBIOs net cash balance is subject to numerous factors, some of which are outside of AVROBIOs control. The actual amount of net cash will depend significantly on the timing of the closing. In addition, the closing could be delayed if AVROBIO and Tectonic are not able to agree upon the amount of AVROBIOs net cash as of the cash determination time. </w:t>
      </w:r>
    </w:p>
    <w:p>
      <w:pPr>
        <w:pStyle w:val="TextBody"/>
        <w:bidi w:val="0"/>
        <w:spacing w:before="360" w:after="0"/>
        <w:jc w:val="left"/>
        <w:rPr>
          <w:rFonts w:ascii="Times New Roman" w:hAnsi="Times New Roman"/>
          <w:b/>
          <w:sz w:val="20"/>
        </w:rPr>
      </w:pPr>
      <w:bookmarkStart w:id="56" w:name="toc770053_53"/>
      <w:bookmarkEnd w:id="56"/>
      <w:r>
        <w:rPr>
          <w:rFonts w:ascii="Times New Roman" w:hAnsi="Times New Roman"/>
          <w:b/>
          <w:sz w:val="20"/>
        </w:rPr>
        <w:t xml:space="preserve">Procedures for Exchanging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AVROBIO and Tectonic will select an exchange agent and, at the effective time, AVROBIO will deposit with the exchange agent evidence of book-entry shares representing the shares of AVROBIO common stock issuable pursuant to the terms of the Merger Agreement in exchange for shares of Tectonic common stock (including shares of Tectonic common stock issued upon conversion of Tectonic preferred stock as well as the private financing shares and the Company SAFEs) (excluding shares to be canceled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record holder of Tectonic common stock (including shares of Tectonic common stock issued upon conversion of Tectonic preferred stock as well as the private financing shares and the Company SAFEs) (excluding shares to be canceled pursuant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excluding dissenting shares)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AVROBIO, the record holder of such stock certificates or book-entry shares, as applicable, will be entitled to receive in exchange therefor book-entry shares representing the number of whole shares of AVROBIO common stock issuable to such holder pursuant to the Merger Agreement. The surrendered certificates representing shares of Tectonic common stock or Tectonic preferred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representing Tectonic common stock or Tectonic preferred stock that has not been surrendered will represent only the right to receive shares of AVROBIO common stock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TECTONIC COMMON STOCK OR TECTONIC PREFERRED STOCK SHOULD NOT SEND IN THEIR TECTONIC STOCK CERTIFICATES UNTIL THEY RECEIVE A LETTER OF TRANSMITTAL FROM THE EXCHANGE AGENT WITH INSTRUCTIONS FOR THE SURRENDER OF TECTONIC STOCK CERTIFICATES. </w:t>
      </w:r>
    </w:p>
    <w:p>
      <w:pPr>
        <w:pStyle w:val="TextBody"/>
        <w:bidi w:val="0"/>
        <w:spacing w:before="360" w:after="0"/>
        <w:jc w:val="left"/>
        <w:rPr>
          <w:rFonts w:ascii="Times New Roman" w:hAnsi="Times New Roman"/>
          <w:b/>
          <w:sz w:val="20"/>
        </w:rPr>
      </w:pPr>
      <w:bookmarkStart w:id="57" w:name="toc770053_54"/>
      <w:bookmarkEnd w:id="57"/>
      <w:r>
        <w:rPr>
          <w:rFonts w:ascii="Times New Roman" w:hAnsi="Times New Roman"/>
          <w:b/>
          <w:sz w:val="20"/>
        </w:rPr>
        <w:t xml:space="preserve">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Tectonic stockholders and the approval by the AVROBIO stockholders of the issuance of AVROBIO common stock and the other transactions proposed under the Merger Agreement, other than those conditions that by their nature are to be satisfied at the closing. The merger will become effective upon the filing of a certificate of merger with the Secretary of State of the State of Delaware or at such later time as is agreed by AVROBIO and Tectonic and specified in the certificate of merger. Neither AVROBIO nor Tectonic can predict the exact timing of the consummation of the merger. </w:t>
      </w:r>
    </w:p>
    <w:p>
      <w:pPr>
        <w:pStyle w:val="TextBody"/>
        <w:bidi w:val="0"/>
        <w:spacing w:before="360" w:after="0"/>
        <w:jc w:val="left"/>
        <w:rPr>
          <w:rFonts w:ascii="Times New Roman" w:hAnsi="Times New Roman"/>
          <w:b/>
          <w:sz w:val="20"/>
        </w:rPr>
      </w:pPr>
      <w:bookmarkStart w:id="58" w:name="toc770053_55"/>
      <w:bookmarkEnd w:id="58"/>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AVROBIO must comply with applicable federal and state securities laws and the rules and regulations of Nasdaq in connection with the issuance of shares of AVROBIO common stock to Tectonic stockholders in connection with the transactions contemplated by the Merger Agreement and the filing of this proxy statement/prospectus with the SEC. AVROBIO does not intend to seek any regulatory approval from antitrust authorities to consummate the transactions. </w:t>
      </w:r>
    </w:p>
    <w:p>
      <w:pPr>
        <w:pStyle w:val="TextBody"/>
        <w:bidi w:val="0"/>
        <w:spacing w:before="360" w:after="0"/>
        <w:jc w:val="left"/>
        <w:rPr>
          <w:rFonts w:ascii="Times New Roman" w:hAnsi="Times New Roman"/>
          <w:b/>
          <w:sz w:val="20"/>
        </w:rPr>
      </w:pPr>
      <w:bookmarkStart w:id="59" w:name="toc770053_56"/>
      <w:bookmarkEnd w:id="59"/>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for certain U.S. Holders (as defined below) of Tectonic common stock who exchange shares of Tectonic common stock for shares of AVROBIO common stock pursuant to the merger. This section applies only to persons that hold their Tectonic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Tectonic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Tectonic common stock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Tectonic as part of a straddle, constructive sale, hedging, conversion or other integrated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Tectonic common stock who exercise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Tectonic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In addition, this discussion does not address (i) the tax consequences of transactions effectuated before, after or at the same time as the merger, whether or not they are in connection with the merger, including, without limitation, transactions in which shares of Tectonic common stock are acquired or disposed of other than in exchange for shares of AVROBIO common stock in the merger; (ii) the tax consequences to holders of preferred stock, options, warrants, RSUs, SAFEs or other equity securities or (iii) the tax consequences of the ownership of shares of AVROBIO common stock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Tectonic common stock, the tax treatment of such partnership and any person treated as a partner of such partnership will generally depend on the status and activities of the partner and the activities of the partnership. Partnerships holding any Tectonic common stock and persons that are treated as partners of such partnerships should consult their tax advisors as to the particular U.S. federal income tax consequences of the merger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Characterization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In reliance on the representation letters of AVROBIO and Tectonic that will be delivered to each of Goodwin and Cooley, and subject to the assumptions, qualifications and limitations described herein and in the opinions included as Exhibit 8.1 and Exhibit 8.2 hereto, each of Goodwin, as counsel to AVROBIO, and Cooley, as counsel to Tectonic, is of the opinion that the merger will qualify as a reorganization within the meaning of Section 368(a) of the Code. It is not, however, a condition to AVROBIOs obligation or Tectonics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complete the merger that the merger so qualifies. Additionally, the opinions described above are based on the law in effect on the dates of the opinions and assume that there will be no change in applicable law between such date and the time of the merger. If any of the assumptions, representations or covenants on which any opinion is based is or becomes incorrect, incomplete, inaccurate or is otherwise not complied with, the validity of the opinions described above may be adversely affected and the tax consequences of the merger could differ from those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tax opinions referenced above, AVROBIO and Tectonic intend for the merger to qualify as a reorganization within the meaning of Section 368(a) of the Code. In addition, each of AVROBIO and Tectonic agrees in the Merger Agreement to use reasonable best efforts (and each shall cause its Affiliates) to cause the merger to qualify as a reorganization, including, under certain circumstances, changing the structure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Neither AVROBIO, Tectonic, nor Merger Sub intends to obtain a ruling from the IRS on the tax consequences of the merger, including any ruling regarding qualification of the merger as a reorganization within the meaning of Section 368(a) of the Code. An opinion of counsel represents counsels legal judgment but is not binding on the IRS or any court. Accordingly, there can be no assurance that the IRS will not assert that the merger fails to qualify as a reorganization (or otherwise disagree with the conclusions set forth in such opinions) or that a court would not sustain such a challenge. If the IRS were to successfully challenge the reorganization status of the merger, the tax consequences would vary significantly from those set forth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discussion assumes that the merger will be treated as a reorganization within the meaning of Section 368(a)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a U.S. Holder is a beneficial owner of Tectonic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(within the meaning of Section 7701(a)(30) of the Code) have the authority to control all substantial decisions of the trust or (2) it has a valid election in place to be treated as a U.S. person for U.S. federal income tax purposes.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Effects of the Merger to U.S. Holders of Tectonic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Assuming, consistent with the tax opinions described above, that the merger qualifies as a reorganization within the meaning of Section 368(a) of the Code, U.S. Holders of Tectonic common stock who exchange all of their shares of Tectonic common stock for AVROBIO common stock generally will not recognize any gain or loss on such exchange for U.S. federal income tax purposes. In such case, each U.S. Holders aggregate tax basis in the shares of AVROBIO common stock received in the merger will equal such U.S. Holders aggregate adjusted tax basis in the shares of Tectonic common stock surrendered in the merger. The holding period of the shares of AVROBIO common stock received by a U.S. Holder in the merger will include such U.S. Holders holding period for the shares of Tectonic common stock surrendered in the merger. If a U.S. Holder holds different blocks of Tectonic common stock (generally, Tectonic common stock acquired on different dates or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different prices), such U.S. Holder should consult its tax advisor with respect to the determination of the tax bases and/or holding periods of the shares of AVROBIO common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tax opinions described above, if the merger does not qualify as a reorganization within the meaning of Section 368(a) of the Code, a U.S. Holder of Tectonic common stock who exchanges shares of Tectonic common stock for AVROBIO common stock generally would be required to recognize gain or loss equal to the difference, if any, between (i) the fair market value as of the effective time of the AVROBIO common stock received by such U.S. Holder and (ii) such U.S. Holders adjusted tax basis in the Tectonic common stock exchanged therefor. Such gain or loss would be capital gain or loss and generally would be long-term capital gain or loss if the U.S. Holders holding period for such shares of Tectonic common stock exceeds one year. Net short-term capital gain generally is taxed at regular ordinary income tax rates. Long-term capital gain recognized by non-corporate U.S. Holders may be taxed at reduced rates. The deductibility of capital losses is subject to limitations. In addition, if the merger does not qualify as a reorganization within the meaning of Section 368(a) of the Code, a U.S. Holder would have an aggregate tax basis in any AVROBIO common stock received in the merger that is equal to the fair market value of such AVROBIO common stock as of the effective time, and the holding period of such AVROBIO common stock would begin on the day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Assuming, consistent with the tax opinions described above, that the merger qualifies as a reorganization within the meaning of Section 368(a) of the Code, each U.S. Holder that is a significant transferor must include a statement on or with such transferors U.S. federal income tax return for the taxable year of the merger. For this purpose, a significant transferor is generally a person that transferred property to a corporation and received stock of the transferee corporation if, immediately after the exchange, such person (i) owns at least five percent (5%) (by vote or value) of the total outstanding stock of the transferee corporation if the stock owned by such person is publicly traded, or (ii) owned at least one percent (1%) (by vote or value) of the total outstanding stock of the transferee corporation if the stock owned by such person is not publicly traded. It is expected that the AVROBIO common stock will be publicly traded for this purpose.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MERGER IS FOR GENERAL INFORMATION PURPOSES ONLY AND IS NOT INTENDED TO BE, AND SHOULD NOT BE CONSTRUED AS, TAX ADVICE. DETERMINING THE ACTUAL TAX CONSEQUENCES OF THE MERGER TO YOU MAY BE COMPLEX AND WILL DEPEND ON YOUR SPECIFIC SITUATION AND ON FACTORS THAT ARE NOT WITHIN AVROBIOS KNOWLEDGE OR CONTROL. YOU SHOULD CONSULT YOUR TAX ADVISORS WITH RESPECT TO THE APPLICATION OF U.S. FEDERAL INCOME TAX LAWS TO YOUR SPECIFIC SITUATION AS WELL AS ANY TAX CONSEQUENCES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bookmarkStart w:id="60" w:name="toc770053_57"/>
      <w:bookmarkEnd w:id="60"/>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AVROBIO common stock are currently listed on Nasdaq under the symbol AVRO. AVROBIO has agreed to use commercially reasonable efforts to cause the shares of AVROBIO common stock being issued in the merger to be approved for listing on Nasdaq at or prior to the effective time. It is a condition of the consummation of the merger that AVROBIO receive confirmation from Nasdaq that the combined company has been approved for listing on Nasdaq, but there can be no assurance such listing condition will be met or that AVROBIO will obtain such confirmation from Nasdaq by the date of the special meeting or at all. This condition is waivable but only to the extent permitted by law and only with the written waiver of each of AVROBIO, Tectonic and Merger Sub. In the event AVROBIO common stock to be issued in the merger is not approved for listing on Nasdaq, it is possible that AVROBIO, Tectonic and Merger Sub may mutually agree to waive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condition and nonetheless proceed with the completion of the merger. If such condition is waived, AVROBIO may not recirculate an updated proxy statement/prospectus or solicit a new vote of AVROBIO stockholders prior to proceeding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AVROBIOs and Tectonics obligation to complete the merger is subject to the satisfaction or waiver by each of the parties, at or prior to the merger, of various conditions, including that the shares of AVROBIO common stock to be issued in the merger have been approved for listing (subject to official notice of issuance) on Nasdaq as of the closing of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accepted, AVROBIO anticipates that the common stock of the combined company will be listed on Nasdaq following the closing under the trading symbol TECX. In order for the Nasdaq listing application to be accepted, among other requirements, the combined company must maintain a minimum bid price of $4.00 per share over a 30-day trading period prior to listing, unless it effects a reverse stock split. </w:t>
      </w:r>
    </w:p>
    <w:p>
      <w:pPr>
        <w:pStyle w:val="TextBody"/>
        <w:bidi w:val="0"/>
        <w:spacing w:before="360" w:after="0"/>
        <w:jc w:val="left"/>
        <w:rPr>
          <w:rFonts w:ascii="Times New Roman" w:hAnsi="Times New Roman"/>
          <w:b/>
          <w:sz w:val="20"/>
        </w:rPr>
      </w:pPr>
      <w:bookmarkStart w:id="61" w:name="toc770053_58"/>
      <w:bookmarkEnd w:id="61"/>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The merger is expected to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(i) Tectonics equity holders will own a substantial majority of the voting rights in the combined company; (ii) Tectonics largest stockholder will retain the largest interest in the combined company; (iii) Tectonic will designate a majority of the initial members of the board of directors of the combined company; (iv) Tectonics executive management team will become the management of the combined company; and (v) the combined company will be renamed Tectonic Therapeutic, Inc. and will be headquartered in Massachusetts. As a result of Tectonic being treated as the accounting acquirer, Tectonics 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For periods prior to Closing, the historical financial statements of Tectonic shall become the historical financial statements of the combined company.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for additional information. </w:t>
      </w:r>
    </w:p>
    <w:p>
      <w:pPr>
        <w:pStyle w:val="TextBody"/>
        <w:bidi w:val="0"/>
        <w:spacing w:before="360" w:after="0"/>
        <w:jc w:val="left"/>
        <w:rPr>
          <w:rFonts w:ascii="Times New Roman" w:hAnsi="Times New Roman"/>
          <w:b/>
          <w:sz w:val="20"/>
        </w:rPr>
      </w:pPr>
      <w:bookmarkStart w:id="62" w:name="toc770053_59"/>
      <w:bookmarkEnd w:id="62"/>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AVROBIO stockholders are not entitled to appraisal rights in connection with the merger. Tectonic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Tectonic stockholders appraisal rights under Delaware law and is qualified in its entirety by reference to the text of the relevant provisions of Delaware law, which are attached as </w:t>
      </w:r>
      <w:r>
        <w:rPr>
          <w:rFonts w:ascii="Times New Roman" w:hAnsi="Times New Roman"/>
          <w:sz w:val="20"/>
          <w:u w:val="single"/>
        </w:rPr>
        <w:t>Annex K</w:t>
      </w:r>
      <w:r>
        <w:rPr>
          <w:rFonts w:ascii="Times New Roman" w:hAnsi="Times New Roman"/>
          <w:sz w:val="20"/>
        </w:rPr>
        <w:t xml:space="preserve"> in this proxy statement/prospectus. Stockholders intending to exercise appraisal rights should carefully review </w:t>
      </w:r>
      <w:r>
        <w:rPr>
          <w:rFonts w:ascii="Times New Roman" w:hAnsi="Times New Roman"/>
          <w:sz w:val="20"/>
          <w:u w:val="single"/>
        </w:rPr>
        <w:t>Annex K</w:t>
      </w:r>
      <w:r>
        <w:rPr>
          <w:rFonts w:ascii="Times New Roman" w:hAnsi="Times New Roman"/>
          <w:sz w:val="20"/>
        </w:rPr>
        <w:t xml:space="preserve">. Failure to follow precisely any of the statutory procedures set forth in </w:t>
      </w:r>
      <w:r>
        <w:rPr>
          <w:rFonts w:ascii="Times New Roman" w:hAnsi="Times New Roman"/>
          <w:sz w:val="20"/>
          <w:u w:val="single"/>
        </w:rPr>
        <w:t>Annex K</w:t>
      </w:r>
      <w:r>
        <w:rPr>
          <w:rFonts w:ascii="Times New Roman" w:hAnsi="Times New Roman"/>
          <w:sz w:val="20"/>
        </w:rPr>
        <w:t xml:space="preserve"> may result in a termination or waiver of these rights. This summary does not constitute legal or other advice, nor does it constitute a recommendation that Tectonic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merger is completed, within ten days after the effective date, Tectonic will notify its stockholders that the merger has been approved, the effective date and that appraisal rights are available to any stockholder who has not approved the merger. Holders of shares of Tectonic capital stock who desire to exercise their appraisal rights must deliver a written demand for appraisal to Tectonic within 20 days after the date of mailing of that notice, and that stockholder must not have delivered a written consent approving the merger. A demand for appraisal must reasonably inform Tectonic of the identity of the stockholder and that such stockholder intends thereby to demand appraisal of the shares of Tectonic capital stock held by such stockholder. Failure to deliver a written consent approving the merger will not in and of itself constitute a written demand for appraisal satisfying the requirements of Section 262. All demands for appraisal should be addressed to c/o Tectonic Therapeutic, Inc., 490 Arsenal Way, Suite 210, Watertown, Massachusetts 02472, and should be executed by, or on behalf of, the record holder of shares of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TECTONIC WITHIN 20 DAYS AFTER THE DATE TECTONIC MAILS A NOTICE TO ITS STOCKHOLDERS NOTIFYING THEM THAT THE MERGER HAS BEEN APPROVED, THE EFFECTIVE DATE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Tectonic capital stock as provided for in the Merger Agreement, but you will have no appraisal rights with respect to your shares of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Tectonic capital stock must be made by, or in the name of, the registered stockholder, fully and correctly, as the stockholders name appears on the stockholders stock certificate(s). Beneficial owners who do not also hold the shares of record may not directly make appraisal demands to Tectonic.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Tectonic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Tectonic. If, following a demand for appraisal, you have withdrawn your demand for appraisal in accordance with Section 262, you will have the right to receive the merger consideration for your shares of Tectonic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120 days after the effective date,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Tectonic,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this exclusion is a narrow exclusion [that] does not encompass known elements of value, but which rather applies only to the speculative elements of value arising from such accomplishment or expectation.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Weinberger,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Tectonic capital stock pursuant to the Merger Agreement. Any withdrawal of a demand for appraisal made more than 60 days after the effective time may only be made with the written approval of the surviving corporation.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3" w:name="toc770053_60"/>
      <w:bookmarkEnd w:id="63"/>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w:t>
      </w:r>
      <w:r>
        <w:rPr>
          <w:rFonts w:ascii="Times New Roman" w:hAnsi="Times New Roman"/>
          <w:i/>
          <w:sz w:val="20"/>
          <w:u w:val="single"/>
        </w:rPr>
        <w:t>Annex A</w:t>
      </w:r>
      <w:r>
        <w:rPr>
          <w:rFonts w:ascii="Times New Roman" w:hAnsi="Times New Roman"/>
          <w:i/>
          <w:sz w:val="20"/>
        </w:rPr>
        <w:t xml:space="preserve"> and is incorporated by reference into this proxy statement/prospectus. The Merger Agreement has been attached to this proxy statement/prospectus to provide you with information regarding its terms. It is not intended to provide any other factual information about AVROBIO, Tectonic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that AVROBIO and Merger Sub, on the one hand, and Tectonic,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AVROBIO and Tectonic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AVROBIO or Tectonic, because they were made as of specific dates, may be intended merely as a risk allocation mechanism between AVROBIO, Merger Sub and Tectonic and are modified by the disclosure schedules. </w:t>
      </w:r>
    </w:p>
    <w:p>
      <w:pPr>
        <w:pStyle w:val="TextBody"/>
        <w:bidi w:val="0"/>
        <w:spacing w:before="360" w:after="0"/>
        <w:jc w:val="left"/>
        <w:rPr>
          <w:rFonts w:ascii="Times New Roman" w:hAnsi="Times New Roman"/>
          <w:b/>
          <w:sz w:val="20"/>
        </w:rPr>
      </w:pPr>
      <w:bookmarkStart w:id="64" w:name="toc770053_61"/>
      <w:bookmarkEnd w:id="64"/>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Delaware law, at the completion of the merger, Merger Sub, a wholly owned subsidiary of AVROBIO formed by AVROBIO in connection with the merger, will merge with and into Tectonic, with Tectonic surviving as a wholly owned subsidiary of AVROBIO. </w:t>
      </w:r>
    </w:p>
    <w:p>
      <w:pPr>
        <w:pStyle w:val="TextBody"/>
        <w:bidi w:val="0"/>
        <w:spacing w:before="360" w:after="0"/>
        <w:jc w:val="left"/>
        <w:rPr>
          <w:rFonts w:ascii="Times New Roman" w:hAnsi="Times New Roman"/>
          <w:b/>
          <w:sz w:val="20"/>
        </w:rPr>
      </w:pPr>
      <w:bookmarkStart w:id="65" w:name="toc770053_62"/>
      <w:bookmarkEnd w:id="65"/>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Tectonic stockholders and the approval by the AVROBIO stockholders of the issuance of AVROBIO common stock and the other transactions proposed under the Merger Agreement, other than those conditions that by their nature are to be satisfied at the closing. The merger will become effective upon the filing of a certificate of merger with the Secretary of State of the State of Delaware or at such later time as is agreed by AVROBIO and Tectonic and specified in the certificate of merger. Neither AVROBIO nor Tectonic can predict the exact timing of the consummation of the merger. </w:t>
      </w:r>
    </w:p>
    <w:p>
      <w:pPr>
        <w:pStyle w:val="TextBody"/>
        <w:bidi w:val="0"/>
        <w:spacing w:before="360" w:after="0"/>
        <w:jc w:val="left"/>
        <w:rPr>
          <w:rFonts w:ascii="Times New Roman" w:hAnsi="Times New Roman"/>
          <w:b/>
          <w:sz w:val="20"/>
        </w:rPr>
      </w:pPr>
      <w:bookmarkStart w:id="66" w:name="toc770053_63"/>
      <w:bookmarkEnd w:id="66"/>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product of the exchange ratio (described in more detail below) multiplied by each share of Tectonic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fractional shares of AVROBIO common stock will be issued in connection with the merger, and no certificates or scrip for any such fractional shares will be issued. Any fractional shares of AVROBIO common stock resulting from the conversion of shares of Tectonic common stock (including shares of Tectonic common stock issued upon conversion of Tectonic preferred stock as well as the private financing shares and the Company SAFEs) shall be issued as follows: (i) one share of AVROBIO common stock if the aggregate amount of fractional shares of AVROBIO common stock of any individual holder of Tectonic capital stock is entitled to receive is equal to or exceeds 0.50 or (ii) no shares of AVROBIO common stock if the aggregate amount of fractional shares of AVROBIO common stock of any individual holder of Tectonic capital stock is entitled to receive is less than 0.50, with no cash being paid for any fractional share eliminated by such rounding. </w:t>
      </w:r>
    </w:p>
    <w:p>
      <w:pPr>
        <w:pStyle w:val="TextBody"/>
        <w:bidi w:val="0"/>
        <w:spacing w:before="360" w:after="0"/>
        <w:jc w:val="left"/>
        <w:rPr>
          <w:rFonts w:ascii="Times New Roman" w:hAnsi="Times New Roman"/>
          <w:b/>
          <w:sz w:val="20"/>
        </w:rPr>
      </w:pPr>
      <w:bookmarkStart w:id="67" w:name="toc770053_64"/>
      <w:bookmarkEnd w:id="67"/>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AVROBIO and Tectonic securityholders a percentage of the combined company. Based on AVROBIOs and Tectonics capitalization as of January 30, 2024, the date the Merger Agreement was executed, and certain other assumptions, the exchange ratio is estimated to be equal to approximately 0.74458326 shares of AVROBIO common stock. This estimate is subject to adjustment prior to the closing for net cash at the cash determination time (and as a result, AVROBIO securityholders could own more, and Tectonic securityholders could own less, or vice versa, of the combined company). AVROBIO management currently anticipates that AVROBIOs net cash as of closing will be approximately $65.0 million to $75.0 million and therefore the exchange ratio is currently estimated to be approximately 0.74458326 (assuming (i) $65.0 million in AVROBIOs net cash as of closing, (ii) a one-for-ten reverse stock split, and (iii) the private financings in Tectonic of $130.7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as part of the private financings, certain investors have agreed to purchase shares of Tectonic common stock at a purchase price equal to $12.39908 per share, subject to and immediately prior to the closing,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between the Subscription Agreement and the Company SAFEs of approximately $130.7 million.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and certain other assumptions, immediately following the completion of the merger and after giving effect to the private financings, AVROBIO securityholders would own approximately 22.3% of the capital stock of the combined company, former Tectonic securityholders are expected to own approximately 39.8% of the capital stock of the combined company and purchasers of AVROBIO common stock in the private financings are expected to represent approximately 38.0% of the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$65.0 million. There can be no assurances any of these assumptions will be accurate at closing when the final exchange ratio is determined. For more information on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eight decimal places) by dividing the Tectonic merger shares by the Tectonic outstanding shares,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valuation means the sum of (i) the Tectonic valuation plus (ii) the AVROBIO valuation.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allocation percentage means the quotient (expressed as a percentage and rounded to eight decimal places) determined by dividing (i) the AVROBIO valuation by (ii) the aggregate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equity value means $77,500,000.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outstanding shares means, subject to the terms of the Merger Agreement (including, without limitation, the effects of the reverse stock split), the total number of shares of AVROBIO common stock outstanding immediately prior to the effective time, expressed on a fully-diluted and as-converted-to-AVROBIO common stock basis, and assuming, without limitation or duplication, (i) the issuance of shares of AVROBIO common stock in respect of all AVROBIO options, warrants or other rights to receive shares, whether conditional or unconditional, that will be outstanding as of immediately prior to the effective time, calculated on a treasury stock method basis, (ii) the settlement in shares of AVROBIO common stock of AVROBIO RSUs outstanding as of immediately prior to the effective time on a net settlement basis as provided in the Merger Agreement, and (iii) the exclusion of shares of AVROBIO common stock held immediately prior to the effective time by AVROBIO as treasury stock or in connection with any unallocated equity pool or by Tectonic, any of its subsidiaries or any subsidiary of AVROBIO. For clarity, none of the out-of-the-money AVROBIO stock options or performance based AVROBIO RSU for which the performance condition has not been met as of the effective time and no shares reserved for issuance under the 2024 Plan and the 2024 ESPP shall be included in the total number of shares of AVROBIO common stock outstanding for purposes of determining the AVROBIO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valuation means (i) the AVROBIO equity value minus (ii) the lower AVROBIO net cash amount (if any) plus (iii) the Upper AVROBIO net cash amount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allocation percentage means the quotient (expressed as a percentage and rounded to eight decimal places) determined by subtracting (i) the AVROBIO allocation percentage from (ii) 100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merger shares means, subject to the terms of the Merger Agreement, the product determined by multiplying the (i) post-closing AVROBIO shares by (ii) the Tectonic allocation percentage.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equity value means $140,000,000.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outstanding shares means, subject to the terms of the Merger Agreement, the total number of shares of Tectonic common stock outstanding immediately prior to the effective time, expressed on a fully-diluted and as-converted-to-Tectonic common stock basis (including, without limitation, after giving effect to the conversion of the Company SAFEs and the Tectonic preferred stock), and assuming, without limitation or duplication, (i) the inclusion of the private financing shares, (ii) the issuance of shares of Tectonic common stock in respect of all Tectonic options or other rights to receive shares, whether conditional or unconditional, that will be outstanding as of immediately prior to the effective time, calculated on a treasury stock method basis, and (iii) the exclusion of shares of Tectonic common stock held immediately prior to the effective time by Tectonic as treasury stock or in connection with any unallocated equity pool or by AVROBIO, any of its subsidiaries of any subsidiary of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valuation means (i) the Tectonic equity value plus (ii) the actual proceeds from the private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AVROBIO net cash amount means, if AVROBIOs net cash is less than the lower target AVROBIO net cash, then the amount, if any, that the target AVROBIO net cash exceed the AVROBIO net cash at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target AVROBIO net cash means $64,500,000.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post-closing AVROBIO shares means the quotient determined by dividing (i) the AVROBIO outstanding shares by (ii) the AVROBIO allocation percentage.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target AVROBIO net cash means $65,000,000.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upper AVROBIO net cash amount means, if AVROBIO net cash is greater than the upper target AVROBIO net cash, then the amount, if any, that the AVROBIO net cash exceeds the target AVROBIO net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upper target AVROBIO net cash means $65,500,000. </w:t>
            </w:r>
          </w:p>
        </w:tc>
      </w:tr>
    </w:tbl>
    <w:p>
      <w:pPr>
        <w:pStyle w:val="TextBody"/>
        <w:bidi w:val="0"/>
        <w:spacing w:before="240" w:after="0"/>
        <w:jc w:val="left"/>
        <w:rPr>
          <w:rFonts w:ascii="Times New Roman" w:hAnsi="Times New Roman"/>
          <w:sz w:val="20"/>
        </w:rPr>
      </w:pPr>
      <w:r>
        <w:rPr>
          <w:rFonts w:ascii="Times New Roman" w:hAnsi="Times New Roman"/>
          <w:sz w:val="20"/>
        </w:rPr>
        <w:t>The estimated exchange ratio for purposes of the unaudited pro forma condensed combined financial information was derived on a fully-diluted basis as of January 29, 2024 using a stipulated value of Tectonic of approximately $140 million and of AVROBIO of approximately $77.5 million.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w:t>
      </w:r>
    </w:p>
    <w:p>
      <w:pPr>
        <w:pStyle w:val="TextBody"/>
        <w:bidi w:val="0"/>
        <w:spacing w:before="360" w:after="0"/>
        <w:jc w:val="left"/>
        <w:rPr>
          <w:rFonts w:ascii="Times New Roman" w:hAnsi="Times New Roman"/>
          <w:b/>
          <w:sz w:val="20"/>
        </w:rPr>
      </w:pPr>
      <w:bookmarkStart w:id="68" w:name="toc770053_65"/>
      <w:bookmarkEnd w:id="68"/>
      <w:r>
        <w:rPr>
          <w:rFonts w:ascii="Times New Roman" w:hAnsi="Times New Roman"/>
          <w:b/>
          <w:sz w:val="20"/>
        </w:rPr>
        <w:t xml:space="preserve">Calculation of AVROBIOs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AVROBIOs net cash means, as of the cash determination time (which is as of 11:59 p.m. Eastern Time on the last business day prior to the anticipated closing date)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cash and cash equivalents and marketable securities as of immediately prior to the closing and determined in accordance with GAAP, in a manner consistent with the manner in which such items were historically determined and in accordance with AVROBIOs financial statements;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AVROBIOs prepaid expenses and deposits of AVROBIO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of the transaction expenses payable by Tectonic pursuant to the Merger Agreement that are paid by AVROBIO or its subsidiaries prior to the closing;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certain cash payments actually required to be made by AVROBIO under its contractual obligations to the extent unpaid as of immediately prior to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unpaid liabilities as of the date of closing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AVROBIOs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AVROBIOs property, liabilities for taxes relating to the disposition of AVROBIOs pre-closing assets, and any guarantees relating to each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AVROBIOs transaction expenses to the extent unpaid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unpaid cash cost of change in control payments, severance payments, bonus payments, retention or similar payments payable to AVROBIOs employees (whether single or double trigger) (including, without limitation, (a) a reasonable estimate of payment or reimbursement by AVROBIO for continued coverage under any employee benefit plan in existence immediately prior to the closing (excluding any such plan contemplated by the Incentive Plan Proposal and the ESPP Proposal) and (b) including the employer portion of any employment, payroll, or similar taxes with respect to all such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related to AVROBIO or any of its subsidiaries payment obligations pursuant to any real estate leases;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unpaid premium (a) associated with obtaining a tail policy on AVROBIOs existing directors and officers liability insurance policy and (b) the clinical trial liability insurance tail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unpaid taxes of AVROBIO and its subsidiaries for tax periods (or portions thereof) ending on or before the closing and which are accrued in accordance with GAAP as of immediately prior to the closing (unless otherwise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unpaid costs and expenses (including a reasonable estimate of any taxes) relating to the winding down of AVROBIOs pre-closing business, which is either not to be held for sale after the date of closing or subject to the terms of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withholding and other taxes payable in connection with the distribution of any CVRs to any former AVROBIO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paid prior to, or actually incurred as of, the closing not otherwise already reducing cash and cash equivalents, by AVROBIO as a result of any litigation against AVROBIO and/or its directors relating to the Merger Agreement or the transactions contemplated therein;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 of the IP Expense Fund (as defined in the CVR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prior to the anticipated closing date, AVROBIO will deliver to Tectonic a net cash schedule setting forth, in reasonable detail, AVROBIOs good faith estimated calculation of its net cash at the cash determination time, prepared and certified by AVROBIOs Chief Financial Officer (or if there is no chief financial officer, the principal financial and accounting officer), and, if requested, the relevant work papers and back-up materials used or useful in preparing the net cash schedule. No later than three business days after delivery of the cash determination time (the last day of such period referred to as the response date), Tectonic will have the right to dispute any part of the net cash schedule by delivering a written notice to that effect to AVROBIO (referred to herein as a dispute notice). Any dispute notice will identify, in reasonable detail and, to the extent known, the nature and amounts of any proposed revisions to AVROBIOs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If Tectonic disputes the net cash schedule, the parties shall attempt in good faith to resolve the disputed items and negotiate an agreed-upon determination of net cash. If the parties are unable to negotiate an agreed-upon determination of net cash or any component thereof within three days after the delivery of Tectonics dispute notice, any remaining disagreements will be referred to an independent auditor of recognized national standing mutually agreed upon by AVROBIO and Tectonic. The determination of the amount of net cash made by such auditor shall be final and binding on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AVROBIOs net cash balance is subject to numerous factors, some of which are outside of AVROBIOs control. The actual amount of net cash will depend significantly on the timing of the closing. In addition, the closing could be delayed if AVROBIO and Tectonic are not able to agree upon the amount of AVROBIOs net cash as of the cash determination time. </w:t>
      </w:r>
    </w:p>
    <w:p>
      <w:pPr>
        <w:pStyle w:val="TextBody"/>
        <w:bidi w:val="0"/>
        <w:spacing w:before="360" w:after="0"/>
        <w:jc w:val="left"/>
        <w:rPr>
          <w:rFonts w:ascii="Times New Roman" w:hAnsi="Times New Roman"/>
          <w:b/>
          <w:sz w:val="20"/>
        </w:rPr>
      </w:pPr>
      <w:bookmarkStart w:id="69" w:name="toc770053_66"/>
      <w:bookmarkEnd w:id="69"/>
      <w:r>
        <w:rPr>
          <w:rFonts w:ascii="Times New Roman" w:hAnsi="Times New Roman"/>
          <w:b/>
          <w:sz w:val="20"/>
        </w:rPr>
        <w:t xml:space="preserve">Treatment of Tectonic Options and the Tectonic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whether or not vested, will be assumed and converted into an option to purchase shares of AVROBIO common stock. Accordingly, from and after the effective time: (i) each outstanding Tectonic stock option assumed by AVROBIO may be exercised solely for shares of AVROBIO common stock; (ii) the number of shares of AVROBIO common stock subject to each outstanding Tectonic stock option assumed by AVROBIO will be determined by multiplying (A)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Tectonic common stock that were subject to such Tectonic stock option assumed by AVROBIO, as in effect immediately prior to the effective time, by (B) the exchange ratio, and rounding the resulting number down to the nearest whole number of shares of AVROBIO common stock; and (iii) the per share exercise price of each Tectonic stock option assumed by AVROBIO will be determined by dividing (A) the per share exercise price of such Tectonic stock option, as in effect immediately prior to the effective time, by (B) the exchange ratio and rounding the resulting exercise price up to the nearest whole cent. Each Tectonic stock option assumed by AVROBIO will otherwise continue in full force and effect and the term, exercisability, vesting schedule, acceleration rights and other terms and conditions of such Tectonic stock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AVROBIO will assume the Tectonic Equity Incentive Plan. Each Tectonic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AVROBIO common stock subsequent to the effective time. In addition, the AVROBIO Compensation Committee will succeed to the authority and responsibility of the Tectonic Board as administrator of the Tectonic Equity Incentive Plan. </w:t>
      </w:r>
    </w:p>
    <w:p>
      <w:pPr>
        <w:pStyle w:val="TextBody"/>
        <w:bidi w:val="0"/>
        <w:spacing w:before="360" w:after="0"/>
        <w:jc w:val="left"/>
        <w:rPr>
          <w:rFonts w:ascii="Times New Roman" w:hAnsi="Times New Roman"/>
          <w:b/>
          <w:sz w:val="20"/>
        </w:rPr>
      </w:pPr>
      <w:bookmarkStart w:id="70" w:name="toc770053_67"/>
      <w:bookmarkEnd w:id="70"/>
      <w:r>
        <w:rPr>
          <w:rFonts w:ascii="Times New Roman" w:hAnsi="Times New Roman"/>
          <w:b/>
          <w:sz w:val="20"/>
        </w:rPr>
        <w:t xml:space="preserve">Treatment of AVROBIO Common Stock, AVROBIO Options and AVROBIO RSUs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AVROBIO common stock issued and outstanding at the time of the merger will remain issued and outstanding, and, subject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(i) each AVROBIO in-the-money option that is outstanding immediately prior to the effective time that is held by a current AVROBIO employee, director, or consultant of AVROBIO as of the date of the Merger Agreement will be accelerated in full effective as of the effective time and (ii) each AVROBIO in-the-money option that is unexpired, unexercised and outstanding as of immediately prior to the effective time and is held by a current AVROBIO employee, director or consultant as of the date of the execution of the Merger Agreement who is a signatory to a lock-up agreement, will survive the closing and remain outstanding and exercisable until six months after the expiration of the applicable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Further, the Merger Agreement provides that (A) each Specified Option held by a current employee, director, or consultant of AVROBIO as of the date of the Merger Agreement will be accelerated in full effective as of immediately prior to the effective time, and (B) each Specified Option that is unexpired, unexercised, and outstanding as of immediately prior to the effective time and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signatorys respective lock-up agreement). The Specified Options are certain out-of-the-money options held by certain members of AVROBIO management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360" w:after="0"/>
        <w:jc w:val="left"/>
        <w:rPr>
          <w:rFonts w:ascii="Times New Roman" w:hAnsi="Times New Roman"/>
          <w:b/>
          <w:sz w:val="20"/>
        </w:rPr>
      </w:pPr>
      <w:bookmarkStart w:id="71" w:name="toc770053_68"/>
      <w:bookmarkEnd w:id="71"/>
      <w:r>
        <w:rPr>
          <w:rFonts w:ascii="Times New Roman" w:hAnsi="Times New Roman"/>
          <w:b/>
          <w:sz w:val="20"/>
        </w:rPr>
        <w:t xml:space="preserve">Procedures for Exchanging Tectonic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AVROBIO and Tectonic will jointly select an exchange agent and, at the effective time, AVROBIO will deposit with the exchange agent evidence of book-entry shares representing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AVROBIO common stock issuable pursuant to the terms of the Merger Agreement in exchange for shares of Tectonic common stock (after giving effect to the conversion of the Company SAFEs and the Tectonic preferred stock and assuming the inclusion of the private financing shares).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transmit to each record holder of Tectonic common stock of Tectonic preferred stock that were converted into the right to receive the merger consideration: (i) a letter of transmittal and (ii) instructions for surrendering the record holders stock certificates, or uncertificated shares, in exchange for book-entry shares of AVROBIO common stock.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AVROBIO, the record holder of such stock certificates or book-entry shares, as applicable, will be entitled to receive in exchange therefor book-entry shares representing the number of whole shares of AVROBIO common stock issuable to such holder pursuant to the Merger Agreement. The surrendered certificates representing shares of Tectonic common stock or Tectonic preferred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representing Tectonic common stock or Tectonic preferred stock that has not been surrendered will represent only the right to receive book-entry shares of AVROBIO common stock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TECTONIC COMMON STOCK OR TECTONIC PREFERRED STOCK SHOULD NOT SEND IN THEIR TECTONIC STOCK CERTIFICATES UNTIL THEY RECEIVE A LETTER OF TRANSMITTAL FROM THE EXCHANGE AGENT WITH INSTRUCTIONS FOR THE SURRENDER OF TECTONIC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AVROBIO who will not continue as directors or officers of the combined company following the consummation of the merger will resign effective as of the closing. Effective as of the effective time, the board of directors of the combined company will consist of a total of six directors, one of whom will be designated by AVROBIO and five of whom will be designated by Tectonic. AVROBIO has designated Phillip Donenberg to serve as a member of the board of directors of the combined company, and Tectonic has designated Terrance McGuire, Alise Reicin, Timothy A. Springer, Praveen Tipirneni and Stefan Vitorovic to serve as members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the executive officers of the combined company will be as follows: Alise Reicin M.D., Chief Executive Officer; Christian Cortis, Ph.D., Chief Operating Officer and Chief Financial Officer; Peter McNamara, Ph.D., Chief Scientific Officer; Marcella K. Ruddy, M.D., Chief Medical Officer; and Marc Schwabish, Ph.D., Chief Business Officer. </w:t>
      </w:r>
    </w:p>
    <w:p>
      <w:pPr>
        <w:pStyle w:val="TextBody"/>
        <w:bidi w:val="0"/>
        <w:spacing w:before="360" w:after="0"/>
        <w:jc w:val="left"/>
        <w:rPr>
          <w:rFonts w:ascii="Times New Roman" w:hAnsi="Times New Roman"/>
          <w:b/>
          <w:sz w:val="20"/>
        </w:rPr>
      </w:pPr>
      <w:bookmarkStart w:id="72" w:name="toc770053_69"/>
      <w:bookmarkEnd w:id="72"/>
      <w:r>
        <w:rPr>
          <w:rFonts w:ascii="Times New Roman" w:hAnsi="Times New Roman"/>
          <w:b/>
          <w:sz w:val="20"/>
        </w:rPr>
        <w:t xml:space="preserve">Amendment of the Amended and Restated Certificate of Incorporation of AVROBIO </w:t>
      </w:r>
    </w:p>
    <w:p>
      <w:pPr>
        <w:pStyle w:val="TextBody"/>
        <w:bidi w:val="0"/>
        <w:spacing w:before="120" w:after="0"/>
        <w:jc w:val="left"/>
        <w:rPr>
          <w:rFonts w:ascii="Times New Roman" w:hAnsi="Times New Roman"/>
          <w:sz w:val="20"/>
        </w:rPr>
      </w:pPr>
      <w:r>
        <w:rPr>
          <w:rFonts w:ascii="Times New Roman" w:hAnsi="Times New Roman"/>
          <w:sz w:val="20"/>
        </w:rPr>
        <w:t xml:space="preserve">AVROBIO agreed to amend its amended and restated certificate of incorporation to (i) effect the proposed reverse stock split and (ii) effect the officer exculpation, each as contemplated in the Merger Agreement. Approval of the amendment to effect the proposed reverse stock split requires the affirmative vote of a majority of the votes properly cast by the holders of AVROBIO common stock entitled to vote at the special meeting, assuming a quorum is present. Approval of the amendment to effect the officer exculpation requires the affirmative vote of a majority of the outstanding shares of AVROBIO common stock entitled to vote at the special meeting. The merger is conditioned upon the approval of the Reverse Stock Split Proposal (or the waiver thereof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Copies of the proposed forms of certificate of amendment to the AVROBIO charter to effect the reverse stock split and the officer exculpation are attached as Annex G and Annex H to this proxy statement/prospectus,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73" w:name="toc770053_70"/>
      <w:bookmarkEnd w:id="73"/>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AVROBIO and Tectonic for a transaction of this type relating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and similar corporate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non-contravention of organizational documents, certain laws, governmental authorizations or certain contracts of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efforts with respect to ensuring the inapplicability of Section 203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AVROBIO, documents filed with the SEC and the accuracy of information contained in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material contracts to which the parties or their subsidiaries are a party and any violation, default or breach of such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AVROBIO, the valid issuance in the merger of AVROBIO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anti-corruption;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sanctions with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in any event will not survive the merger, but their accuracy forms the basis of one of the conditions to the obligations of AVROBIO and Tectonic to complete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74" w:name="toc770053_71"/>
      <w:bookmarkEnd w:id="74"/>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AVROBIO has agreed that, except as permitted by the Merger Agreement, as required by law, or unless Tectonic has provided written consent, during the period commencing on the date of the Merger Agreement and continuing until the earlier to occur of the effective time and the termination of the Merger Agreement, AVROBIO and its subsidiaries will use commercially reasonable efforts to (i) conduct their business and operations in the ordinary course consistent with past practices and in compliance with all applicable laws, regulations and certain contracts and (ii) continue to pay outstanding accounts payable and other material liabilities (including payroll) when due and payable. AVROBIO has also agreed that, subject to certain limited exceptions, without the consent of Tectonic, it will not, and will not cause or permit any of its subsidiaries to, during the period commencing on the date of the Merger Agreement and continuing until the earlier to occur of the effective time and the termination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capital stock; or repurchase, redeem or otherwise reacquire any shares of capital stock or other securities (except for shares of AVROBIO common stock from terminated employees, directors or consultants of AVROBIO);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AVROBIO common stock issued upon the valid exercise of outstanding AVROBIO options or AVROBIO RSUs, as applicable);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similar organizational documents of AVROBIO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including equity awards plans; cause or permit any such agreement, plan or arrangement to be amended other than as required by law or in order to make amendments for purposes of Section 409A of the Code; pay any bonus or make any profit-sharing or similar payment to, or increase the amount of the wages, salary, commissions, fringe benefits or other compensation or remuneration payable to, any of its directors, officers or employees; increase or amend the severance or change of control benefits offered to any current or new employees, directors or consultants; or hire any officer or employee; provided, however, that consultants may be retained on terms permitting termination by AVROBIO without notice to provide supplemental support services, as reasonably may be needed by AVROBIO, or to fill vacancies to the extent such positions are existing as of the date of the Merger Agreement and which vacancies occur after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adopt or change any material accounting method in respect of taxes; enter into any material tax closing agreement or settle any material tax claim or assessment (other than as a result of any extension to file a tax return that is automatically granted); or apply for or surrender any claim for tax refund;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AVROBIO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AVROBIO or its subsidiaries, taken as a whole, or any equitable relief on, or the admission of wrongdoing by AVROBIO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(provided, however, that any such accounts payable or accrued expenses need not be paid if the validity or amount thereof shall at the time be contested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materially change pricing or royalties or other payments set or charged by AVROBIO or any of subsidiaries to its customers or licensees or (B) agree to materially change pricing or royalties or other payments set or charged by persons who have licensed intellectual property to AVROBIO or any of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or terminate any of AVROBIOs material contracts;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AVROBIO may engage in the sale, license, transfer, disposition, divestiture or other monetization transaction and/or winding down of AVROBIOs business or operations as they exist prior to the closing or the sale, license, transfer, disposition, divestiture or other monetization transaction or other disposition of any of AVROBIOs pre-closing assets (each, an AVROBIO pre-closing transaction), including entering into contracts or amending or terminating contracts. </w:t>
      </w:r>
    </w:p>
    <w:p>
      <w:pPr>
        <w:pStyle w:val="TextBody"/>
        <w:bidi w:val="0"/>
        <w:spacing w:before="240" w:after="0"/>
        <w:jc w:val="left"/>
        <w:rPr>
          <w:rFonts w:ascii="Times New Roman" w:hAnsi="Times New Roman"/>
          <w:sz w:val="20"/>
        </w:rPr>
      </w:pPr>
      <w:r>
        <w:rPr>
          <w:rFonts w:ascii="Times New Roman" w:hAnsi="Times New Roman"/>
          <w:sz w:val="20"/>
        </w:rPr>
        <w:t xml:space="preserve">Tectonic has agreed that, except as permitted by the Merger Agreement, as required by law, or unless AVROBIO shall have provided written consent, during the period commencing on the date of the Merger Agreement and continuing until the earlier to occur of the effective time and the termination of the Merger Agreement, Tectonic will use commercially reasonable efforts to conduct its business and operations in the ordinary course consistent with past practices and in compliance with all applicable laws, regulations and certain contracts. Tectonic has also agreed that, subject to certain limited exceptions, without the consent of AVROBIO, it will not, and will not cause or permit its subsidiary to, during the period commencing on the date of the Merger Agreement and continuing until the earlier to occur of the effective time and the termination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organizational documents of Tectonic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any of the foregoing actions with respect to any capital stock or other security of Tectonic or its subsidiaries (except for shares of outstanding Tectonic common stock issued upon the valid exercise or settlement of Tectonic options in accordance with their terms as in effect as of the date of the Merger Agreement); any option, warrant or right to acquire any capital stock or any other security (except for options issued to new hires in accordance with the terms of the Merger Agreement); or any instrument convertible into or exchangeable for any capital stock or other security of Tectonic or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in excess of $500,000;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including equity awards plans; cause or permit any such agreements, plans or arrangements to be amended other than as required by law or in order to make amendments for the purposes of compliance with Section 409A of the Code; pay any bonus or make any profit-sharing or similar payment to or increase or amend the amount of the wages, salary, commissions, fringe benefits or other compensation or remuneration payable to, any of its directors, officers or employees; increase or amend the severance or change of control benefits offered to any of its current or new directors, employees or consultants; or hire or engage any officer or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encumbrance with respect to such assets or properties in excess of $250,000, except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rights owned by Tectonic , other than pursuant to non-exclusive licenses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adopt or change any material accounting method in respect of taxes; enter into any material tax closing agreement or settle any material tax claim or assessment; consent to any extension or waiver of the limitation period applicable to or relating to any material tax claim or assessment (other than as a result of any extension to file a tax return that is automatically granted); or apply for or surrender any claim for tax refund;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Tectonic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Tectonic or its subsidiaries, taken as a whole, any equitable relief on, or the admission of wrongdoing by Tectonic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(provided, however, that such accounts payable or accrued expenses need not be paid if the validity or amount shall at the time be contested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with respect to, any material insurance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Tectonic or its subsidiaries to its customers or licensees or agree to materially change pricing or royalties or other payments set or charged by persons or entities who have licensed intellectual property to Tectonic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or terminate a Tectonic material contract, except in the ordinary course of business in a manner that would not require AVROBIOs consent pursuant to the Merger Agreement, and would not reasonably be expected to prevent or to materially impede or delay the consummation of the transactions contemplated by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also provides that notwithstanding the covenants on Tectonic described above, beginning on or after June 1, 2024, Tectonic will be able to draw down on the private financing amounts, in no event exceeding $25,000,000 in the aggregate, for purposes of funding general operating expenses of Tectonic in the ordinary course of business (for the avoidance of doubt in accordance with Tectonics obligations pursuant to Section 5.2(b) of the Merger Agreement). </w:t>
      </w:r>
    </w:p>
    <w:p>
      <w:pPr>
        <w:pStyle w:val="TextBody"/>
        <w:bidi w:val="0"/>
        <w:spacing w:before="360" w:after="0"/>
        <w:jc w:val="left"/>
        <w:rPr>
          <w:rFonts w:ascii="Times New Roman" w:hAnsi="Times New Roman"/>
          <w:b/>
          <w:sz w:val="20"/>
        </w:rPr>
      </w:pPr>
      <w:bookmarkStart w:id="75" w:name="toc770053_72"/>
      <w:bookmarkEnd w:id="75"/>
      <w:r>
        <w:rPr>
          <w:rFonts w:ascii="Times New Roman" w:hAnsi="Times New Roman"/>
          <w:b/>
          <w:sz w:val="20"/>
        </w:rPr>
        <w:t xml:space="preserve">CVRs </w:t>
      </w:r>
    </w:p>
    <w:p>
      <w:pPr>
        <w:pStyle w:val="TextBody"/>
        <w:bidi w:val="0"/>
        <w:spacing w:before="120" w:after="0"/>
        <w:jc w:val="left"/>
        <w:rPr>
          <w:rFonts w:ascii="Times New Roman" w:hAnsi="Times New Roman"/>
          <w:sz w:val="20"/>
        </w:rPr>
      </w:pPr>
      <w:r>
        <w:rPr>
          <w:rFonts w:ascii="Times New Roman" w:hAnsi="Times New Roman"/>
          <w:sz w:val="20"/>
        </w:rPr>
        <w:t>Prior to the effective time, AVROBIO will declare a distribution to its common stockholders of record as of immediately prior to the effective time (including the holders of shares of AVROBIO common stock issued upon settlement of the AVROBIO RSUs) of the right to receive one CVR for each outstanding share of AVROBIO common stock held by such stockholder as of such date. Each CVR will entitle the holder of the CVR to receive certain net proceeds (as defined in the CVR Agreement), if any, received within a 10-year period following the closing (the CVR Term) in connection with an AVROBIO disposition (including a license) of AVROBIO pre-closing assets; provided that no contingent payment will be payable to any holder of the CVRs until such time as the then-outstanding and undistributed proceeds exceeds $350,000 in the aggregate, subject to and in accordance with the terms and conditions of, the CVR Agreement, discussed in greater detail under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The record date for such distribution will be immediately prior to the effective time (including holders of shares of AVROBIO common stock issued upon settlement of the AVROBIO RSUs) occurs and the payment date will be three business days after the effective time; provided that the payment of such distribution may be conditioned upon the occurrence of the effective time. In connection with such distribution, AVROBIO will cause the CVR Agreement to be duly authorized, executed and delivered by AVROBIO and a rights agent jointly selected by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 will pay all costs and fees associated with any action contemplated by the CVR Agreement. </w:t>
      </w:r>
    </w:p>
    <w:p>
      <w:pPr>
        <w:pStyle w:val="TextBody"/>
        <w:bidi w:val="0"/>
        <w:spacing w:before="360" w:after="0"/>
        <w:jc w:val="left"/>
        <w:rPr>
          <w:rFonts w:ascii="Times New Roman" w:hAnsi="Times New Roman"/>
          <w:b/>
          <w:sz w:val="20"/>
        </w:rPr>
      </w:pPr>
      <w:bookmarkStart w:id="76" w:name="toc770053_73"/>
      <w:bookmarkEnd w:id="76"/>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AVROBIO and Tectonic have agreed that, except as described below, AVROBIO and Tectonic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or submission of,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(other than to inform any person of the existence of the provisions of the Merger Agreement) with any person with respect to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 Acquisition Proposal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(subject to certain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resolve or agree to do any of the foregoing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information (other than an inquiry, indication of interest or request for information made or submitted by Tectonic, on the one hand, or AVROBIO on the other hand, to the other party) that could reasonably be expected to lead to an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contemplating or otherwise relating to any Acquisition Transaction with such party.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with respect to a party, any transaction or series of related transactions (other than the transactions contemplated by the Merger Agreement, and with respect to AVROBIO, a sale, license, transfer, disposition, divestiture or other transaction and/or winding down of AVROBIOs business or operations as they exist prior to the closing or the sale, license, transfer, disposition, divestiture or other monetization transaction or other disposition of AVROBIOs pre-closing assets) involving: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or acquisition of securities, reorganization, recapitalization, tender offer, exchange offer or similar transaction: (i) in which AVROBIO, Tectonic or Merger Sub is a constituent entity, (ii) in which any individual, entity, governmental entity, or group, as defined under applicable securities laws, directly or indirectly acquires beneficial or record ownership of securities representing 20% or more of the outstanding securities of AVROBIO common stock, in the case of AVROBIO, or Tectonic common stock in the case of Tectonic or (iii) in which AVROBIO, Tectonic or Merger Sub or any of their respective subsidiaries issues securities representing more than 20% of the outstanding securities of AVROBIO common stock, in the case of AVROBIO or Tectonic common stock in the case of Tectonic;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fair market value of the assets of AVROBIO, Tectonic or Merger Sub and their respective subsidiaries, as applicable, taken as a whole (as determined by such partys board of directors or a committee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transactions, series of related transactions, agreement or discussion entered into or proposed to enter into by Tectonic for purposes of raising capital that is otherwise in accordance with the Merger Agreement will not be deemed an Acquisition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the AVROBIO stockholders or Tectonic stockholders required to consummate the merger, each party may furnish non-public information regarding such party and its subsidiaries to, and may enter into discussions or negotiations with, any third party in response to a bona fide written Acquisition Proposal, which such partys board of directors (or committee thereof)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such party nor any representative of such party has breached the non-solicitation provisions of the Merger Agreement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(or committee thereof) concludes in good faith, based on the advice of outside legal counsel, that the failure to take such action would be inconsistent with the fiduciary duties of such board of directors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furnishing any non-public information such party receives from the third party an executed confidentiality agreement containing provisions at least as favorable to such party as those contained in the confidentiality agreement between AVROBIO and Tectonic;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simultaneous with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70% for these purposes) that (a) was not obtained or made as a result of a breach, or in violation, of the non-solicitation provisions by AVROBIO, (b) is on terms and conditions that the board of directors of the party (or committee thereof) receiving the offer determines in good faith, based on such matters that it deems relevant (including the likelihood of consummation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and the financing terms thereof), as well as any binding written offer by the other party to the Merger Agreement to amend the terms of the Merger Agreement, and following consultation with its outside legal counsel and financial advisors, if any, it deems are more favorable, from a financial point of view, to that partys stockholders than the terms of the transactions contemplated by the Merger Agreement, (c) is not subject to any debt financing conditions (and if debt financing is required, such financing is then fully committed to the third party) and (d) is reasonably capable of being completed on the terms proposed.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one business day after such party becomes aware of such Acquisition Proposal or Acquisition Inquiry) advise the other party in writing of such Acquisition Proposal or Acquisition Inquiry,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bookmarkStart w:id="77" w:name="toc770053_74"/>
      <w:bookmarkEnd w:id="77"/>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AVROBIO agreed that the AVROBIO Board will recommend that the holders of AVROBIO common stock vote to approve Proposal Nos. 1 and 2 (the AVROBIO Board recommendation) and that the AVROBIO Board will also recommend that the holders of AVROBIO common stock vote to approve Proposal No. 3, Proposal No. 4 and Proposal No. 5 (the Second AVROBIO 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at any time prior to the approval of Proposal Nos. 1 and 2 by the necessary vote of AVROBIO stockholders (the required AVROBIO stockholder vote), if AVROBIO has received a Superior Offer, the AVROBIO Board may withhold, amend, withdraw or modify (or publicly propose to withhold, amend, withdraw or modify) the AVROBIO Board recommendation in a manner adverse to Tectonic (a AVROBIO Board adverse recommendation change) approve, endorse or recommend an Acquisition Proposal that constitutes a Superior Offer or enter into any agreement or other contract contemplating or otherwise relating to an Acquisition Proposal that constitutes a Superior Offer, if, but only if, following the receipt of and on account of such Superior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(or committee thereof) determines in good faith, after consultation with its outside legal counsel, that the failure to make a AVROBIO Board adverse recommendation change would be inconsistent with its fiduciary duties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has, and has caused its financial advisors and outside legal counsel to, during the required four business day notice period, negotiated with Tectonic in good faith to make such adjustments to the terms and conditions of the Merger Agreement so that such Acquisition Proposal ceases to constitute a Superior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Tectonic has delivered to AVROBIO a written offer to alter the terms or conditions of the Merger Agreement during the required four business day notice period, the AVROBIO Board (or committee thereof) has determined in good faith, after consultation with its outside legal counsel, that the failure to make a AVROBIO Board adverse recommendation change would be inconsistent with its fiduciary duties under applicable law (after taking into account such alterations of the terms and conditions of the Merger Agreement); provided that (x) Tectonic receives written notice from AVROBIO confirming that the AVROBIO Board has determined to change its recommendation during the required notice period, which notice must include a description in reasonable detail of the reasons for such AVROBIO Board adverse recommendation change, and written copies of any relevant proposed transaction agreements with any party making a potential Superior Offer, (y) during any required four business day notice period, Tectonic will be entitled to deliver to AVROBIO one or more counterproposals to such Acquisition Proposal and AVROBIO will, and will cause its representatives to, negotiate with Tectonic in good faith (to the extent Tectonic desires to negotiate) to make such adjustments in the terms and conditions of the Merger Agreement, to attempt to make the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Proposal ceases to constitute a Superior Offer and (z) in the event of any material amendment to any Superior Offer (including any revision in the amount, form or mix of consideration that AVROBIO stockholders would receive as a result of such potential Superior Offer), AVROBIO will be required to provide Tectonic with notice of such material amendment and the required four business day notice period will be extended, if applicable, to ensure that at least three business days remain in the required four business day notice period following such notification during which the parties must comply again with the requirements in this provision and the AVROBIO Board must not make a AVROBIO Board adverse recommendation change prior to the end of such notice period as so extended (it being understood that there may be multiple extensions).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occurrence of an AVROBIO Board adverse recommendation change, the AVROBIO stockholders that have signed support agreements are not released from their support agreement obligations by virtue of any AVROBIO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at any time prior to the receipt of the required AVROBIO stockholder vote, the AVROBIO board may withhold, amend, withdraw or modify the Second AVROBIO Board recommendation in its exercise of its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Tectonic agreed that the Tectonic Board will recommend to it stockholders to vote to adopt and approve the Merger Agreement and the transactions contemplated therein (the Tectonic Board recommendation) and will not withhold, amend, withdraw or modify (or publicly propose to withhold, amend, withdraw or modify) the recommendation of the Tectonic Board in a manner adverse to AVROBIO (the Tectonic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the foregoing, at any time prior to the approval and adoption of the Merger Agreement by the necessary vote of Tectonic stockholders, if Tectonic has received a Superior Offer, the Tectonic Board may make a Tectonic Board adverse recommendation change if, but only if, but only if, following the receipt of and on account of such Superior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 (or committee thereof) determines in good faith, after consultation with its outside legal counsel, that the failure to make a Tectonic Board adverse recommendation change would be inconsistent with its fiduciary duties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has, and has caused its financial advisors and outside legal counsel to, during the required four business day notice period, negotiate with AVROBIO in good faith to make such adjustments to the terms and conditions of the Merger Agreement so that such Acquisition Proposal ceases to constitute a Superior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AVROBIO has delivered to Tectonic a written offer to alter the terms or conditions of the Merger Agreement during the required notice period, the Tectonic Board (or a committee thereof) has determined in good faith, after consultation with its outside legal counsel, that the failure to make a Tectonic Board adverse recommendation change would be inconsistent with its fiduciary duties under applicable law (after taking into account such alterations of the terms and conditions of the Merger Agreement); provided that (x) AVROBIO receives written notice from Tectonic confirming that the Tectonic Board has determined to change its recommendation at least four business days in advance of the Tectonic Board adverse recommendation change, which notice must include a description in reasonable detail of the reasons for such Tectonic Board adverse recommendation change, and written copies of any relevant proposed transaction agreements with any party making a potential Superior Offer, (y) during any required four business day notice period, AVROBIO will be entitled to deliver to Tectonic one or more counterproposals to such Acquisition Proposal and Tectonic will, and will cause its representatives to, negotiate with AVROBIO in good faith (to the extent AVROBIO desires to negotiate) to make such adjustments in the terms and conditions of Merger Agreement, to attempt to make the applicable Acquisition Proposal ceases to constitute a Superior Offer and (z) in the event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amendment to any Superior Offer (including any revision in the amount, form or mix of consideration the Tectonic stockholders would receive as a result of such potential Superior Offer), Tectonic will be required to provide AVROBIO with notice of such material amendment and the required four business day notice period will be extended, if applicable, to ensure that at least three business days remain in the required four business day notice period following such notification during which the parties must comply again with the requirements in this provision and the Tectonic Board will not make a Tectonic Board adverse recommendation change prior to the end of such required notice period as so extended (it being understood that there may be multiple extensions).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occurrence of an Tectonic Board adverse recommendation change, the Tectonic stockholders that have signed support agreements are not released from their support agreement obligations by virtue of any Tectonic Board adverse recommendation change. </w:t>
      </w:r>
    </w:p>
    <w:p>
      <w:pPr>
        <w:pStyle w:val="TextBody"/>
        <w:bidi w:val="0"/>
        <w:spacing w:before="360" w:after="0"/>
        <w:jc w:val="left"/>
        <w:rPr>
          <w:rFonts w:ascii="Times New Roman" w:hAnsi="Times New Roman"/>
          <w:b/>
          <w:sz w:val="20"/>
        </w:rPr>
      </w:pPr>
      <w:bookmarkStart w:id="78" w:name="toc770053_75"/>
      <w:bookmarkEnd w:id="78"/>
      <w:r>
        <w:rPr>
          <w:rFonts w:ascii="Times New Roman" w:hAnsi="Times New Roman"/>
          <w:b/>
          <w:sz w:val="20"/>
        </w:rPr>
        <w:t xml:space="preserve">Required Stockholder Approvals </w:t>
      </w:r>
    </w:p>
    <w:p>
      <w:pPr>
        <w:pStyle w:val="TextBody"/>
        <w:bidi w:val="0"/>
        <w:spacing w:before="120" w:after="0"/>
        <w:jc w:val="left"/>
        <w:rPr>
          <w:rFonts w:ascii="Times New Roman" w:hAnsi="Times New Roman"/>
          <w:sz w:val="20"/>
        </w:rPr>
      </w:pPr>
      <w:r>
        <w:rPr>
          <w:rFonts w:ascii="Times New Roman" w:hAnsi="Times New Roman"/>
          <w:sz w:val="20"/>
        </w:rPr>
        <w:t>AVROBIO is obligated under the Merger Agreement to take all action necessary under applicable law to call, give notice of and hold a meeting of the holders of AVROBIO common stock for the purpose of considering and voting to approve the Nasdaq Stock Issuance Proposal, Reverse Stock Split Proposal, Officer Exculpation Proposal Incentive Plan Proposal and ESPP Proposal. The special meeting will be held as promptly as practicable after the registration statement on Form S-4 is declared effective under the Securities Act, and in any event no later than 45 days after the effective date of the registration statement on Form S-4.</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registration statement on Form S-4 has been declared effective, and no later than four business days thereafter, Tectonic is required to obtain the approval by written consent from Tectonic stockholders representing no less than 88.0% of the voting power of Tectonic (the Tectonic stockholder approval), to (x) adopt and approve the Merger Agreement and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As promptly as reasonably practicable following receipt of such consents, Tectonic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bookmarkStart w:id="79" w:name="toc770053_76"/>
      <w:bookmarkEnd w:id="79"/>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w:t>
      </w:r>
    </w:p>
    <w:p>
      <w:pPr>
        <w:pStyle w:val="TextBody"/>
        <w:bidi w:val="0"/>
        <w:spacing w:before="360" w:after="0"/>
        <w:jc w:val="left"/>
        <w:rPr>
          <w:rFonts w:ascii="Times New Roman" w:hAnsi="Times New Roman"/>
          <w:b/>
          <w:sz w:val="20"/>
        </w:rPr>
      </w:pPr>
      <w:bookmarkStart w:id="80" w:name="toc770053_77"/>
      <w:bookmarkEnd w:id="80"/>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on which the effective time occurs, AVROBIO and the surviving corporation in the merger agreed to indemnify and hold harmless each person who is now, or has been at any time prior to the date of the Merger Agreement, or who becomes prior to the effective time, a director or officer of AVROBIO or Tectonic,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AVROBIO or of Tectonic, whether asserted or claimed prior to, at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effective time. From and after the effective time, AVROBIO and the surviving corporation in the merger will also fulfill AVROBIOs and Tectonics indemnity obligations, respectively, to each person who is, has been, or who becomes prior to the effective time, a director or officer of AVROBIO or Tectonic.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the provisions of AVROBIOs charter and bylaws with respect to indemnification, advancement of expenses and exculpation of present and former directors and officers of AVROBIO that are presently set forth in AVROBIOs charter and bylaws will not be amended modified or repealed for a period of six years from the effective time in a manner that would adversely affect the rights thereunder of individuals who, at or prior to the effective time, were officers or directors of AVROBIO, unless such modification is required by applicable law. The certificate of incorporation and bylaws of the surviving corporation will contain, and AVROBIO will cause the certificate of incorporation and bylaws of the surviving corporation to so contain, provisions no less favorable with respect to indemnification, advancement of expenses and exculpation of present and former directors and officers as those presently set forth in AVROBIOs charter and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AVROBIO will maintain director and officers liability insurance policies, with an effective date as of the closing date, on commercially available terms and conditions and with coverage limits customary for U.S. public companies similarly situated to AVROBIO. In addition, AVROBIO will secure and purchase a six year tail policy on AVROBIOs existing directors and officers liability insurance policy with an effective date as of the date of the closing. </w:t>
      </w:r>
    </w:p>
    <w:p>
      <w:pPr>
        <w:pStyle w:val="TextBody"/>
        <w:bidi w:val="0"/>
        <w:spacing w:before="360" w:after="0"/>
        <w:jc w:val="left"/>
        <w:rPr>
          <w:rFonts w:ascii="Times New Roman" w:hAnsi="Times New Roman"/>
          <w:b/>
          <w:sz w:val="20"/>
        </w:rPr>
      </w:pPr>
      <w:bookmarkStart w:id="81" w:name="toc770053_78"/>
      <w:bookmarkEnd w:id="81"/>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AVROBIO and Tectonic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AVROBIO and Tectonic have further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will use its commercially reasonable efforts to maintain its listing on Nasdaq until the effective time and to obtain approval of the listing of the surviving corporation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will use its commercially reasonable efforts to cause the shares of AVROBIO common stock being issued in the merger to be approved for listing on Nasdaq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will keep Tectonic reasonably informed regarding any stockholder litigation against AVROBIO or any of its directors relating to the Merger Agreement or the transactions contemplated thereby. AVROBIO will (i) give Tectonic the opportunity to participate in, but not control, the defense, settlement or prosecution of any such litigation (to the extent that the attorney-client privilege is not undermined or otherwise adversely affected), (ii) consult with Tectonic with respect to the defense, settlement and prosecution of any such litigation and (iii) consider in good faith Tectonics advice with respect to such litigation.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2" w:name="toc770053_79"/>
      <w:bookmarkEnd w:id="82"/>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contains a description of all material conditions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AVROBIO, Tectonic and Merger Sub, at or prior to the closing, of various conditions, which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proceeding, or any proceeding threatened by the SEC, seeking a stop order that has not been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temporary restraining order, preliminary or permanent injunction or other order preventing the consummation of the merger or any of the other transactions contemplated by the Merger Agreement by any court of competent jurisdiction or other governmental authority of competent jurisdiction, and no law, statute, rule, regulation, ruling or decree will be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obtained the Tectonic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shares of AVROBIO common stock constituting a majority of the votes properly cast for and against the applicable matter at the special meeting must have approved the Nasdaq Stock Issuance Proposal and the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listing of the additional shares of AVROBIO common stock on Nasdaq will have been obtained and the shares of AVROBIO common stock to be issued in the transactions contemplated by the Merger Agreement pursuant to the Merger Agreement will have been approved for listing (subject to official notice of issuance)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executed by certain Tectonic stockholders and AVROBIO stockholders will continue to be in full force and effect as of immediately following 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proceeds of no less than $114.5 million is received by Tectonic, or will be received by Tectonic substantially simultaneously with the closing, in connection with the consummation of the transactions contemplated by the Concurrent Investment Agreements; provided that this condition will not be available to Tectonic if such cash proceeds in an amount not less than $114.5 million would have been received by Tectonic before or substantially simultaneously with the closing, but for the breach or failure to perform by one or more of the investors in the pipe financing that is a holder of Tectonic capital stock or Company SAFEs as of the date of the Merger Agreement or an affiliate thereof of the agreements or covenants required to be performed or complied with by such investor under the applicable Investment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must have delivered certain certificates and other documents required under the Merger Agreement for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AVROBIO and Merger Sub to complete the merger is further subject to the satisfaction or waiver by AVROBIO and Merger Sub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matters related to organization, organizational documents, authority, vote required and financial advisors of Tectonic in the Merger Agreement must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capitalization matters of Tectonic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representations and warranties of the other party in the Merger Agreement must be accurate and complete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material adverse effect on Tectonic (without giving effect to any references therein to materiality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performed or complied in all material respects all agreement and covenants required to be performed or complied with by it under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received certain customary documentation and certifications from Tectonic;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AVROBIO Material Adverse Effect that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Tectonic to complete the merger is further subject to the satisfaction or waiver by Tectonic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matters related to organization, organizational documents, authority, vote required and financial advisors of AVROBIO in the Merger Agreement must be true and correct on the date of the Merger Agreement and true and correct on the closing date of the merger with the same force and effect as if made on the date on which the merger is to be completed or, if such representations and warranties address matters as of a particular date, then as of that particular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capitalization matters of AVROBIO in the Merger Agreement must be true and correct in all respects on the date of the Merger Agreement and true and correct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representations and warranties of AVROBIO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material adverse effect on AVROBIO (without giving effect to any references therein to materiality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performed or complied in all material respects all agreement and covenants required to be performed or complied with by it under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Tectonic Material Adverse Effect that is continuing;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AVROBIOs net cash shall be no less than $50.0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common stock will be listed on Nasdaq as of immediately prior to the closing, provided, that this condition will not be available to Tectonic if Tectonic has refused or unreasonably delayed, withheld or conditioned its consent to actions by AVROBIO to maintain or regain, as applicable, the listing of AVROBIO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performed or complied in all material respects all agreement and covenants required to be performed or complied with by it under the Merger Agreement at or prior to 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received certain customary documentation and certifications from AVROBIO.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Material Adverse Effect means any effect, change, event, circumstance or development, considered together with all other effects, changes, events, circumstances or developments that have occurred prior to the date of determination of the occurrence of the AVROBIO Material Adverse Effect, has or would reasonably be expected to have a material adverse effect on the business, financial condition, assets, liabilities or results of operations of AVROBIO or any of its subsidiaries, taken as a whole; provided, however, that effects, changes, events, circumstances or developments arising or resulting from the following shall not be taken into account in determining whether there has been an AVROBIO Material Adverse Effect: (a) the announcement of the Merger Agreement or the pendency of the transactions contemplated therein, (b) any change in the stock price or trading volume of AVROBIO common stock (it being understood, however, that any effect, change, event, circumstance or development causing or contributing to any change in stock price or trading volume of AVROBIO common stock may be taken into account in determining whether an AVROBIO Material Adverse Effect has occurred, unless such effects, changes, events, circumstances or developments are otherwise excepted from this definition), (c) the taking of any action, or failure to take any action, by AVROBIO that is required to comply with the terms of this Merger Agreement, (d) any natural disaster, calamity or epidemics, pandemics (including COVID-19 and any precautionary or emergency measures, recommendations, protocols or orders taken or issued by any person in response to COVID-19) or other force majeure events, or any act or threat or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AVROBIO or any of its subsidiaries operates (other than to the extent contemplated by the succeeding clause (g)), (g) any government shutdown or slowdown, (h) the sale or winding down of the AVROBIOs business or operations as the exist prior to the closing, and the sale, license or other disposition of the AVROBIO pre-closing assets in compliance with the terms of the Merger Agreement and applicable law, or (i) any change in the cash position of AVROBIO and its subsidiaries which results from the operations in the ordinary course of business; except, in each case with respect to clauses (d), (e) and (f), to the extent materially and disproportionately affecting AVROBIO and any of its subsidiaries, taken as a whole, relative to other similarly situated companies in the industries in which AVROBIO or any of its subsidiaries operates. </w:t>
      </w:r>
    </w:p>
    <w:p>
      <w:pPr>
        <w:pStyle w:val="TextBody"/>
        <w:bidi w:val="0"/>
        <w:spacing w:before="240" w:after="0"/>
        <w:jc w:val="left"/>
        <w:rPr>
          <w:rFonts w:ascii="Times New Roman" w:hAnsi="Times New Roman"/>
          <w:sz w:val="20"/>
        </w:rPr>
      </w:pPr>
      <w:r>
        <w:rPr>
          <w:rFonts w:ascii="Times New Roman" w:hAnsi="Times New Roman"/>
          <w:sz w:val="20"/>
        </w:rPr>
        <w:t xml:space="preserve">Tectonic Material Adverse Effect means any effect, change, event, circumstance or development, considered together with all other effects, changes, events, circumstances or developments that have occurred prior to the date of determination of the occurrence of the Tectonic Material Adverse Effect, has or would reasonably be expected to have a material adverse effect on the business, financial condition, assets, liabilities or results of operations of Tectonic or any of its subsidiaries, taken as a whole; provided, however, that effects, changes, events, circumstances or developments arising or resulting from the following shall not be taken into account in determining whether there has been a Tectonic Material Adverse Effect: (a) the announcement of the Merger Agreement or the pendency of the transactions contemplated therein, (b) the taking of any action, or failure to take any action, by Tectonic that is required to comply with the terms of this Merger Agreement, (c) any natural disaster, calamity or epidemics, pandemics (including COVID-19 and any precautionary or emergency measures, recommendations, protocols or orders taken or issued by any person in response to COVID-19) or other force majeure events, or any act or threat or terrorism or war, any armed hostilities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terrorist activities (including any escalation or general worsening of any of the foregoing) anywhere in the world, or any governmental or other response or reaction to any of the foregoing, (d) any change in GAAP or applicable law or the interpretation thereof, (e) any change in the cash position of Tectonic and its subsidiaries which results from the operations in the ordinary course of business, or (f) general economic or political conditions or conditions generally affecting the industries in which Tectonic and its subsidiaries operate; except in each case with respect to clauses (c), (d) and (f), to the extent disproportionately affecting Tectonic and its subsidiaries, taken as a whole, relative to other similarly situated companies in the industries in which Tectonic and its subsidiaries operate. </w:t>
      </w:r>
    </w:p>
    <w:p>
      <w:pPr>
        <w:pStyle w:val="TextBody"/>
        <w:bidi w:val="0"/>
        <w:spacing w:before="360" w:after="0"/>
        <w:jc w:val="left"/>
        <w:rPr>
          <w:rFonts w:ascii="Times New Roman" w:hAnsi="Times New Roman"/>
          <w:b/>
          <w:sz w:val="20"/>
        </w:rPr>
      </w:pPr>
      <w:bookmarkStart w:id="83" w:name="toc770053_80"/>
      <w:bookmarkEnd w:id="83"/>
      <w:r>
        <w:rPr>
          <w:rFonts w:ascii="Times New Roman" w:hAnsi="Times New Roman"/>
          <w:b/>
          <w:sz w:val="20"/>
        </w:rPr>
        <w:t xml:space="preserve">Termination and Termination Fees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effective time, whether before or after the required stockholder approvals to complete the merger have been obtained,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AVROBIO and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the merger has not been consummated by October 31, 2024; provided, however, that this right to terminate the Merger Agreement will not be available to any party whose action or failure to act has been a principal cause of the failure of the merger to occur on or before October 31, 2024 and such action or failure to act constitutes a breach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a court of competent jurisdiction or governmental entity has issued a final and non-appealable order, decree or ruling or taken any other action that permanently restrains, enjoins or otherwise prohibits the merger or any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AVROBIO, if the Tectonic stockholder approval has not been obtained within four business days of the registration statement on Form S-4, of which this proxy statement/prospectus is a part, becoming effective; provided that this right to terminate the Merger Agreement will not be available to AVROBIO once Tectonic obtains approval by irrevocable written consent from the Tectonic stockholders representing no less than 88.0% of the voting power of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the special meeting has been held and completed and AVROBIO stockholders have taken a final vote on the Proposal Nos. 1 and 2, and such proposals have not been approved by the AVROBIO stockholders at the AVROBIO special meeting (or any adjournment or postponement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Tectonic, at any time prior to obtaining the approval by AVROBIO stockholders of the Proposals set forth herein to be considered at the special meeting, if any of the following circumstances shall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fails to include in this proxy statement/prospectus the AVROBIO Boards recommendation that AVROBIO stockholders vote to approve the Proposals set forth herein to be considered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or any committee thereof, makes a AVROBIO Board adverse recommendation change or approves, endorses or recommends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willfully and materially breaches its non-solicitation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Tectonic, if AVROBIO or Merger Sub has breached any of its representations, warranties, covenants or agreements contained in the Merger Agreement or if any representation or warranty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AVROBIO has become inaccurate, in either case such that the conditions to the closing would not be satisfied as of time of such breach or inaccuracy; provided that Tectonic is not then in material breach of any representation, warranty covenant or agreement under the Merger Agreement; provided, further, if such breach or inaccuracy of any representation, warranty, covenant or agreement is curable, then the Merger Agreement will not terminate pursuant to this paragraph as a result of a particular breach or inaccuracy until the earlier of (i) the expiration of a 30-day period after delivery of written notice of such breach or inaccuracy from Tectonic to AVROBIO or Merger Sub and Tectonics intention to terminate pursuant to this paragraph and (ii) AVROBIO or Merger Sub (as applicable) ceasing to exercise commercially reasonable efforts to cure such breach following delivery of a written notice from Tectonic to AVROBIO or Merger Sub of such breach or inaccuracy and its intention to terminate pursuant to this paragraph, and its enumeration of all of the specific commercially reasonable efforts that it believes ought to be taken to cure such breach (it being understood that the Merger Agreement will not terminate pursuant to this paragraph as a result of such particular breach or inaccuracy if such breach by AVROBIO or Merger Sub is cured prior to such termination becoming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AVROBIO, if Tectonic has breached any of its representations, warranties, covenants or agreements contained in the Merger Agreement or if any representation or warranty of Tectonic has become inaccurate, in either case such that the conditions to the closing would not be satisfied as of time of such breach or inaccuracy; provided that AVROBIO is not then in material breach of any representation, warranty covenant or agreement under the Merger Agreement; provided, further, if such breach or inaccuracy of any representation, warranty, covenant or agreement is curable, then the Merger Agreement will not terminate pursuant to this paragraph as a result of a particular breach or inaccuracy until the earlier (i) of the expiration of a 30-day period after delivery of written notice of such breach or inaccuracy from AVROBIO to Tectonic and AVROBIOs intention to terminate pursuant to this paragraph or (ii) Tectonic ceasing to exercise commercially reasonable efforts to cure such breach following delivery of a written notice from AVROBIO to Tectonic of such breach or inaccuracy and its intention to terminate pursuant to this paragraph, and its enumeration of all of the specific commercially reasonable efforts that it believes ought to be taken to cure such breach (it being understood that the Merger Agreement will not terminate pursuant to this paragraph as a result of such particular breach or inaccuracy if such breach by Tectonic is cured prior to such termination becoming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AVROBIO (at any time prior to obtaining the AVROBIO stockholder approval), upon the AVROBIO Board authorizing AVROBIO to enter into a definitive agreement that contemplates or otherwise relates to an Acquisition Transaction that constitutes a superior offer, subject to certain conditions;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AVROBIO, at any time prior to obtaining the Tectonic stockholder approval, if any of the following circumstances shall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 or any committee thereof, makes a Tectonic Board adverse recommendation change or approves, endorses or recommends any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willfully and materially breaches its non-solicitation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the Merger Agreement will give the other party written notice of such termination, specifying the provisions hereof pursuant to which such termination is made and the basis for termination described in reasonable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Fees Payable by AVROBIO </w:t>
      </w:r>
    </w:p>
    <w:p>
      <w:pPr>
        <w:pStyle w:val="TextBody"/>
        <w:bidi w:val="0"/>
        <w:spacing w:before="120" w:after="0"/>
        <w:jc w:val="left"/>
        <w:rPr>
          <w:rFonts w:ascii="Times New Roman" w:hAnsi="Times New Roman"/>
          <w:sz w:val="20"/>
        </w:rPr>
      </w:pPr>
      <w:r>
        <w:rPr>
          <w:rFonts w:ascii="Times New Roman" w:hAnsi="Times New Roman"/>
          <w:sz w:val="20"/>
        </w:rPr>
        <w:t xml:space="preserve">AVROBIO must pay Tectonic a termination fee of $2.7125 million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Merger Agreement is terminated by AVROBIO or Tectonic pursuant to provision (e) above or by Tectonic pursuant to (g) above, (ii) at any time after the date of the Merger Agreement and prior to the special meeting, an Acquisition Proposal with respect to AVROBIO will have been publicly announced, disclosed or otherwise communicated to the AVROBIO Board (and will not have been withdrawn), and (iii) within 12 months after the date of such termination, AVROBIO enters into a definitive agreement with respect to any Acquisition Transaction or consummates any Acquisition Transaction (in each event, with all references to 20% in the definition of Acquisition Transaction being treated as references to 50% for these purposes) (for the avoidance of doubt, a liquidation or dissolution of AVROBIO will in no event be deemed to constitute an Acquisition Transaction for purposes of this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Tectonic or AVROBIO pursuant to (b) above (when at the time the Merger Agreement is terminated, Tectonic had the right to terminate the Merger Agreement pursuant to (f)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Tectonic pursuant to (f)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(i)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must also reimburse Tectonic for expenses incurred by Tectonic in connection with the Merger Agreement and the transactions contemplated thereby, up to a maximum of $650,000, if Tectonic terminates the Merger Agreement pursuant to (e)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Tectonic </w:t>
      </w:r>
    </w:p>
    <w:p>
      <w:pPr>
        <w:pStyle w:val="TextBody"/>
        <w:bidi w:val="0"/>
        <w:spacing w:before="120" w:after="0"/>
        <w:jc w:val="left"/>
        <w:rPr>
          <w:rFonts w:ascii="Times New Roman" w:hAnsi="Times New Roman"/>
          <w:sz w:val="20"/>
        </w:rPr>
      </w:pPr>
      <w:r>
        <w:rPr>
          <w:rFonts w:ascii="Times New Roman" w:hAnsi="Times New Roman"/>
          <w:sz w:val="20"/>
        </w:rPr>
        <w:t xml:space="preserve">Tectonic must pay AVROBIO a termination fee of $4.9 million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Merger Agreement is terminated by AVROBIO pursuant to provision (h) above, (ii) at any timeafter the date of the Merger Agreement and prior to the receipt of the required Tectonic stockholdervote, an Acquisition Proposal with respect to Tectonic will have been publicly announced, disclosed orotherwise communicated to the Tectonic Board (and will not have been withdrawn), and (iii) within 12months after the date of such termination, Tectonic enters into a definitive agreement with respect toany Acquisition Transaction or consummates any Acquisition Transaction (in each event with allreferences to 20% in the definition of Acquisition Transaction being treated as references to 50% forthese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or Tectonic pursuant to (b) above (when at the time the Merger Agreement is terminated, AVROBIO had the right to terminate the Merger Agreement pursuant to (j)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(d)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(j) above. </w:t>
            </w:r>
          </w:p>
        </w:tc>
      </w:tr>
    </w:tbl>
    <w:p>
      <w:pPr>
        <w:pStyle w:val="TextBody"/>
        <w:bidi w:val="0"/>
        <w:spacing w:before="360" w:after="0"/>
        <w:jc w:val="left"/>
        <w:rPr>
          <w:rFonts w:ascii="Times New Roman" w:hAnsi="Times New Roman"/>
          <w:b/>
          <w:sz w:val="20"/>
        </w:rPr>
      </w:pPr>
      <w:bookmarkStart w:id="84" w:name="toc770053_81"/>
      <w:bookmarkEnd w:id="84"/>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not be amended except by an instrument in writing signed on behalf of each of Tectonic, Merger Sub and AVROBIO. Such amendment requires the approval of the respective boards of directors of Tectonic, Merger Sub and AVROBIO at any time, except that after the Merger Agreement has been adopted and approved by the Tectonic stockholders or AVROBIO stockholders, no amendment which by law requires further approval by the Tectonic stockholders or AVROBIO stockholders, as the case may be, may be made without such further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The waiver must be expressly set forth in a written instrument duly executed and delivered on behalf of such party, which will only be valid in the specific instance in which it is given. No failure or delay on the part of any party with respect to the exercise of any power, right, privilege or remedy under the Merger Agreement will operate as a waiver of such power, right, privilege or remedy. Furthermore, no single or partial exercise of any such power, right, privilege or remedy will preclude any other or further exercise thereof or of any other power, right, privilege or remedy. </w:t>
      </w:r>
    </w:p>
    <w:p>
      <w:pPr>
        <w:pStyle w:val="TextBody"/>
        <w:bidi w:val="0"/>
        <w:spacing w:before="360" w:after="0"/>
        <w:jc w:val="left"/>
        <w:rPr>
          <w:rFonts w:ascii="Times New Roman" w:hAnsi="Times New Roman"/>
          <w:b/>
          <w:sz w:val="20"/>
        </w:rPr>
      </w:pPr>
      <w:bookmarkStart w:id="85" w:name="toc770053_82"/>
      <w:bookmarkEnd w:id="85"/>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in the section titled </w:t>
      </w:r>
      <w:r>
        <w:rPr>
          <w:rFonts w:ascii="Times New Roman" w:hAnsi="Times New Roman"/>
          <w:i/>
          <w:sz w:val="20"/>
        </w:rPr>
        <w:t>Termination and Termination Fees</w:t>
      </w:r>
      <w:r>
        <w:rPr>
          <w:rFonts w:ascii="Times New Roman" w:hAnsi="Times New Roman"/>
          <w:sz w:val="20"/>
        </w:rPr>
        <w:t xml:space="preserve"> beginning on page 259 of this proxy statement/prospectus, and except that Tectonic and AVROBIO will share equally in any fees and expenses incurred in relation to the Nasdaq fees associated with the continued listing of AVROBIOs securities on Nasdaq and the initial listing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6" w:name="toc770053_83"/>
      <w:bookmarkEnd w:id="86"/>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87" w:name="toc770053_84"/>
      <w:bookmarkEnd w:id="87"/>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AVROBIO to enter into the Merger Agreement, certain Tectonic stockholders are parties to support agreements with Tectonic pursuant to which, among other things, each such stockholder, solely in his, her or its capacity as a Tectonic stockholder, has agreed to vote 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w:t>
      </w:r>
    </w:p>
    <w:p>
      <w:pPr>
        <w:pStyle w:val="TextBody"/>
        <w:bidi w:val="0"/>
        <w:spacing w:before="240" w:after="0"/>
        <w:jc w:val="left"/>
        <w:rPr>
          <w:rFonts w:ascii="Times New Roman" w:hAnsi="Times New Roman"/>
          <w:sz w:val="20"/>
        </w:rPr>
      </w:pPr>
      <w:r>
        <w:rPr>
          <w:rFonts w:ascii="Times New Roman" w:hAnsi="Times New Roman"/>
          <w:sz w:val="20"/>
        </w:rPr>
        <w:t xml:space="preserve">These Tectonic stockholders have also granted Tectonic an irrevocable proxy to vote their respective shares of Tectonic capital stock in accordance with the support agreements. These Tectonic stockholders have also agreed not to solicit any Acquisition Proposals or Acquisition Inquiries, and agreed to waive any appraisal or dissenters rights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30, 2024, the Tectonic stockholders that are party to a support agreement with Tectonic owned approximately 88.0% of the voting power of Tectonic., and in any event no later than four business days thereafter,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will execute a written consent providing for such adoption and approval. Therefore, holders of a sufficient number of shares of Tectonic capital stock required to adopt the Merger Agreement and approve the merger and related transactions are contractually obligated to adopt the Merger Agreement are expected to adopt the Merger Agreement via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Under these support agreements, subject to certain exceptions, such stockholders have also agreed not to sell or transfer their shares of Tectonic capital stock and securities convertible into shares of Tectonic capital stock held by them, or any voting rights with respect thereto, until the earliest to occur of the termination of the Merger Agreement, the completion of the merger, and the termination of the support agreement, subject to certain exceptions. To the extent that any such sale or transfer is permitted pursuant to the exceptions included in the support agreement, each person to which any shares of Tectonic capital stock or securities convertible into shares of Tectonic capital stock are so sold or transferred must agree in writing to be bound by the terms and provisions of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order to induce Tectonic to enter into the Merger Agreement, certain AVROBIO stockholders are parties to support agreements with AVROBIO pursuant to which, among other things, each such stockholder, solely in his, her or its capacity as a AVROBIO stockholder, has agreed to vote all of such stockholders shares of AVROBIO capital stock in favor of (i) the Nasdaq Stock Issuance Proposal, (ii) the Reverse Stock Split Proposal, (iii) the Officer Exculpation Proposal Incentive Plan Proposal, (iv) the ESPP Proposal, (v) against any competing Acquisition Proposal and (vi) in favor of an adjournment of the meeting of the AVROBIO stockholders, if necessary, to solicit additional proxies if there are not sufficient votes in favor of the approval matters. </w:t>
      </w:r>
    </w:p>
    <w:p>
      <w:pPr>
        <w:pStyle w:val="TextBody"/>
        <w:bidi w:val="0"/>
        <w:spacing w:before="240" w:after="0"/>
        <w:jc w:val="left"/>
        <w:rPr>
          <w:rFonts w:ascii="Times New Roman" w:hAnsi="Times New Roman"/>
          <w:sz w:val="20"/>
        </w:rPr>
      </w:pPr>
      <w:r>
        <w:rPr>
          <w:rFonts w:ascii="Times New Roman" w:hAnsi="Times New Roman"/>
          <w:sz w:val="20"/>
        </w:rPr>
        <w:t xml:space="preserve">These AVROBIO stockholders have also granted AVROBIO an irrevocable proxy to vote their respective shares of AVROBIO capital stock in accordance with the support agreements. These AVROBIO stockholders have also agreed not to solicit any Acquisition Proposals or Acquisition Inquiries, and agreed to waive any appraisal or dissenters rights relating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January 30, 2024, the AVROBIO stockholders that are party to support agreements with AVROBIO owned approximately 10.8% of the outstanding shares of AVROBIO capital stock. These stockholders include executive officers and directors of AVROBIO, as well as certain other stockholders owning a significant portion of the outstanding shares of AVROBIO capital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these support agreements, subject to certain exceptions, such stockholders have also agreed not to sell or transfer their shares of AVROBIO capital stock and securities convertible into shares of AVROBIO capital stock held by them, or any voting rights with respect thereto, until the earliest to occur of the termination of the Merger Agreement, the completion of the merger, and the termination of the support agreement, subject to certain exceptions. To the extent that any such sale or transfer is permitted pursuant to the exceptions included in the support agreement, each person to which any shares of AVROBIO capital stock or securities convertible into shares of AVROBIO capital stock are so sold or transferred must agree in writing to be bound by the terms and provisions of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both the support agreements signed by AVROBIO stockholders and the support agreements signed by Tectonic stockholders, the support obligations of such stockholders are released as of the earlier of (a) such date and time as the Merger Agreement shall have been terminated pursuant to the terms thereof or (b)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support agreements do not purport to be complete and are qualified in their entirety by the full text of the forms of support agreements, which are attached hereto as </w:t>
      </w:r>
      <w:r>
        <w:rPr>
          <w:rFonts w:ascii="Times New Roman" w:hAnsi="Times New Roman"/>
          <w:sz w:val="20"/>
          <w:u w:val="single"/>
        </w:rPr>
        <w:t>Annex C</w:t>
      </w:r>
      <w:r>
        <w:rPr>
          <w:rFonts w:ascii="Times New Roman" w:hAnsi="Times New Roman"/>
          <w:sz w:val="20"/>
        </w:rPr>
        <w:t xml:space="preserve"> and </w:t>
      </w:r>
      <w:r>
        <w:rPr>
          <w:rFonts w:ascii="Times New Roman" w:hAnsi="Times New Roman"/>
          <w:sz w:val="20"/>
          <w:u w:val="single"/>
        </w:rPr>
        <w:t>Annex D</w:t>
      </w:r>
      <w:r>
        <w:rPr>
          <w:rFonts w:ascii="Times New Roman" w:hAnsi="Times New Roman"/>
          <w:sz w:val="20"/>
        </w:rPr>
        <w:t xml:space="preserve">, respectively. </w:t>
      </w:r>
    </w:p>
    <w:p>
      <w:pPr>
        <w:pStyle w:val="TextBody"/>
        <w:bidi w:val="0"/>
        <w:spacing w:before="360" w:after="0"/>
        <w:jc w:val="left"/>
        <w:rPr>
          <w:rFonts w:ascii="Times New Roman" w:hAnsi="Times New Roman"/>
          <w:b/>
          <w:sz w:val="20"/>
        </w:rPr>
      </w:pPr>
      <w:bookmarkStart w:id="88" w:name="toc770053_85"/>
      <w:bookmarkEnd w:id="88"/>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Tectonics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AVROBIOs common stock or any securities convertible into or exercisable or exchangeable for AVROBIO common stock, currently or thereafter owned,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Tectonic stockholders who have executed lock-up agreements as of January 30, 2024 owned, in the aggregate, approximately 88.0% of the outstanding voting power of Tectonics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Certain of AVROBIOs directors have entered into lock-up agreements, pursuant to which such stockholders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AVROBIOs common stock or any securities convertible into or exercisable or exchangeable for AVROBIO common stock, currently or thereafter owned,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AVROBIO stockholders who have executed lock-up agreements as of January 30, 2024 owned, in the aggregate, approximately 10.8% of the shares of AVROBIO common stock as of January 30, 2024.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hereto as </w:t>
      </w:r>
      <w:r>
        <w:rPr>
          <w:rFonts w:ascii="Times New Roman" w:hAnsi="Times New Roman"/>
          <w:sz w:val="20"/>
          <w:u w:val="single"/>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89" w:name="toc770053_86"/>
      <w:bookmarkEnd w:id="89"/>
      <w:r>
        <w:rPr>
          <w:rFonts w:ascii="Times New Roman" w:hAnsi="Times New Roman"/>
          <w:b/>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execution and delivery of the Merger Agreement, certain purchasers, including certain existing investors of Tectonic, entered into the Subscription Agreement with Tectonic, pursuant to which such investors have agreed to purchase Tectonic common stock, representing an aggregate commitment of $96.6 million, in the private financings, for an aggregate purchase price among the transactions contemplated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Subscription Agreement and the Company SAFEs of approximately $130.7 million. Under the Subscription Agreement, Tectonic agreed to sell an aggregate of 7,790,889 of shares of Tectonic common stock at a purchase price per share equal to $12.39908.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to the merger, there can be no assurance that AVROBIO and Tectonic will ultimately determine, in their sole discretion, not to waive such condition.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Agreement contains customary representations and warranties of Tectonic and also contain customary representations and warranties of the purchasers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Tectonic common stock pursuant to the Subscription Agreement is subject to the satisfaction or waiver of certain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representations and warranties in the Subscription Agreement being true and correct in all respects as of the effective date of the Subscription Agreement and true and correct in all material respects as of the closing date for the private financings,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having performed and complied in all material respects with all covenants, agreements, obligations and conditions required to be performed or complied with by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the chief executive officer of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(other than the condition regarding the private financings) and the closing of the merger being set to occur substantially concurrently with the closings of the private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customary certificate by the secretary of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corporate and other proceedings in connection with the transactions contemplated at the closings of the private financings and all documents incident thereto being reasonably satisfactory in form and substance to each purchaser;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and the closing of the merger being set to occur substantially concurrently with the closings of the private financings.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Tectonics obligation to sell shares of its common stock to each purchaser pursuant to the Subscription Agreement is subject to the satisfaction or waiver of certain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effective date of the securities purchase agreement and true and correct in all material respects as of the closing date of the private financings,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with all covenants, agreements, obligations and conditions required to be performed or complied with by each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and the closing of the merger being set to occur substantially concurrently with the closings of the private financings.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consummation of the transactions contemplated thereby, the Subscription Agreement may be changed, waived, amended or modified only by a written instrument executed by Tectonic, the purchasers committed to purchase at least a majority of the shares sold in the private financing and the purchasers who are not existing stockholders in Tectonic, committed to purchase at least a majority of the shares sold in the private financing to such new purchasers. The Subscription Agreement may be terminated upon the earlier to occur of (i) such date and time that the Merger Agreement is terminated in accordance with its terms, (ii) upon the mutual written agreement of Tectonic, the purchasers committed to purchase at least a majority of the shares sold in the private financing and the purchasers who are not existing stockholders in Tectonic committed to purchase at least a majority of the shares sold in the private financing to such new purchasers and (iii) if the closing has not occurred on or before October 31, 2024, other than as a result of a willful breach of a purchasers obligations under the Subscription Agreement. </w:t>
      </w:r>
    </w:p>
    <w:p>
      <w:pPr>
        <w:pStyle w:val="TextBody"/>
        <w:bidi w:val="0"/>
        <w:spacing w:before="360" w:after="0"/>
        <w:jc w:val="left"/>
        <w:rPr>
          <w:rFonts w:ascii="Times New Roman" w:hAnsi="Times New Roman"/>
          <w:b/>
          <w:sz w:val="20"/>
        </w:rPr>
      </w:pPr>
      <w:bookmarkStart w:id="90" w:name="toc770053_87"/>
      <w:bookmarkEnd w:id="90"/>
      <w:r>
        <w:rPr>
          <w:rFonts w:ascii="Times New Roman" w:hAnsi="Times New Roman"/>
          <w:b/>
          <w:sz w:val="20"/>
        </w:rPr>
        <w:t xml:space="preserve">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CVRs will be governed by the terms of the CVR Agreement, which will be entered into at or prior to the effective time by AVROBIO and a rights agent to be designated by AVROBIO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Merger Agreement, AVROBIO intends to declare a dividend to its common stockholders of record the right to receive one non-transferable CVR for each outstanding share of AVROBIO common stock held by such stockholder as of such date, each representing the non-transferable contractual right to receive certain contingent payments if any, received by AVROBIO upon the occurrence of certain events within agreed time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Characteristics of the CVRs; Restrictions on Transfer </w:t>
      </w:r>
    </w:p>
    <w:p>
      <w:pPr>
        <w:pStyle w:val="TextBody"/>
        <w:bidi w:val="0"/>
        <w:spacing w:before="120" w:after="0"/>
        <w:jc w:val="left"/>
        <w:rPr>
          <w:rFonts w:ascii="Times New Roman" w:hAnsi="Times New Roman"/>
          <w:sz w:val="20"/>
        </w:rPr>
      </w:pPr>
      <w:r>
        <w:rPr>
          <w:rFonts w:ascii="Times New Roman" w:hAnsi="Times New Roman"/>
          <w:sz w:val="20"/>
        </w:rPr>
        <w:t xml:space="preserve">The CVRs may not be sold, assigned, transferred, pledged, encumbered or otherwise transferred or disposed of, in whole or in part, other than pursuant to any of the following permitted transfers: (i) upon death of a holder thereof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to the extent allowable by DTC; or (v) as the CVRs may be abandoned in accordance with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CVRs will not be evidenced by a certificate or any other instrument. The CVRs will not have any voting or dividend rights, and interest will not accrue on any amounts payable in respect of the CVRs to any holder thereof. The CVRs will not represent any equity or ownership interest in AVROBIO in any constituent company to the merger. The rights agent will maintain an up-to-date register for the purpose of registering the CVRs and permitted transfers thereof. AVROBIOs obligation to make the CVR payment, if any becomes due, is neither secured nor guaranteed by AVROBIO or any of its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CVR Payments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CVR Agreement, each CVR holder is entitled to certain rights to receive a pro rata portion of 80% of the net proceeds, if any, received by AVROBIO as a result of an AVROBIO disposition (including a license) after the effective date and prior to the 18-month anniversary of the closing, received within the 10-year CVR Term following the closing; provided that no contingent payment will be payable to any holder of the CVRs until such time as the then-outstanding and undistributed proceeds exceeds $350,000 in the aggregate. Any such payments will be net of the following permitted deductions (in each case as calculated in accordance with GAAP in a manner consistent with AVROBIOs accounting practices and the most recently filed annual audited financial statements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tax imposed on the gross proceeds;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reasonable and documented out-of-pocket costs and expenses following the closing incurred by AVROBIO or its affiliates in respect of its performance of the CVR Agreement, including any costs related to the prosecution, maintenance or enforcement by AVROBIO or any of its subsidiaries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reasonable and documented out-of-pocket costs and expenses incurred or accrued by AVROBIO or its affiliates in respect of the negotiation, entry into and closing of any AVROBIO disposition of any AVROBIO pre-closing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losses actually incurred, and actually paid or actually payable, or reasonably expected to be incurred and subsequently actually paid by AVROBIO or its affiliates arising out of any third-party claims relating to or in connection with any AVROBIO disposition of any AVROBIO pre-closing assets and, without duplication, including indemnification obligations of AVROBIO or any of its affiliates set forth in a definitive written agreement with respect to a AVROBIO disposition;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proceeds in consideration for a AVROBIO disposition pursuant to a definitive written agreement included in the final determination of AVROBIOs net cash in accordance with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CVR Term, no CVR holders will be entitled to any payments under the CVR Agreement (except to the extent that any payments were earned prior to the end of the CVR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Obligations of AVROBIO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No later than 45 days following the end of each calendar quarter of following the closing, AVROBIO will deliver to the rights agent, or in some cases, to the rights agent or as the rights agent directs, an amount equal to 80% of the net proceeds for the applicable payment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of the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AVROBIO may, at any time and from time to time, enter into one or more amendments to the CVR Agreement for any of the following purposes, without the consent of any of the holders of CVRs: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appointment of another person as a successor rights agent and the assumption by any successor rights agent of the covenants and obligations of the rights agent pursuant to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AVROBIO and the assumption of any such successor of the covenants of AVROBIO pursuant to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AVROBIO such further covenants, restrictions, conditions or provisions as AVROBIO and the right agent will consider to be for the protection and benefit of the holders of CVRs, provided that such provisions do not adversely affect the interests of the holders of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inconsistency, provided such provisions do not adversely effect interests of the holders of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CVRs are not subject to registration under the Securities Act or the Exchange Act and the rules and regulations made thereunder, or any applicable state securities or blue sky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AVROBIO is not required to produce a prospectus or an admission document in order to comply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cancel CVRs (i) in the event that any holder of CVRs has abandoned its rights to such CVRs, (ii) in order to effect the Intended Tax Treatment (as defined in the CVR Agreement, or (iii) following a transfer of such CVRs to AVROBIO or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AVROBIO complies with applicable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adding, eliminating or changing any provisions, provided that, in each case, such additions, eliminations or changes do not adversely affect the interests of the holders of CVRs.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will (or will cause the rights agent to) provide notice in general terms of the substance of any amendment to the CVR Agreement to the holders of the CVRs promptly after execution by AVROBIO and the rights agent, if applicable,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The CVR Agreement will terminate and be of no force or effect, the parties will have no liability thereunder, and the CVRs will expire without any consideration or compensation therefore, upon the expiration of the CVR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the 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also provides, among other things,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duties, responsibilities, rights and immunities of the rights agent, and procedures for the resignation or removal of the rights agent and appointment of a successor;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AVROBIO to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AVROBIO granting any lien, security, interest, pledge or similar interest in any AVROBIO pre-closing assets or net proceeds;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laws of the State of Delaware, exclusive jurisdiction over the parties by the Chancery Court of the State of Delaware, County of New Castle, or, if under applicable law exclusive jurisdiction is vested in the Federal courts, the U.S. District Court for the District of Delaware (and appellate courts thereof), and waiver of trial by jury.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the full text of the form of CVR Agreement, which is attached hereto as </w:t>
      </w:r>
      <w:r>
        <w:rPr>
          <w:rFonts w:ascii="Times New Roman" w:hAnsi="Times New Roman"/>
          <w:sz w:val="20"/>
          <w:u w:val="single"/>
        </w:rPr>
        <w:t>Annex F</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of the CVRs to Holders of AVROBIO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relating to the issuance of the CVRs and payments (if any) thereon to AVROBIO stockholders pursuant to the CVR Agreement, but does not purport to be a complete analysis of all potential tax effects. This section applies only to persons that hold their AVROBIO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AVROBIO voting shares or five percent or more of the total value of all classes of shares of AVROBIO;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AVROBIO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AVROBIO common stock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AVROBIO as part of a straddle, constructive sale, hedging, conversion or other integrated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AVROBIO common stock who exercise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AVROBIO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AVROBIO common stock, the tax treatment of such partnership and any person treated as a partner of such partnership will generally depend on the status and activities of the partner and the activities of the partnership. If you are a partner of a partnership or other pass-through entity holding AVROBIO common stock, you should consult your tax advisors regarding the tax consequences of the issuance of the CVRs and distributions of AVROBIO common stock pursuant to the CVRs.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tax consequences of the CVRs under state, local and foreign tax laws. Furthermore, the following discussion does not address any tax consequences of transactions effectuated before, after or at the same time as the issuance of the CVRs, whether or not they are in connection with the issuance of the CVRs, including, without limitation, the merger and the reverse stock split, except as specifically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The CVRs generally may not be transferred or assigned except for certain permitted transfers; accordingly, this discussion assumes the CVRs are not transferable or assignable and does not address any consequences of transferring, assigning or otherwise disposing of the CVRs or any interest therein. No ruling from the IRS,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opinion from counsel, has been or will be requested in connection with the issuance of the CVRs. AVROBIO stockholders should be aware that the IRS could adopt a position contrary to that set forth in this discussion and which could be sustained by a court.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ISSUANCE OF THE CVRS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Tax Treatment of the CVRs and the Proposed Reverse Stock Split </w:t>
      </w:r>
    </w:p>
    <w:p>
      <w:pPr>
        <w:pStyle w:val="TextBody"/>
        <w:bidi w:val="0"/>
        <w:spacing w:before="120" w:after="0"/>
        <w:jc w:val="left"/>
        <w:rPr>
          <w:rFonts w:ascii="Times New Roman" w:hAnsi="Times New Roman"/>
          <w:sz w:val="20"/>
        </w:rPr>
      </w:pPr>
      <w:r>
        <w:rPr>
          <w:rFonts w:ascii="Times New Roman" w:hAnsi="Times New Roman"/>
          <w:sz w:val="20"/>
        </w:rPr>
        <w:t>Although the matter is not free from doubt, AVROBIO intends to treat the issuance of the CVRs (together with any payments on the CVRs) and the AVROBIO reverse stock split as separate transactions for U.S. federal income tax purposes, and the following discussion (except as discussed below under </w:t>
      </w:r>
      <w:r>
        <w:rPr>
          <w:rFonts w:ascii="Times New Roman" w:hAnsi="Times New Roman"/>
          <w:i/>
          <w:sz w:val="20"/>
        </w:rPr>
        <w:t>Alternative Treatment of the Receipt of CVRs and the AVROBIO Reverse Stock Split as a Single Recapitalization)</w:t>
      </w:r>
      <w:r>
        <w:rPr>
          <w:rFonts w:ascii="Times New Roman" w:hAnsi="Times New Roman"/>
          <w:sz w:val="20"/>
        </w:rPr>
        <w:t xml:space="preserve"> assumes this treatment will be respected. The IRS could successfully challenge this position, however. AVROBIO urges you to consult your tax advisor with respect to whether the issuance of the CVRs (and any payments on the CVRs), on the one hand, and the proposed reverse stock split, on the other, constitute separate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CVRs by AVROBIO U.S. 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a U.S. Holder is a beneficial owner of AVROBIO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(within the meaning of Section 7701(a)(30) of the Code) have the authority to control all substantial decisions of the trust or (2) it has a valid election in place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substantial uncertainty as to the tax treatment of CVRs. Specifically, there is no authority addressing whether contingent value rights with characteristics similar to the CVRs should be treated as a current distribution of property with respect to the corporations stock, a distribution of equity, a debt instrument or an open transaction, or in some other manner for U.S. federal income tax purposes. For these reasons, Goodwin and Cooley, the tax counsels for AVROBIO and Tectonic, respectively, cannot express an opinion on the U.S. federal income tax treatment of the issuance of the CVRs or receipt of payments (if any) pursuant to the CVRs. Accordingly, holders are urged to consult with their tax advisors regarding this issue. </w:t>
      </w:r>
    </w:p>
    <w:p>
      <w:pPr>
        <w:pStyle w:val="TextBody"/>
        <w:bidi w:val="0"/>
        <w:spacing w:before="240" w:after="0"/>
        <w:jc w:val="left"/>
        <w:rPr>
          <w:rFonts w:ascii="Times New Roman" w:hAnsi="Times New Roman"/>
          <w:sz w:val="20"/>
        </w:rPr>
      </w:pPr>
      <w:r>
        <w:rPr>
          <w:rFonts w:ascii="Times New Roman" w:hAnsi="Times New Roman"/>
          <w:sz w:val="20"/>
        </w:rPr>
        <w:t xml:space="preserve">However, based on the specific characteristics of the CVRs, AVROBIO intends to take the position that the fair market value of the CVRs cannot be reasonably ascertained on the date of the issuance of the CVRs (the CVR Distribution Date), and, accordingly, the issuance of the CVRs constitutes an open transaction for U.S. federal income tax purposes. Accordingly, the combined company does not intend to report the issuance of the CVRs as a current distribution of property with respect to its stock and instead intends to report each future cash payment (if any) on the CVRs as a distribution by the combined company for U.S. federal income tax purposes, with each such payment being reported as a dividend to the extent of the combined companys current and accumulated earnings and profits in the year in which such payment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AVROBIOs intended reporting position is correct, a U.S. Holder would generally not recognize income in respect of the CVRs on the CVR Distribution Date and would take no tax basis in the CVRs. Any future cash payments would constitute a dividend to the extent of the combined companys current and accumulated earnings and profits (as determined for U.S. federal income tax purposes) in the taxable year of such payment, then as a non-taxable return of capital to the extent of such holders basis in its AVROBIO common stock, if any, and finally as capital gain from the sale or exchange of AVROBIO common stock. Dividends received by individual U.S. Holders are generally eligible for reduced rates of taxation applicable to long-term capital gains, provided certain requirements are met. </w:t>
      </w:r>
    </w:p>
    <w:p>
      <w:pPr>
        <w:pStyle w:val="TextBody"/>
        <w:bidi w:val="0"/>
        <w:spacing w:before="240" w:after="0"/>
        <w:jc w:val="left"/>
        <w:rPr>
          <w:rFonts w:ascii="Times New Roman" w:hAnsi="Times New Roman"/>
          <w:sz w:val="20"/>
        </w:rPr>
      </w:pPr>
      <w:r>
        <w:rPr>
          <w:rFonts w:ascii="Times New Roman" w:hAnsi="Times New Roman"/>
          <w:sz w:val="20"/>
        </w:rPr>
        <w:t xml:space="preserve">However, the IRS could instead assert that the issuance of the CVRs should be treated as a closed transaction. Under closed transaction treatment, a U.S. Holder would be treated as receiving a distribution equal to the fair market value (determined on the CVR Distribution Date) of the CVRs issued to such U.S. Holder on the CVR Distribution Date. The amount of this distribution generally would be treated first as a taxable dividend to the extent of the U.S. Holders pro rata share of AVROBIOs current and accumulated earnings and profits (as determined for U.S. federal income tax purposes), then as a non-taxable return of capital to the extent of the U.S. Holders basis in its AVROBIO common stock, and finally as capital gain from the sale or exchange of AVROBIO common stock. A U.S. Holders tax basis in the CVRs received would equal the fair market value of the CVRs on the CVR Distribution Date and the holding period of the CVRs received would begin on the day following the CVR Distribution Date. Although not free from doubt, a future cash payment under a CVR would likely be treated as a non-taxable return of a U.S. Holders adjusted tax basis in the CVR to the extent thereof, although the timing of the recovery of a U.S. Holders tax basis is unclear. A payment in excess of such amount may be treated as a payment with respect to a sale of a capital asset, ordinary income or a dividend. Additionally, it is possible that a portion of future cash payments would constitute imputed interest and taxed as such. A U.S. Holder might recognize loss, which might be a capital loss and could be a long-term capital loss, upon the expiration of the CVR to the extent cash payments ultimately received pursuant to such CVR were less than the U.S. Holders adjusted tax basis in the CVRs, but whether and when such a loss would be recognized is unclear.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although AVROBIO believes unlikely, that the issuance of the CVRs could be treated as one or more debt instruments or as a distribution of equity.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urged to consult their tax advisors with respect to the proper characterization of the CVRs and the tax consequences thereof (including any future cash payments made under the CVRs).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CVRs by AVROBIO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means a beneficial owner of AVROBIO common stock that is neither a U.S. Holder nor a partnership (or other pass-through entity)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there is substantial uncertainty as to the tax treatment of CVRs and payments made thereunder. AVROBIO intends to take the position that any future cash payments on the CVRs are distributions with respect to AVROBIO common stock and that such distributions constitute dividends to the extent payable out of the combined companys current and accumulated earnings and profits (as determined under U.S. federal income tax principles) in the taxable year of such future cash payment. Assuming such position is correct, amounts not treated as dividends for U.S. federal income tax purposes would constitute a return of capital and first be applied against and reduce a Non-U.S. Holders adjusted tax basis in its common stock, but not below zero, and any excess would be treated as capital gain with respect to such Non-U.S. Holders AVROBIO common stock. However, this intended position is subject to substantial uncertainty, and, accordingly, Non-U.S. Holders are urged to consult their tax advisors with respect to the proper characterization of the CVRs and the tax consequences thereof (including any future cash payments made under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light of AVROBIOs intended reporting position, it is expected that Non-U.S. Holders would generally be subject to U.S. federal withholding tax at a rate of 30% on any future cash payments on the CVRs. Such withholding may be reduced or eliminated if the Non-U.S. Holder properly certifies qualification for a lower withholding rate under an applicable tax treaty or an exemption from withholding as a result of dividends on the AVROBIO common stock being effectively connected with the Non-U.S. Holders conduct of a trade or business within the United States (and, if required by an applicable tax treaty, the Non-U.S. Holder maintains a permanent establishment in the United States to which such dividends are attributable). A Non-U.S. Holder that is a corporation also could be subject to a branch profits tax at a rate of 30% (or such lower rate specified by an applicable tax treaty) on income attributable to the CVRs.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does not discuss all of the tax considerations that may be applicable to a Non-U.S. Holder of CVRs. Non-U.S. Holders are urged to consult their own tax advisors to determine the U.S. federal, state, local and non-U.S. income and other tax considerations that may be relevant to them in light of their particular circumstances. Non-U.S. Holders should consult their tax advisors regarding the applicability of information reporting and backup withholding and/or withholding under the Foreign Account Tax Compliance Act with respect to the CVRs and any future cash payments under the CVRs, particularly in light of the uncertainty under U.S. federal income tax law relating to the tax treatment of the CVRs. </w:t>
      </w:r>
    </w:p>
    <w:p>
      <w:pPr>
        <w:pStyle w:val="TextBody"/>
        <w:bidi w:val="0"/>
        <w:spacing w:before="360" w:after="0"/>
        <w:jc w:val="left"/>
        <w:rPr>
          <w:rFonts w:ascii="Times New Roman" w:hAnsi="Times New Roman"/>
          <w:i/>
          <w:sz w:val="20"/>
        </w:rPr>
      </w:pPr>
      <w:r>
        <w:rPr>
          <w:rFonts w:ascii="Times New Roman" w:hAnsi="Times New Roman"/>
          <w:i/>
          <w:sz w:val="20"/>
        </w:rPr>
        <w:t xml:space="preserve">Alternative Treatment of the Receipt of CVRs and the AVROBIO Reverse Stock Split as a Single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AVROBIOs position that the issuance of CVRs and the AVROBIO reverse stock split are appropriately treated as separate transactions, it is possible that the IRS or a court could determine that the issuance of the CVRs (and/or any payments thereon) and the AVROBIO reverse stock split constitute a single recapitalization for U.S. federal income tax purposes with the CVRs constituting taxable boot received in such recapitalization exchange. In such case, the tax consequences of the CVRs and the AVROBIO reverse stock split would differ from those described above and would depend in part on many of the same considerations described above. </w:t>
      </w:r>
    </w:p>
    <w:p>
      <w:pPr>
        <w:pStyle w:val="TextBody"/>
        <w:bidi w:val="0"/>
        <w:spacing w:before="240" w:after="0"/>
        <w:jc w:val="left"/>
        <w:rPr>
          <w:rFonts w:ascii="Times New Roman" w:hAnsi="Times New Roman"/>
          <w:b/>
          <w:sz w:val="20"/>
        </w:rPr>
      </w:pPr>
      <w:r>
        <w:rPr>
          <w:rFonts w:ascii="Times New Roman" w:hAnsi="Times New Roman"/>
          <w:b/>
          <w:sz w:val="20"/>
        </w:rPr>
        <w:t xml:space="preserve">PLEASE CONSULT YOUR TAX ADVISOR WITH RESPECT TO THE PROPER CHARACTERIZATION OF THE ISSUANCE OF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1" w:name="toc770053_88"/>
      <w:bookmarkEnd w:id="91"/>
      <w:r>
        <w:rPr>
          <w:rFonts w:ascii="Times New Roman" w:hAnsi="Times New Roman"/>
          <w:b/>
          <w:sz w:val="20"/>
        </w:rPr>
        <w:t xml:space="preserve">AVROBIO DIRECTORS, OFFICERS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March 15, 2024, concerning AVROBIOs directors and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6"/>
        <w:gridCol w:w="149"/>
        <w:gridCol w:w="8032"/>
        <w:gridCol w:w="149"/>
        <w:gridCol w:w="79"/>
        <w:gridCol w:w="346"/>
        <w:gridCol w:w="64"/>
      </w:tblGrid>
      <w:tr>
        <w:trPr/>
        <w:tc>
          <w:tcPr>
            <w:tcW w:w="138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8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49" w:type="dxa"/>
            <w:tcBorders/>
            <w:vAlign w:val="bottom"/>
          </w:tcPr>
          <w:p>
            <w:pPr>
              <w:pStyle w:val="TableContents"/>
              <w:bidi w:val="0"/>
              <w:spacing w:before="0" w:after="283"/>
              <w:jc w:val="left"/>
              <w:rPr/>
            </w:pPr>
            <w:r>
              <w:rPr/>
              <w:t>  </w:t>
            </w:r>
          </w:p>
        </w:tc>
        <w:tc>
          <w:tcPr>
            <w:tcW w:w="803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Positions Held with AVROBIO</w:t>
            </w:r>
          </w:p>
        </w:tc>
        <w:tc>
          <w:tcPr>
            <w:tcW w:w="149"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4" w:type="dxa"/>
            <w:tcBorders/>
            <w:vAlign w:val="bottom"/>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Gail Farfel, Ph.D.</w:t>
            </w:r>
          </w:p>
        </w:tc>
        <w:tc>
          <w:tcPr>
            <w:tcW w:w="149" w:type="dxa"/>
            <w:tcBorders/>
            <w:shd w:fill="CCEEFF" w:val="clear"/>
            <w:vAlign w:val="bottom"/>
          </w:tcPr>
          <w:p>
            <w:pPr>
              <w:pStyle w:val="TableContents"/>
              <w:bidi w:val="0"/>
              <w:spacing w:before="0" w:after="283"/>
              <w:jc w:val="left"/>
              <w:rPr/>
            </w:pPr>
            <w:r>
              <w:rPr/>
              <w:t>  </w:t>
            </w:r>
          </w:p>
        </w:tc>
        <w:tc>
          <w:tcPr>
            <w:tcW w:w="8032" w:type="dxa"/>
            <w:tcBorders/>
            <w:shd w:fill="CCEEFF" w:val="clear"/>
            <w:vAlign w:val="bottom"/>
          </w:tcPr>
          <w:p>
            <w:pPr>
              <w:pStyle w:val="TableContents"/>
              <w:bidi w:val="0"/>
              <w:spacing w:before="0" w:after="283"/>
              <w:jc w:val="left"/>
              <w:rPr/>
            </w:pPr>
            <w:r>
              <w:rPr/>
              <w:t>Director</w:t>
            </w:r>
          </w:p>
        </w:tc>
        <w:tc>
          <w:tcPr>
            <w:tcW w:w="14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60</w:t>
            </w:r>
          </w:p>
        </w:tc>
        <w:tc>
          <w:tcPr>
            <w:tcW w:w="64" w:type="dxa"/>
            <w:tcBorders/>
            <w:shd w:fill="CCEEFF" w:val="clear"/>
            <w:vAlign w:val="bottom"/>
          </w:tcPr>
          <w:p>
            <w:pPr>
              <w:pStyle w:val="TableContents"/>
              <w:bidi w:val="0"/>
              <w:spacing w:before="0" w:after="283"/>
              <w:jc w:val="left"/>
              <w:rPr/>
            </w:pPr>
            <w:r>
              <w:rPr/>
              <w:t> </w:t>
            </w:r>
          </w:p>
        </w:tc>
      </w:tr>
      <w:tr>
        <w:trPr/>
        <w:tc>
          <w:tcPr>
            <w:tcW w:w="1386"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Paige, Ph.D.</w:t>
            </w:r>
          </w:p>
        </w:tc>
        <w:tc>
          <w:tcPr>
            <w:tcW w:w="149"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Director</w:t>
            </w:r>
          </w:p>
        </w:tc>
        <w:tc>
          <w:tcPr>
            <w:tcW w:w="14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Philip J. Vickers, Ph.D.</w:t>
            </w:r>
          </w:p>
        </w:tc>
        <w:tc>
          <w:tcPr>
            <w:tcW w:w="149" w:type="dxa"/>
            <w:tcBorders/>
            <w:shd w:fill="CCEEFF" w:val="clear"/>
            <w:vAlign w:val="bottom"/>
          </w:tcPr>
          <w:p>
            <w:pPr>
              <w:pStyle w:val="TableContents"/>
              <w:bidi w:val="0"/>
              <w:spacing w:before="0" w:after="283"/>
              <w:jc w:val="left"/>
              <w:rPr/>
            </w:pPr>
            <w:r>
              <w:rPr/>
              <w:t>  </w:t>
            </w:r>
          </w:p>
        </w:tc>
        <w:tc>
          <w:tcPr>
            <w:tcW w:w="8032" w:type="dxa"/>
            <w:tcBorders/>
            <w:shd w:fill="CCEEFF" w:val="clear"/>
            <w:vAlign w:val="bottom"/>
          </w:tcPr>
          <w:p>
            <w:pPr>
              <w:pStyle w:val="TableContents"/>
              <w:bidi w:val="0"/>
              <w:spacing w:before="0" w:after="283"/>
              <w:jc w:val="left"/>
              <w:rPr/>
            </w:pPr>
            <w:r>
              <w:rPr/>
              <w:t>Director</w:t>
            </w:r>
          </w:p>
        </w:tc>
        <w:tc>
          <w:tcPr>
            <w:tcW w:w="14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64</w:t>
            </w:r>
          </w:p>
        </w:tc>
        <w:tc>
          <w:tcPr>
            <w:tcW w:w="64" w:type="dxa"/>
            <w:tcBorders/>
            <w:shd w:fill="CCEEFF" w:val="clear"/>
            <w:vAlign w:val="bottom"/>
          </w:tcPr>
          <w:p>
            <w:pPr>
              <w:pStyle w:val="TableContents"/>
              <w:bidi w:val="0"/>
              <w:spacing w:before="0" w:after="283"/>
              <w:jc w:val="left"/>
              <w:rPr/>
            </w:pPr>
            <w:r>
              <w:rPr/>
              <w:t> </w:t>
            </w:r>
          </w:p>
        </w:tc>
      </w:tr>
      <w:tr>
        <w:trPr/>
        <w:tc>
          <w:tcPr>
            <w:tcW w:w="1386" w:type="dxa"/>
            <w:tcBorders/>
          </w:tcPr>
          <w:p>
            <w:pPr>
              <w:pStyle w:val="TableContents"/>
              <w:bidi w:val="0"/>
              <w:spacing w:before="0" w:after="0"/>
              <w:jc w:val="left"/>
              <w:rPr>
                <w:rFonts w:ascii="Times New Roman" w:hAnsi="Times New Roman"/>
                <w:sz w:val="20"/>
              </w:rPr>
            </w:pPr>
            <w:r>
              <w:rPr>
                <w:rFonts w:ascii="Times New Roman" w:hAnsi="Times New Roman"/>
                <w:sz w:val="20"/>
              </w:rPr>
              <w:t>Ian Clark</w:t>
            </w:r>
          </w:p>
        </w:tc>
        <w:tc>
          <w:tcPr>
            <w:tcW w:w="149"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Director</w:t>
            </w:r>
          </w:p>
        </w:tc>
        <w:tc>
          <w:tcPr>
            <w:tcW w:w="14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Annalisa Jenkins, M.B.B.S., F.R.C.P.</w:t>
            </w:r>
          </w:p>
        </w:tc>
        <w:tc>
          <w:tcPr>
            <w:tcW w:w="149" w:type="dxa"/>
            <w:tcBorders/>
            <w:shd w:fill="CCEEFF" w:val="clear"/>
            <w:vAlign w:val="bottom"/>
          </w:tcPr>
          <w:p>
            <w:pPr>
              <w:pStyle w:val="TableContents"/>
              <w:bidi w:val="0"/>
              <w:spacing w:before="0" w:after="283"/>
              <w:jc w:val="left"/>
              <w:rPr/>
            </w:pPr>
            <w:r>
              <w:rPr/>
              <w:t>  </w:t>
            </w:r>
          </w:p>
        </w:tc>
        <w:tc>
          <w:tcPr>
            <w:tcW w:w="8032" w:type="dxa"/>
            <w:tcBorders/>
            <w:shd w:fill="CCEEFF" w:val="clear"/>
            <w:vAlign w:val="bottom"/>
          </w:tcPr>
          <w:p>
            <w:pPr>
              <w:pStyle w:val="TableContents"/>
              <w:bidi w:val="0"/>
              <w:spacing w:before="0" w:after="283"/>
              <w:jc w:val="left"/>
              <w:rPr/>
            </w:pPr>
            <w:r>
              <w:rPr/>
              <w:t>Director</w:t>
            </w:r>
          </w:p>
        </w:tc>
        <w:tc>
          <w:tcPr>
            <w:tcW w:w="14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58</w:t>
            </w:r>
          </w:p>
        </w:tc>
        <w:tc>
          <w:tcPr>
            <w:tcW w:w="64" w:type="dxa"/>
            <w:tcBorders/>
            <w:shd w:fill="CCEEFF" w:val="clear"/>
            <w:vAlign w:val="bottom"/>
          </w:tcPr>
          <w:p>
            <w:pPr>
              <w:pStyle w:val="TableContents"/>
              <w:bidi w:val="0"/>
              <w:spacing w:before="0" w:after="283"/>
              <w:jc w:val="left"/>
              <w:rPr/>
            </w:pPr>
            <w:r>
              <w:rPr/>
              <w:t> </w:t>
            </w:r>
          </w:p>
        </w:tc>
      </w:tr>
      <w:tr>
        <w:trPr/>
        <w:tc>
          <w:tcPr>
            <w:tcW w:w="1386" w:type="dxa"/>
            <w:tcBorders/>
          </w:tcPr>
          <w:p>
            <w:pPr>
              <w:pStyle w:val="TableContents"/>
              <w:bidi w:val="0"/>
              <w:spacing w:before="0" w:after="0"/>
              <w:jc w:val="left"/>
              <w:rPr>
                <w:rFonts w:ascii="Times New Roman" w:hAnsi="Times New Roman"/>
                <w:sz w:val="20"/>
              </w:rPr>
            </w:pPr>
            <w:r>
              <w:rPr>
                <w:rFonts w:ascii="Times New Roman" w:hAnsi="Times New Roman"/>
                <w:sz w:val="20"/>
              </w:rPr>
              <w:t>Bruce Booth, D.Phil.</w:t>
            </w:r>
          </w:p>
        </w:tc>
        <w:tc>
          <w:tcPr>
            <w:tcW w:w="149"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Director</w:t>
            </w:r>
          </w:p>
        </w:tc>
        <w:tc>
          <w:tcPr>
            <w:tcW w:w="14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49" w:type="dxa"/>
            <w:tcBorders/>
            <w:shd w:fill="CCEEFF" w:val="clear"/>
            <w:vAlign w:val="bottom"/>
          </w:tcPr>
          <w:p>
            <w:pPr>
              <w:pStyle w:val="TableContents"/>
              <w:bidi w:val="0"/>
              <w:spacing w:before="0" w:after="283"/>
              <w:jc w:val="left"/>
              <w:rPr/>
            </w:pPr>
            <w:r>
              <w:rPr/>
              <w:t>  </w:t>
            </w:r>
          </w:p>
        </w:tc>
        <w:tc>
          <w:tcPr>
            <w:tcW w:w="8032" w:type="dxa"/>
            <w:tcBorders/>
            <w:shd w:fill="CCEEFF" w:val="clear"/>
            <w:vAlign w:val="bottom"/>
          </w:tcPr>
          <w:p>
            <w:pPr>
              <w:pStyle w:val="TableContents"/>
              <w:bidi w:val="0"/>
              <w:spacing w:before="0" w:after="283"/>
              <w:jc w:val="left"/>
              <w:rPr/>
            </w:pPr>
            <w:r>
              <w:rPr/>
              <w:t>Director</w:t>
            </w:r>
          </w:p>
        </w:tc>
        <w:tc>
          <w:tcPr>
            <w:tcW w:w="14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63</w:t>
            </w:r>
          </w:p>
        </w:tc>
        <w:tc>
          <w:tcPr>
            <w:tcW w:w="64" w:type="dxa"/>
            <w:tcBorders/>
            <w:shd w:fill="CCEEFF" w:val="clear"/>
            <w:vAlign w:val="bottom"/>
          </w:tcPr>
          <w:p>
            <w:pPr>
              <w:pStyle w:val="TableContents"/>
              <w:bidi w:val="0"/>
              <w:spacing w:before="0" w:after="283"/>
              <w:jc w:val="left"/>
              <w:rPr/>
            </w:pPr>
            <w:r>
              <w:rPr/>
              <w:t> </w:t>
            </w:r>
          </w:p>
        </w:tc>
      </w:tr>
      <w:tr>
        <w:trPr/>
        <w:tc>
          <w:tcPr>
            <w:tcW w:w="1386" w:type="dxa"/>
            <w:tcBorders/>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49"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President, Interim Chief Executive Officer, Chief Financial Officer and Treasurer</w:t>
            </w:r>
          </w:p>
        </w:tc>
        <w:tc>
          <w:tcPr>
            <w:tcW w:w="149"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51</w:t>
            </w:r>
          </w:p>
        </w:tc>
        <w:tc>
          <w:tcPr>
            <w:tcW w:w="64" w:type="dxa"/>
            <w:tcBorders/>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Avruch</w:t>
            </w:r>
          </w:p>
        </w:tc>
        <w:tc>
          <w:tcPr>
            <w:tcW w:w="149" w:type="dxa"/>
            <w:tcBorders/>
            <w:shd w:fill="CCEEFF" w:val="clear"/>
            <w:vAlign w:val="bottom"/>
          </w:tcPr>
          <w:p>
            <w:pPr>
              <w:pStyle w:val="TableContents"/>
              <w:bidi w:val="0"/>
              <w:spacing w:before="0" w:after="283"/>
              <w:jc w:val="left"/>
              <w:rPr/>
            </w:pPr>
            <w:r>
              <w:rPr/>
              <w:t>  </w:t>
            </w:r>
          </w:p>
        </w:tc>
        <w:tc>
          <w:tcPr>
            <w:tcW w:w="8032" w:type="dxa"/>
            <w:tcBorders/>
            <w:shd w:fill="CCEEFF" w:val="clear"/>
            <w:vAlign w:val="bottom"/>
          </w:tcPr>
          <w:p>
            <w:pPr>
              <w:pStyle w:val="TableContents"/>
              <w:bidi w:val="0"/>
              <w:spacing w:before="0" w:after="283"/>
              <w:jc w:val="left"/>
              <w:rPr/>
            </w:pPr>
            <w:r>
              <w:rPr/>
              <w:t>Chief Legal Officer and Secretary</w:t>
            </w:r>
          </w:p>
        </w:tc>
        <w:tc>
          <w:tcPr>
            <w:tcW w:w="14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63</w:t>
            </w:r>
          </w:p>
        </w:tc>
        <w:tc>
          <w:tcPr>
            <w:tcW w:w="64" w:type="dxa"/>
            <w:tcBorders/>
            <w:shd w:fill="CCEEFF" w:val="clear"/>
            <w:vAlign w:val="bottom"/>
          </w:tcPr>
          <w:p>
            <w:pPr>
              <w:pStyle w:val="TableContents"/>
              <w:bidi w:val="0"/>
              <w:spacing w:before="0" w:after="283"/>
              <w:jc w:val="left"/>
              <w:rPr/>
            </w:pPr>
            <w:r>
              <w:rPr/>
              <w:t> </w:t>
            </w:r>
          </w:p>
        </w:tc>
      </w:tr>
      <w:tr>
        <w:trPr/>
        <w:tc>
          <w:tcPr>
            <w:tcW w:w="1386" w:type="dxa"/>
            <w:tcBorders/>
          </w:tcPr>
          <w:p>
            <w:pPr>
              <w:pStyle w:val="TableContents"/>
              <w:bidi w:val="0"/>
              <w:spacing w:before="0" w:after="0"/>
              <w:jc w:val="left"/>
              <w:rPr>
                <w:rFonts w:ascii="Times New Roman" w:hAnsi="Times New Roman"/>
                <w:sz w:val="20"/>
              </w:rPr>
            </w:pPr>
            <w:r>
              <w:rPr>
                <w:rFonts w:ascii="Times New Roman" w:hAnsi="Times New Roman"/>
                <w:sz w:val="20"/>
              </w:rPr>
              <w:t>Azadeh Golipour, Ph.D.</w:t>
            </w:r>
          </w:p>
        </w:tc>
        <w:tc>
          <w:tcPr>
            <w:tcW w:w="149"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Chief Technology Officer</w:t>
            </w:r>
          </w:p>
        </w:tc>
        <w:tc>
          <w:tcPr>
            <w:tcW w:w="14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Essra Ridha, M.D., MRCP, FFPM</w:t>
            </w:r>
          </w:p>
        </w:tc>
        <w:tc>
          <w:tcPr>
            <w:tcW w:w="149" w:type="dxa"/>
            <w:tcBorders/>
            <w:shd w:fill="CCEEFF" w:val="clear"/>
            <w:vAlign w:val="bottom"/>
          </w:tcPr>
          <w:p>
            <w:pPr>
              <w:pStyle w:val="TableContents"/>
              <w:bidi w:val="0"/>
              <w:spacing w:before="0" w:after="283"/>
              <w:jc w:val="left"/>
              <w:rPr/>
            </w:pPr>
            <w:r>
              <w:rPr/>
              <w:t>  </w:t>
            </w:r>
          </w:p>
        </w:tc>
        <w:tc>
          <w:tcPr>
            <w:tcW w:w="8032" w:type="dxa"/>
            <w:tcBorders/>
            <w:shd w:fill="CCEEFF" w:val="clear"/>
            <w:vAlign w:val="bottom"/>
          </w:tcPr>
          <w:p>
            <w:pPr>
              <w:pStyle w:val="TableContents"/>
              <w:bidi w:val="0"/>
              <w:spacing w:before="0" w:after="283"/>
              <w:jc w:val="left"/>
              <w:rPr/>
            </w:pPr>
            <w:r>
              <w:rPr/>
              <w:t>Chief Medical Officer</w:t>
            </w:r>
          </w:p>
        </w:tc>
        <w:tc>
          <w:tcPr>
            <w:tcW w:w="14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41</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Gail M. Farfel, Ph.D.</w:t>
      </w:r>
      <w:r>
        <w:rPr>
          <w:rFonts w:ascii="Times New Roman" w:hAnsi="Times New Roman"/>
          <w:sz w:val="20"/>
        </w:rPr>
        <w:t xml:space="preserve"> has served as a member of the AVROBIO Board since October 2020. Dr. Farfel served as the chief executive officer of ProMIS Neurosciences, Inc., a biopharmaceutical company, from September 2022 to December 2023. From June 2015 to September 2022, Dr. Farfel was executive vice president and chief development officer of Zogenix Inc., a biopharmaceutical company. Previously, Dr. Farfel was chief clinical and regulatory officer of Marinus Pharmaceuticals (Nasdaq: MRNS), establishing and overseeing clinical, medical and regulatory strategies for adult and pediatric seizure disorders, including a pediatric epileptic orphan disease. She also previously served as vice president, therapeutic area head for neuroscience clinical development and medical affairs at Novartis Pharmaceuticals Corporation, where she oversaw a portfolio of products for multiple sclerosis, Alzheimers disease and Parkinsons disease. Dr. Farfel serves on the board of directors of Durect Corporation (Nasdaq: DRRX). She previously served on the board of directors of Zogenix International Ltd., a wholly owned subsidiary of Zogenix, Inc. (Nasdaq: ZGNX). Dr. Farfel holds a Ph.D. in neuropsychopharmacology from the University of Chicago, where she received the Ginsburg Prize for Dissertation Excellence and is a director on the Medical and Biological Sciences Alumni Board. She also holds a B.S in biochemistry from the University of Virginia. AVROBIO believes that Dr. Farfel is qualified to serve on the AVROBIO Board because of her scientific, executive,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Christopher Paige, Ph.D.</w:t>
      </w:r>
      <w:r>
        <w:rPr>
          <w:rFonts w:ascii="Times New Roman" w:hAnsi="Times New Roman"/>
          <w:sz w:val="20"/>
        </w:rPr>
        <w:t xml:space="preserve"> has served as a member of the AVROBIO Board since January 2016. Dr. Paige is a professor in the departments of medical biophysics and immunology at the University of Toronto and has served in that role since 1987. He also holds the position of Emeritus Senior Scientist at UHN after having served as a senior scientist at UHN from 1987 to 2021. From 1997 to October 2016, he served as the vice president, research of UHN.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also has experience serving on the board of directors of privately held companies. Dr. Paige earned a B.S. in biology at the University of Notre Dame in 1974 and a Ph.D. in immunology at the Sloan-Kettering Division of Cornell University Graduate School of Medical Sciences in 1979. AVROBIO believes Dr. Paige is qualified to serve on the AVROBIO Board because of his scientific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Philip J. Vickers, Ph.D.</w:t>
      </w:r>
      <w:r>
        <w:rPr>
          <w:rFonts w:ascii="Times New Roman" w:hAnsi="Times New Roman"/>
          <w:sz w:val="20"/>
        </w:rPr>
        <w:t xml:space="preserve"> has served as a member of the AVROBIO Board since January 2019. Dr. Vickers is president and chief executive officer of Solu Therapeutics, a biotechnology company, and has served in this role since September 2023. Dr. Vickers was the chief executive officer of Faze Medicines, a biotechnology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January 2021 to November 2022. From November 2017 until December 2020, Dr. Vickers served as the president and chief executive officer and a member of the board of directors of Northern Biologics Inc., a biotechnology company.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to Shire, Dr. Vickers held positions of increasing responsibility in research and development at Merck &amp; Co., Inc., Pfizer Inc., Boehringer-Ingelheim International GmbH and Resolvyx Pharmaceuticals, Inc. Dr. Vickers previously served on the board of directors of Revance Therapeutics, Inc. (Nasdaq: RVNC), a biotechnology company, from February 2015 until May 2023. Dr. Vickers also serves as a scientific advisor to the PTEN Research Foundation. Dr. Vickers obtained his Ph.D. in biochemistry from the University of Toronto, which was followed by postdoctoral research in mechanisms of multidrug resistance in breast cancer at the National Cancer Institute in Bethesda, Maryland. AVROBIO believes that Dr. Vickers is qualified to serve on the AVROBIO Board because of his scientific, executive,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Ian Clark</w:t>
      </w:r>
      <w:r>
        <w:rPr>
          <w:rFonts w:ascii="Times New Roman" w:hAnsi="Times New Roman"/>
          <w:sz w:val="20"/>
        </w:rPr>
        <w:t xml:space="preserve"> has served as a member of the AVROBIO Board since January 2018. From 2010 to 2016, Mr. Clark served as the chief executive officer and head of North American commercial operations and was a member of the board of directors for Genentech, a member of the Roche Group.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Corvus Pharmaceuticals, Inc. (Nasdaq: CRVS), Takeda Pharmaceutical Company Limited (NYSE: TAK), Olema Pharmaceuticals, Inc. (Nasdaq: OLMA), where he serves as chairman of the board of directors, Kyverna Therapeutics, Inc. (Nasdaq: KYTX), where he serves as chairman of the board of directors, and Guardant Health, Inc. (Nasdaq: GH), where he also serves as the lead independent director. Mr. Clark serves as an advisor to KKR. Mr. Clark previously served on the board of directors of Agios Pharmaceuticals, Forty Seven, Inc., Shire plc, Kite Pharma, and TerraVia (formerly Solazyme). He also previously served on the board of directors of the Biotechnology Industry Organization (BIO), as a member of the economic advisory council of the Federal Reserve Bank of San Francisco, as an operating partner of Blackstone Life Sciences, a private investment firm focusing on the life sciences sector and an operating unit within The Blackstone Group L.P., and as a member of the strategic priorities board of BioFulcrum, an initiative within the Gladstone Institutes. Mr. Clark received a B.S. and honorary doctorate in biological sciences from Southampton University in the United Kingdom. AVROBIO believes Mr. Clark is qualified to serve on the AVROBIO Board because of his industry experience in the field in which AVROBIO operates and his executive experience with companies in AVROBIOs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Annalisa Jenkins, M.B.B.S., F.R.C.P. </w:t>
      </w:r>
      <w:r>
        <w:rPr>
          <w:rFonts w:ascii="Times New Roman" w:hAnsi="Times New Roman"/>
          <w:sz w:val="20"/>
        </w:rPr>
        <w:t xml:space="preserve">has served as a member of the AVROBIO Board since April 2018. From November 2017 until April 2019, Dr. Jenkins served as the chief executive officer of PlaqueTec Ltd., a biotechnology company focusing on coronary artery disease treatment and prevention. Previously, Dr. Jenkins served as the president and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currently serves on the board of Genomics England, a UK government entity dedicated to advancing the 100,000 Genomes Project. Dr. Jenkins also serves on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of Affimed N.V. (Nasdaq: AFMD), Compass Pathways (Nasdaq: CMPS), Mereo Biopharma Group plc (Nasdaq: MREO), Skye Bioscience, Inc. (Nasdaq: SKYE) and a number of privately held biotechnology and life science companies, and serves as a trustee to a number of non-profit organizations. Dr. Jenkins previously served on the board of numerous biotechnology and life science companies, including AgeX Therapeutics, Inc. (NYSE American: AGE), Silence Therapeutics, Ardelyx, Inc., Oncimmune Holdings plc (LSE: ONC), OncoSec Medical Incorporated, and Sensyne Health plc., and she served as a committee member of the science board to the FDA, which advised leadership on complex scientific and technical issues.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AVROBIO believes Dr. Jenkins is qualified to serve on the AVROBIO Board based on her industry experience in the field in which AVROBIO operates and her executive experience with companies in AVROBIOs industry. </w:t>
      </w:r>
    </w:p>
    <w:p>
      <w:pPr>
        <w:pStyle w:val="TextBody"/>
        <w:bidi w:val="0"/>
        <w:spacing w:before="240" w:after="0"/>
        <w:jc w:val="left"/>
        <w:rPr>
          <w:rFonts w:ascii="Times New Roman" w:hAnsi="Times New Roman"/>
          <w:sz w:val="20"/>
        </w:rPr>
      </w:pPr>
      <w:r>
        <w:rPr>
          <w:rFonts w:ascii="Times New Roman" w:hAnsi="Times New Roman"/>
          <w:b/>
          <w:i/>
          <w:sz w:val="20"/>
        </w:rPr>
        <w:t>Bruce Booth, D.Phil.</w:t>
      </w:r>
      <w:r>
        <w:rPr>
          <w:rFonts w:ascii="Times New Roman" w:hAnsi="Times New Roman"/>
          <w:sz w:val="20"/>
        </w:rPr>
        <w:t xml:space="preserve"> has served as the Chairperson of the AVROBIO Board since February 2016. Dr. Booth joined Atlas Venture in 2005, and currently serves as general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research and development productivity, corporate strategy and business development issues across the biopharmaceutical sector. Dr. Booth is chairman of the board of directors and co-founder of Kymera Therapeutics, Inc. (Nasdaq: KYMR) and chairman of the board of directors of Vigil Neuroscience (Nasdaq: VIGL), which are biotechnology companies. He also serves on the board of several privately held companies. From February 2018 until July 2020, Dr. Booth served as chairperson of the board of directors of Unum Therapeutics Inc. (Nasdaq: UMRX), now called Cogent Biosciences (Nasdaq: COGT); from February 2017 until December 2018, Dr. Booth served as independent chairperson of the board of directors of miRagen Therapeutics, Inc. (Nasdaq: MGEN), now called Viridian Therapeutics, Inc (Nasdaq: VRDN); from August 2006 until June 2018, Dr. Booth served on the board of directors of Zafgen, Inc. (Nasdaq: ZFGN), now called Larimar Therapeutics, Inc. (Nasdaq: LRMR); and from February 2016 until September 2023, Dr. Booth served on the board of directors of Magenta Therapeutics, Inc. (Nasdaq: MGTA), now called Dianthus Therapeutics, Inc. (Nasdaq: DNTH). As a British Marshall Scholar, Dr. Booth holds a D.Phil. in molecular immunology from Oxford Universitys Nuffield Department of Medicine and a B.S. in biochemistry, summa cum laude, from Pennsylvania State University. AVROBIO believes Dr. Booths extensive leadership, executive, managerial and business experience with life sciences companies, including experience in the formation, development and business strategy of multiple start-up companies in the life sciences sector, qualifies him to serve on the AVROBIO Board. </w:t>
      </w:r>
    </w:p>
    <w:p>
      <w:pPr>
        <w:pStyle w:val="TextBody"/>
        <w:bidi w:val="0"/>
        <w:spacing w:before="240" w:after="0"/>
        <w:jc w:val="left"/>
        <w:rPr>
          <w:rFonts w:ascii="Times New Roman" w:hAnsi="Times New Roman"/>
          <w:sz w:val="20"/>
        </w:rPr>
      </w:pPr>
      <w:r>
        <w:rPr>
          <w:rFonts w:ascii="Times New Roman" w:hAnsi="Times New Roman"/>
          <w:b/>
          <w:i/>
          <w:sz w:val="20"/>
        </w:rPr>
        <w:t>Phillip B. Donenberg</w:t>
      </w:r>
      <w:r>
        <w:rPr>
          <w:rFonts w:ascii="Times New Roman" w:hAnsi="Times New Roman"/>
          <w:sz w:val="20"/>
        </w:rPr>
        <w:t xml:space="preserve"> has served as a member of the AVROBIO Board and Audit Committee chair since June 2018. Mr. Donenberg served as senior 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(Nasdaq: ASRT),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(Nasdaq: TSHA), a gene therapy company, and also has experience serving on the boards of directors of privately held companies. Mr. Donenberg holds a B.S. in accountancy from the University of Illinois Champaign-Urbana College of Business and is a Certified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Accountant. AVROBIO believes Mr. Donenberg is qualified to serve on the AVROBIO Board because of his financial expertise and his experience as an executive of companies in the industry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Erik Ostrowski</w:t>
      </w:r>
      <w:r>
        <w:rPr>
          <w:rFonts w:ascii="Times New Roman" w:hAnsi="Times New Roman"/>
          <w:sz w:val="20"/>
        </w:rPr>
        <w:t xml:space="preserve"> has been AVROBIOs Chief Financial Officer and Treasurer since January 2019 and has also served as AVROBIOs President and Interim Chief Executive Officer since May 1, 2023. From June 2014 to December 2018, Mr. Ostrowski served as the chief financial officer of Summit Therapeutics plc., a biotechnology company. Prior to that, he served as vice president of finance at Organogenesis Inc., a biotechnology company, from July 2010 to June 2014, and previously worked in investment banking, most recently as a director with Leerink Partners LLC. Mr. Ostrowski began his career as an accountant with Coopers &amp; Lybrand (now PricewaterhouseCoopers). He received a B.S. in accounting and economics from Babson College and a M.B.A. from the University of Chicago Booth School of Business. </w:t>
      </w:r>
    </w:p>
    <w:p>
      <w:pPr>
        <w:pStyle w:val="TextBody"/>
        <w:bidi w:val="0"/>
        <w:spacing w:before="240" w:after="0"/>
        <w:jc w:val="left"/>
        <w:rPr>
          <w:rFonts w:ascii="Times New Roman" w:hAnsi="Times New Roman"/>
          <w:sz w:val="20"/>
        </w:rPr>
      </w:pPr>
      <w:r>
        <w:rPr>
          <w:rFonts w:ascii="Times New Roman" w:hAnsi="Times New Roman"/>
          <w:b/>
          <w:i/>
          <w:sz w:val="20"/>
        </w:rPr>
        <w:t>Steven Avruch</w:t>
      </w:r>
      <w:r>
        <w:rPr>
          <w:rFonts w:ascii="Times New Roman" w:hAnsi="Times New Roman"/>
          <w:sz w:val="20"/>
        </w:rPr>
        <w:t xml:space="preserve"> has been AVROBIOs Chief Legal Officer and Secretary since March 2020 and previously served as AVROBIOs Vice President, General Counsel and Secretary from January 2019 to March 2020. Prior to joining AVROBIO, from May 2018 to 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 </w:t>
      </w:r>
    </w:p>
    <w:p>
      <w:pPr>
        <w:pStyle w:val="TextBody"/>
        <w:bidi w:val="0"/>
        <w:spacing w:before="240" w:after="0"/>
        <w:jc w:val="left"/>
        <w:rPr>
          <w:rFonts w:ascii="Times New Roman" w:hAnsi="Times New Roman"/>
          <w:sz w:val="20"/>
        </w:rPr>
      </w:pPr>
      <w:r>
        <w:rPr>
          <w:rFonts w:ascii="Times New Roman" w:hAnsi="Times New Roman"/>
          <w:b/>
          <w:i/>
          <w:sz w:val="20"/>
        </w:rPr>
        <w:t>Azadeh Golipour, Ph.D.</w:t>
      </w:r>
      <w:r>
        <w:rPr>
          <w:rFonts w:ascii="Times New Roman" w:hAnsi="Times New Roman"/>
          <w:sz w:val="20"/>
        </w:rPr>
        <w:t xml:space="preserve"> has been AVROBIOs Chief Technology Officer since January 2022. Prior to that she was SVP, Portfolio Planning and Program Management from October 2021 to January 2022. From July 2016 through October 2021 Dr. Golipour held positions of increasing responsibility at AVROBIO, including: SVP, CMC Strategy &amp; Manufacturing; VP, Manufacturing Operations; Senior Director, Manufacturing Operations; and Director, Manufacturing Operations. Dr. Golipour received a Ph.D. in molecular genetics from University of Toronto (Canada) and has published multiple articles, including two first-author articles in the journal Cell, Stem Cell and one article in the journal Nature. Dr. Golipours articles on reprogramming stem cells have been cited more than 1,000 times. </w:t>
      </w:r>
    </w:p>
    <w:p>
      <w:pPr>
        <w:pStyle w:val="TextBody"/>
        <w:bidi w:val="0"/>
        <w:spacing w:before="240" w:after="0"/>
        <w:jc w:val="left"/>
        <w:rPr>
          <w:rFonts w:ascii="Times New Roman" w:hAnsi="Times New Roman"/>
          <w:sz w:val="20"/>
        </w:rPr>
      </w:pPr>
      <w:r>
        <w:rPr>
          <w:rFonts w:ascii="Times New Roman" w:hAnsi="Times New Roman"/>
          <w:b/>
          <w:i/>
          <w:sz w:val="20"/>
        </w:rPr>
        <w:t>Essra Ridha, M.D., M.R.C.P., F.F.P.M.</w:t>
      </w:r>
      <w:r>
        <w:rPr>
          <w:rFonts w:ascii="Times New Roman" w:hAnsi="Times New Roman"/>
          <w:sz w:val="20"/>
        </w:rPr>
        <w:t xml:space="preserve"> has been AVROBIOs Chief Medical Officer since October 2021, and from April 2021 to July 2021, she was AVROBIOs Vice President, Clinical Development. Prior to joining AVROBIO, from June 2019 to February 2021, Dr. Ridha was senior medical director at Sangamo Therapeutics, a biotechnology company, and before that, from March 2016 to December 2018, she served as clinical development director at GlaxoSmithKline, a pharmaceutical company. From June 2014 to March 2016, Dr. Ridha worked as a medical expert at Bristol Myers Squibb Pharmaceuticals advising on late-stage clinical development, medical affairs, real-world evidence and health economics and outcomes research in cardiovascular medicine. Dr. Ridha is a member of the Royal College of Physicians of London, as well as a Fellow of the Faculty of Pharmaceutical Medicine. She was an expert panel member at the World Health Organization Expert Advisory Committee to develop Global Standards for the Governance and Oversight of Human Genome Editing. She earned her medical degrees from the Royal Free &amp; University College London Medical School and earned her Bachelor of Science Neuroscience with Basic Medical Sciences, with honors, from University College London.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or among any of AVROBIOs directors or executive officers. The principal occupation and employment during the past five years of each of AVROBIOs directors and executive officers was carried on, in each case except as specifically identified above, with a corporation or organization that is not a parent, subsidiary or other affiliate of AVROBIO. Other than as described in this proxy statement/prospectus, there is no arrangement or understanding between any of AVROBIOs directors or executive officers and any other person or persons pursuant to which he or she was or is to be selected as a director or an executive officer,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no material legal proceedings to which any of AVROBIOs executive officers is a party adverse to AVROBIO or AVROBIOs subsidiaries or in which any such person has a material interest adverse to AVROBIO or AVROBIOs subsidiaries. </w:t>
      </w:r>
    </w:p>
    <w:p>
      <w:pPr>
        <w:pStyle w:val="TextBody"/>
        <w:bidi w:val="0"/>
        <w:spacing w:before="360" w:after="0"/>
        <w:jc w:val="left"/>
        <w:rPr>
          <w:rFonts w:ascii="Times New Roman" w:hAnsi="Times New Roman"/>
          <w:b/>
          <w:sz w:val="20"/>
        </w:rPr>
      </w:pPr>
      <w:bookmarkStart w:id="92" w:name="toc770053_89"/>
      <w:bookmarkEnd w:id="92"/>
      <w:r>
        <w:rPr>
          <w:rFonts w:ascii="Times New Roman" w:hAnsi="Times New Roman"/>
          <w:b/>
          <w:sz w:val="20"/>
        </w:rPr>
        <w:t xml:space="preserve">Number and Terms of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consists of seven members. In accordance with the terms of AVROBIOs charter and bylaws, the AVROBIO Board is divided into three classes, Class I, Class II and Class III, with members of each class serving staggered three-year terms. Upon the expiration of the term of a class of directors, directors in that class will be eligible to be elected for a new three-year term at the annual meeting of stockholders in the year in which their term expires. The directors are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Gail Farfel, Ph.D., Christopher Paige, Ph.D. and Philip Vickers, Ph.D., and their terms will expire at AVROBIOs annual meeting of stockholders to be held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Ian Clark and Annalisa Jenkins, M.B.B.S., F.R.C.P., and their terms will expire at AVROBIOs annual meeting of stockholders to be held in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Bruce Booth, D.Phil. and Phillip Donenberg, and their terms will expire at the annual meeting of stockholders to be held in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expects that any additional directorships resulting from an increase in the number of directors will be distributed among the three classes so that, as nearly as possible, each class will consist of one-third of the directors. The division of the AVROBIO Board into three classes with staggered three-year terms may delay or prevent a change of AVROBIOs management or a change in control. </w:t>
      </w:r>
    </w:p>
    <w:p>
      <w:pPr>
        <w:pStyle w:val="TextBody"/>
        <w:bidi w:val="0"/>
        <w:spacing w:before="360" w:after="0"/>
        <w:jc w:val="left"/>
        <w:rPr>
          <w:rFonts w:ascii="Times New Roman" w:hAnsi="Times New Roman"/>
          <w:b/>
          <w:sz w:val="20"/>
        </w:rPr>
      </w:pPr>
      <w:bookmarkStart w:id="93" w:name="toc770053_90"/>
      <w:bookmarkEnd w:id="93"/>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has established an Audit Committee, a Compensation Committee, a Nominating and Corporate Governance Committee and a Science &amp; Technology Committee. Each of the Audit Committee, Compensation Committee and Nominating and Corporate Governance Committee operates under a charter that satisfies the applicable standards of the SEC and Nasdaq, and the Science &amp; Technology Committee, while not subject to specific SEC or Nasdaq rules, also operates under a charter. Each such committee reviews its respective charter at least annually. A current copy of the charter for each of the Audit Committee, Compensation Committee, Nominating and Corporate Governance Committee, and Science &amp; Technology Committee is posted on the Investors &amp; Media  Corporate Governance section of AVROBIOs website, www.avrobio.com. The AVROBIO Board may from time to time establish other special or standing committees to facilitate the management of AVROBIO or to discharge specific duties delegated by the full AVROBIO Board. Members will serve on these committees until their resignation or until otherwise determined by the AVROBIO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Phillip Donenberg, Annalisa Jenkins and Christopher Paige serve on the AVROBIO Audit Committee, which is chaired by Mr. Donenberg. The AVROBIO Board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The AVROBIO Board has designated Mr. Donenberg as an audit committee financial expert, as defined under the applicable rules of the SEC. The Audit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approving the compensation of, and assessing the independence of AVROBIOs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auditing and permissible non-audit services, and the terms of such services, to be provided by AVROBIOs independent registered public accounting firm;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overall audit plan with AVROBIOs independent registered public accounting firm and members of management responsible for preparing AVROBIOs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AVROBIOs independent registered public accounting firm AVROBIOs annual and quarterly financial statements and related disclosures as well as critical accounting policies and practices used by AVROBIO;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coordinating the oversight and reviewing the adequacy of AVROBIOs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and procedures for the receipt and retention of accounting-related complaints and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based upon the Audit Committees review and discussions with management and AVROBIOs independent registered public accounting firm whether AVROBIOs audited financial statements shall be included in AVROBIOs Annual Report on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integrity of AVROBIOs financial statements and AVROBIOs compliance with legal and regulatory requirements as they relate to AVROBIOs financial statements and accounting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Audit Committee report required by SEC rules to be included in AVROBIOs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all related person transactions for potential conflict of interest situations and approving all such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quarterly earnings releases.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Ian Clark, Bruce Booth and Philip Vickers serve on the AVROBIO Compensation Committee, which is chaired by Mr. Clark. The AVROBIO Board has determined that each member of the AVROBIO Compensation Committee is independent as defined in the applicable Nasdaq rules. The AVROBIO Compensation Committees responsibilities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approving corporate goals and objectives relevant to the compensation of AVROBIOs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of AVROBIOs Chief Executive Officer in light of such corporate goals and objectives, and based on such evaluation, reviewing and approving the proposed compensation for AVROBIOs Chief Executive Officer, including (i) the cash compensation of AVROBIOs Chief Executive Officer, (ii) grants and awards to AVROBIOs Chief Executive Officer under equity-based plans, (iii) amendments to or extensions of AVROBIOs Chief Executive Officers employment agreement or other similar arrangements, (iv) any severance or change in control arrangement, (v) any supplemental or retirement benefits, and (vi) any other compensation matters as may be directed by the AVROBIO Compensation Committee or the AVROBIO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evaluating the performance of, or reviewing AVROBIOs Chief Executive Officers assessment of, AVROBIOs other executive officers in light of the corporate goals and objectives relevant to their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cash compensation of AVROBIOs other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periodically reviewing any policies and programs concerning perquisite benefits and non-cash or other benefits for AVROBIOs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AVROBIOs overall management compensation, philosophy, and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AVROBIOs overall compensation policies and practices, and assessing whether any risks arising from such policies and practices are reasonably likely to have a material adverse effect on AVROBIO;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administering AVROBIOs compensation and similar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assessing potential and current compensation advisors in accordance with the independence standards identified in the applicable Nasdaq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AVROBIOs policies and procedures for the grant of equity-based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AVROBIO Board the compensation of AVROBIOs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AVROBIOs Compensation Committee report if and when required by SEC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AVROBIO Board corporate succession plans for AVROBIOs Chief Executive Officer and AVROBIOs other key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annually with management AVROBIOs Compensation Discussion and Analysis, if and when required, to be included in AVROBIOs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AVROBIO Board management proposals to AVROBIO stockholders as well as proposals received from AVROBIO stockholders that relate to executive compensation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retention or termination of any consulting firm or outside advisor to assist in the evaluation of compensation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retaining and approving the compensation of any compensation advisors.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Annalisa Jenkins, Phillip Donenberg and Christopher Paige serve on the Nominating and Corporate Governance Committee, which is chaired by Dr. Jenkins. The AVROBIO Board has determined that each member of the Nominating and Corporate Governance Committee is independent as defined in the applicable Nasdaq rules. The Nominating and Corporate Governance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AVROBIO Board criteria for board and committee membership;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identifying and evaluating board of director candidates, including nominees recommended by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size and composition of the AVROBIO Board to ensure that it is composed of members containing the appropriate skills and expertise to advise AVROBIO;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AVROBIO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AVROBIO Board the persons to be nominated for election as directors and to each of the AVROBIO Boards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AVROBIO Board a set of corporate governance guidelines;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AVROBIO Board. </w:t>
            </w:r>
          </w:p>
        </w:tc>
      </w:tr>
    </w:tbl>
    <w:p>
      <w:pPr>
        <w:pStyle w:val="TextBody"/>
        <w:bidi w:val="0"/>
        <w:spacing w:before="240" w:after="0"/>
        <w:jc w:val="left"/>
        <w:rPr>
          <w:rFonts w:ascii="Times New Roman" w:hAnsi="Times New Roman"/>
          <w:sz w:val="20"/>
        </w:rPr>
      </w:pPr>
      <w:r>
        <w:rPr>
          <w:rFonts w:ascii="Times New Roman" w:hAnsi="Times New Roman"/>
          <w:sz w:val="20"/>
        </w:rPr>
        <w:t>The Nominating and Corporate Governance Committee considers candidates for board of director membership suggested by its members and AVROBIOs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AVROBIO Board. Any stockholder who wishes to recommend a candidate for consideration by the committee as a nominee for director should follow the procedures described beginning on page 478 of this proxy statement/prospectus under the heading </w:t>
      </w:r>
      <w:r>
        <w:rPr>
          <w:rFonts w:ascii="Times New Roman" w:hAnsi="Times New Roman"/>
          <w:i/>
          <w:sz w:val="20"/>
        </w:rPr>
        <w:t>Stockholder Proposals</w:t>
      </w:r>
      <w:r>
        <w:rPr>
          <w:rFonts w:ascii="Times New Roman" w:hAnsi="Times New Roman"/>
          <w:sz w:val="20"/>
        </w:rPr>
        <w:t>. The Nominating and Corporate Governance Committee will also consider whether to nominate any person proposed by a stockholder in accordance with the provisions of AVROBIOs bylaws relating to stockholder nominations as described beginning on page 478 of this proxy statement/prospectus under the heading </w:t>
      </w:r>
      <w:r>
        <w:rPr>
          <w:rFonts w:ascii="Times New Roman" w:hAnsi="Times New Roman"/>
          <w:i/>
          <w:sz w:val="20"/>
        </w:rPr>
        <w:t>Stockholder Proposals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Identifying and Evaluating Director Nominees.</w:t>
      </w:r>
      <w:r>
        <w:rPr>
          <w:rFonts w:ascii="Times New Roman" w:hAnsi="Times New Roman"/>
          <w:sz w:val="20"/>
        </w:rPr>
        <w:t xml:space="preserve"> The AVROBIO Board is responsible for filling vacancies on the AVROBIO Board and for nominating candidates for election by AVROBIOs stockholders each year in the class of directors whose term expires at the relevant annual meeting. The AVROBIO Board delegates the selection and nomination process to the Nominating and Corporate Governance Committee, with the expectation that other members of the AVROBIO Board, and of management, will be requested to take part in the process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AVROBIO Board. Based on the results of the evaluation process, the Nominating and Corporate Governance Committee recommends candidates for the AVROBIO Boards approval to fill a vacancy or as director nominees for election to the AVROBIO Board by AVROBIOs stockholders each year in the class of directors whose term expires at the relevant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Science &amp; Technology Committee </w:t>
      </w:r>
    </w:p>
    <w:p>
      <w:pPr>
        <w:pStyle w:val="TextBody"/>
        <w:bidi w:val="0"/>
        <w:spacing w:before="120" w:after="0"/>
        <w:jc w:val="left"/>
        <w:rPr>
          <w:rFonts w:ascii="Times New Roman" w:hAnsi="Times New Roman"/>
          <w:sz w:val="20"/>
        </w:rPr>
      </w:pPr>
      <w:r>
        <w:rPr>
          <w:rFonts w:ascii="Times New Roman" w:hAnsi="Times New Roman"/>
          <w:sz w:val="20"/>
        </w:rPr>
        <w:t xml:space="preserve">Philip Vickers, Bruce Booth, Gail Farfel, Annalisa Jenkins and Christopher Paige serve on the Science &amp; Technology Committee, which is chaired by Dr. Vickers. The Science &amp; Technology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advising the AVROBIO Board on AVROBIOs research and development programs and progress in achieving research and development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advising the AVROBIO Board on the scientific and research and development aspects of licensing, collaboration and acquisition transactions that require approval by the AVROBIO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managements exercise of its responsibility to assess and manage risks associated with AVROBIOs research and development activities, clinical development and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any recommendations to the AVROBIO Board that the Science &amp; Technology Committee deems appropriate on any areas within its responsibility, including where action or improvement is needed. </w:t>
            </w:r>
          </w:p>
        </w:tc>
      </w:tr>
    </w:tbl>
    <w:p>
      <w:pPr>
        <w:pStyle w:val="TextBody"/>
        <w:bidi w:val="0"/>
        <w:spacing w:before="360" w:after="0"/>
        <w:jc w:val="left"/>
        <w:rPr>
          <w:rFonts w:ascii="Times New Roman" w:hAnsi="Times New Roman"/>
          <w:b/>
          <w:sz w:val="20"/>
        </w:rPr>
      </w:pPr>
      <w:bookmarkStart w:id="94" w:name="toc770053_91"/>
      <w:bookmarkEnd w:id="94"/>
      <w:r>
        <w:rPr>
          <w:rFonts w:ascii="Times New Roman" w:hAnsi="Times New Roman"/>
          <w:b/>
          <w:sz w:val="20"/>
        </w:rPr>
        <w:t xml:space="preserve">Board and Committee Evaluations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oversees and establishes a periodic board and committee evaluation process. Generally, the AVROBIO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typically on an annual basis, and may determine to use an independent third party evaluation process from time to time in the future. For example, in 2020 AVROBIO engaged an independent third-party consultant to interview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members on board performance and then provided feedback to the Nominating and Corporate Governance Committee for review and consideration. </w:t>
      </w:r>
    </w:p>
    <w:p>
      <w:pPr>
        <w:pStyle w:val="TextBody"/>
        <w:bidi w:val="0"/>
        <w:spacing w:before="360" w:after="0"/>
        <w:jc w:val="left"/>
        <w:rPr>
          <w:rFonts w:ascii="Times New Roman" w:hAnsi="Times New Roman"/>
          <w:b/>
          <w:sz w:val="20"/>
        </w:rPr>
      </w:pPr>
      <w:bookmarkStart w:id="95" w:name="toc770053_92"/>
      <w:bookmarkEnd w:id="95"/>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AVROBIO has adopted a written code of business conduct and ethics that applies to AVROBIOs directors, officers and employees, including AVROBIOs principal executive officer, principal financial officer, principal accounting officer or controller, or persons performing similar functions. A current copy of the code is posted on the Investors &amp; Media  Corporate Governance section of AVROBIOs website, which is located at www.avrobio.com. If AVROBIO makes any substantive amendments to, or grants any waivers from, the code of business conduct and ethics for any officer or director, AVROBIO will disclose the nature of such amendment or waiver on AVROBIOs website or in a Current Report on Form 8-K. </w:t>
      </w:r>
    </w:p>
    <w:p>
      <w:pPr>
        <w:pStyle w:val="TextBody"/>
        <w:bidi w:val="0"/>
        <w:spacing w:before="360" w:after="0"/>
        <w:jc w:val="left"/>
        <w:rPr>
          <w:rFonts w:ascii="Times New Roman" w:hAnsi="Times New Roman"/>
          <w:b/>
          <w:sz w:val="20"/>
        </w:rPr>
      </w:pPr>
      <w:bookmarkStart w:id="96" w:name="toc770053_93"/>
      <w:bookmarkEnd w:id="96"/>
      <w:r>
        <w:rPr>
          <w:rFonts w:ascii="Times New Roman" w:hAnsi="Times New Roman"/>
          <w:b/>
          <w:sz w:val="20"/>
        </w:rPr>
        <w:t xml:space="preserve">Board Leadership Structure and Boards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Currently, the role of Chairperson of the AVROBIO Board is separated from the role of Chief Executive Officer. AVROBIO believes that separating these positions allows AVROBIOs Chief Executive Officer to focus on the day-to-day business, while allowing the Chairperson of the AVROBIO Board to lead the AVROBIO Board in its fundamental role of providing advice to, and independent oversight, of management. The AVROBIO Board recognizes the time, effort, and energy that the Chief Executive Officer is required to devote to his position in the current business environment, as well as the commitment required by as AVROBIOs Chairperson, particularly as the AVROBIO Boards oversight responsibilities continue to grow. While AVROBIOs bylaws and corporate governance guidelines do not require that AVROBIOs Chairperson and Chief Executive Officer positions be separate, the AVROBIO Board believes that having separate positions is the appropriate leadership structure for AVROBIO at this time and demonstrates commitment to good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Risk is inherent to every business, and how well a business manages risk can ultimately determine its success. AVROBIO faces a number of risks, including risks relating to AVROBIOs financial condition, operations, strategic direction, and intellectual property. Management is responsible for the day-to-day management of risks AVROBIO faces, while the AVROBIO Board, as a whole and through its committees, has responsibility for the oversight of risk management. In its risk oversight role, the AVROBIO Board has the responsibility to satisfy itself that the risk management processes designed and implemented by management are adequate and functioning as designed. </w:t>
      </w:r>
    </w:p>
    <w:p>
      <w:pPr>
        <w:pStyle w:val="TextBody"/>
        <w:bidi w:val="0"/>
        <w:spacing w:before="240" w:after="0"/>
        <w:jc w:val="left"/>
        <w:rPr>
          <w:rFonts w:ascii="Times New Roman" w:hAnsi="Times New Roman"/>
          <w:sz w:val="20"/>
        </w:rPr>
      </w:pPr>
      <w:r>
        <w:rPr>
          <w:rFonts w:ascii="Times New Roman" w:hAnsi="Times New Roman"/>
          <w:sz w:val="20"/>
        </w:rPr>
        <w:t xml:space="preserve">Generally, the role of the AVROBIO Board in overseeing the management of AVROBIOs risks is conducted primarily through committees of the AVROBIO Board, as disclosed in the descriptions of each of the committees above and in the charters of each of the committees. However, at least annually management provides to the full board an overview of potential risks to AVROBIO, which is then updated and presented to the Audit Committee on a periodic (currently quarterly) basis. The full AVROBIO Board (or the appropriate board committee in the case of risks that are under the purview of a particular committee) discusses with management AVROBIOs major risk exposures, their potential impact on AVROBIO, and the steps AVROBIO takes to manage them. When a board committee is responsible for evaluating and overseeing the management of a particular risk or risks, the chairperson of the relevant committee reports on the discussion to the full AVROBIO Board during the committee reports portion of the next board meeting. This enables the AVROBIO Board and its committees to coordinate the risk oversight role, particularly with respect to risk interrelationships. </w:t>
      </w:r>
    </w:p>
    <w:p>
      <w:pPr>
        <w:pStyle w:val="TextBody"/>
        <w:bidi w:val="0"/>
        <w:spacing w:before="360" w:after="0"/>
        <w:jc w:val="left"/>
        <w:rPr>
          <w:rFonts w:ascii="Times New Roman" w:hAnsi="Times New Roman"/>
          <w:b/>
          <w:sz w:val="20"/>
        </w:rPr>
      </w:pPr>
      <w:bookmarkStart w:id="97" w:name="toc770053_94"/>
      <w:bookmarkEnd w:id="97"/>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The Nasdaq listing requirements require each listed company to have, or explain why it does not have, at least two Diverse (as defined in Nasdaq Rule 5605(f)) directors on the board, including at least one Diverse director who self-identifies as female and one Diverse director who self-identifies as part of an underrepresented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minority or LGBTQ+. However, smaller reporting companies, such as AVROBIO, may satisfy this requirement by having two female directors. The current composition of the AVROBIO Board is in compliance with the Nasdaq diversity requirement. The table below provides certain highlights of the composition of the AVROBIO Board members based on their voluntary self-identified demographic characteristics. The categories Female, LGBTQ+, and Two or More Races or Ethnicities as used in the below table have the definitions as provided in Nasdaq Rule 5605(f).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26"/>
        <w:gridCol w:w="388"/>
        <w:gridCol w:w="159"/>
        <w:gridCol w:w="373"/>
        <w:gridCol w:w="60"/>
        <w:gridCol w:w="388"/>
        <w:gridCol w:w="226"/>
        <w:gridCol w:w="559"/>
        <w:gridCol w:w="60"/>
        <w:gridCol w:w="388"/>
        <w:gridCol w:w="372"/>
        <w:gridCol w:w="902"/>
        <w:gridCol w:w="60"/>
        <w:gridCol w:w="387"/>
        <w:gridCol w:w="372"/>
        <w:gridCol w:w="902"/>
        <w:gridCol w:w="66"/>
      </w:tblGrid>
      <w:tr>
        <w:trPr/>
        <w:tc>
          <w:tcPr>
            <w:tcW w:w="3726"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9322" w:type="dxa"/>
            <w:gridSpan w:val="16"/>
            <w:tcBorders/>
            <w:vAlign w:val="bottom"/>
          </w:tcPr>
          <w:p>
            <w:pPr>
              <w:pStyle w:val="TableContents"/>
              <w:bidi w:val="0"/>
              <w:spacing w:before="0" w:after="283"/>
              <w:jc w:val="center"/>
              <w:rPr>
                <w:b/>
              </w:rPr>
            </w:pPr>
            <w:r>
              <w:rPr>
                <w:b/>
              </w:rPr>
              <w:t>Board Diversity Matrix (As of March 15, 2024)</w:t>
            </w:r>
          </w:p>
        </w:tc>
        <w:tc>
          <w:tcPr>
            <w:tcW w:w="66"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Board Size:</w:t>
            </w:r>
          </w:p>
        </w:tc>
        <w:tc>
          <w:tcPr>
            <w:tcW w:w="3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5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726" w:type="dxa"/>
            <w:tcBorders/>
          </w:tcPr>
          <w:p>
            <w:pPr>
              <w:pStyle w:val="TableContents"/>
              <w:bidi w:val="0"/>
              <w:spacing w:before="0" w:after="0"/>
              <w:jc w:val="left"/>
              <w:rPr>
                <w:rFonts w:ascii="Times New Roman" w:hAnsi="Times New Roman"/>
                <w:sz w:val="20"/>
              </w:rPr>
            </w:pPr>
            <w:r>
              <w:rPr>
                <w:rFonts w:ascii="Times New Roman" w:hAnsi="Times New Roman"/>
                <w:sz w:val="20"/>
              </w:rPr>
              <w:t>7 Directors</w:t>
            </w:r>
          </w:p>
        </w:tc>
        <w:tc>
          <w:tcPr>
            <w:tcW w:w="38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726" w:type="dxa"/>
            <w:tcBorders/>
            <w:vAlign w:val="bottom"/>
          </w:tcPr>
          <w:p>
            <w:pPr>
              <w:pStyle w:val="TableContents"/>
              <w:bidi w:val="0"/>
              <w:spacing w:before="0" w:after="283"/>
              <w:jc w:val="left"/>
              <w:rPr>
                <w:b/>
              </w:rPr>
            </w:pPr>
            <w:r>
              <w:rPr>
                <w:b/>
              </w:rPr>
              <w:t>Gender:</w:t>
            </w:r>
          </w:p>
        </w:tc>
        <w:tc>
          <w:tcPr>
            <w:tcW w:w="388" w:type="dxa"/>
            <w:tcBorders/>
            <w:vAlign w:val="bottom"/>
          </w:tcPr>
          <w:p>
            <w:pPr>
              <w:pStyle w:val="TableContents"/>
              <w:bidi w:val="0"/>
              <w:spacing w:before="0" w:after="283"/>
              <w:jc w:val="left"/>
              <w:rPr/>
            </w:pPr>
            <w:r>
              <w:rPr/>
              <w:t>  </w:t>
            </w:r>
          </w:p>
        </w:tc>
        <w:tc>
          <w:tcPr>
            <w:tcW w:w="532" w:type="dxa"/>
            <w:gridSpan w:val="2"/>
            <w:tcBorders/>
            <w:vAlign w:val="bottom"/>
          </w:tcPr>
          <w:p>
            <w:pPr>
              <w:pStyle w:val="TableContents"/>
              <w:bidi w:val="0"/>
              <w:spacing w:before="0" w:after="283"/>
              <w:jc w:val="center"/>
              <w:rPr>
                <w:b/>
              </w:rPr>
            </w:pPr>
            <w:r>
              <w:rPr>
                <w:b/>
              </w:rPr>
              <w:t>Male</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center"/>
              <w:rPr>
                <w:b/>
              </w:rPr>
            </w:pPr>
            <w:r>
              <w:rPr>
                <w:b/>
              </w:rPr>
              <w:t>Female</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74" w:type="dxa"/>
            <w:gridSpan w:val="2"/>
            <w:tcBorders/>
            <w:vAlign w:val="bottom"/>
          </w:tcPr>
          <w:p>
            <w:pPr>
              <w:pStyle w:val="TableContents"/>
              <w:bidi w:val="0"/>
              <w:spacing w:before="0" w:after="283"/>
              <w:jc w:val="center"/>
              <w:rPr>
                <w:b/>
              </w:rPr>
            </w:pPr>
            <w:r>
              <w:rPr>
                <w:b/>
              </w:rPr>
              <w:t>Non-Binary</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274" w:type="dxa"/>
            <w:gridSpan w:val="2"/>
            <w:tcBorders/>
            <w:vAlign w:val="bottom"/>
          </w:tcPr>
          <w:p>
            <w:pPr>
              <w:pStyle w:val="TableContents"/>
              <w:bidi w:val="0"/>
              <w:spacing w:before="0" w:after="283"/>
              <w:jc w:val="center"/>
              <w:rPr>
                <w:b/>
              </w:rPr>
            </w:pPr>
            <w:r>
              <w:rPr>
                <w:b/>
              </w:rPr>
              <w:t>Gender</w:t>
              <w:br/>
              <w:t>Undisclosed</w:t>
            </w:r>
          </w:p>
        </w:tc>
        <w:tc>
          <w:tcPr>
            <w:tcW w:w="66"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directors based on gender identity</w:t>
            </w:r>
          </w:p>
        </w:tc>
        <w:tc>
          <w:tcPr>
            <w:tcW w:w="3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Number of directors who identify in any of the categories below:</w:t>
            </w:r>
          </w:p>
        </w:tc>
        <w:tc>
          <w:tcPr>
            <w:tcW w:w="38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3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26" w:type="dxa"/>
            <w:tcBorders/>
          </w:tcPr>
          <w:p>
            <w:pPr>
              <w:pStyle w:val="TableContents"/>
              <w:bidi w:val="0"/>
              <w:spacing w:before="0" w:after="0"/>
              <w:jc w:val="left"/>
              <w:rPr>
                <w:rFonts w:ascii="Times New Roman" w:hAnsi="Times New Roman"/>
                <w:sz w:val="20"/>
              </w:rPr>
            </w:pPr>
            <w:r>
              <w:rPr>
                <w:rFonts w:ascii="Times New Roman" w:hAnsi="Times New Roman"/>
                <w:sz w:val="20"/>
              </w:rPr>
              <w:t>Alaskan Native or American Indian</w:t>
            </w:r>
          </w:p>
        </w:tc>
        <w:tc>
          <w:tcPr>
            <w:tcW w:w="38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3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26" w:type="dxa"/>
            <w:tcBorders/>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38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Native Hawaiian or Pacific Islander</w:t>
            </w:r>
          </w:p>
        </w:tc>
        <w:tc>
          <w:tcPr>
            <w:tcW w:w="3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26" w:type="dxa"/>
            <w:tcBorders/>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38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Two or More Races or Ethnicities</w:t>
            </w:r>
          </w:p>
        </w:tc>
        <w:tc>
          <w:tcPr>
            <w:tcW w:w="3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26" w:type="dxa"/>
            <w:tcBorders/>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38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Undisclosed</w:t>
            </w:r>
          </w:p>
        </w:tc>
        <w:tc>
          <w:tcPr>
            <w:tcW w:w="3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98" w:name="toc770053_95"/>
      <w:bookmarkEnd w:id="98"/>
      <w:r>
        <w:rPr>
          <w:rFonts w:ascii="Times New Roman" w:hAnsi="Times New Roman"/>
          <w:b/>
          <w:sz w:val="20"/>
        </w:rPr>
        <w:t xml:space="preserve">Communication with the Directors of AVROBIO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AVROBIO may report such concerns to the AVROBIO Board or the chairperson of the AVROBIO Board or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AVROBIO, Inc. </w:t>
      </w:r>
    </w:p>
    <w:p>
      <w:pPr>
        <w:pStyle w:val="TextBody"/>
        <w:bidi w:val="0"/>
        <w:spacing w:before="0" w:after="0"/>
        <w:jc w:val="center"/>
        <w:rPr>
          <w:rFonts w:ascii="Times New Roman" w:hAnsi="Times New Roman"/>
          <w:sz w:val="20"/>
        </w:rPr>
      </w:pPr>
      <w:r>
        <w:rPr>
          <w:rFonts w:ascii="Times New Roman" w:hAnsi="Times New Roman"/>
          <w:sz w:val="20"/>
        </w:rPr>
        <w:t xml:space="preserve">One Broadway, 14th Floor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02142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24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AVROBIO tends to receive repetitive or duplicative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AVROBIOs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which is (866) 569-1843.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9" w:name="toc770053_96"/>
      <w:bookmarkEnd w:id="99"/>
      <w:r>
        <w:rPr>
          <w:rFonts w:ascii="Times New Roman" w:hAnsi="Times New Roman"/>
          <w:b/>
          <w:sz w:val="20"/>
        </w:rPr>
        <w:t xml:space="preserve">AVROBIO EXECUTIVE COMPENSATION </w:t>
      </w:r>
    </w:p>
    <w:p>
      <w:pPr>
        <w:pStyle w:val="TextBody"/>
        <w:bidi w:val="0"/>
        <w:spacing w:before="240" w:after="0"/>
        <w:jc w:val="left"/>
        <w:rPr>
          <w:rFonts w:ascii="Times New Roman" w:hAnsi="Times New Roman"/>
          <w:b/>
          <w:sz w:val="20"/>
        </w:rPr>
      </w:pPr>
      <w:bookmarkStart w:id="100" w:name="toc770053_97"/>
      <w:bookmarkEnd w:id="100"/>
      <w:r>
        <w:rPr>
          <w:rFonts w:ascii="Times New Roman" w:hAnsi="Times New Roman"/>
          <w:b/>
          <w:sz w:val="20"/>
        </w:rPr>
        <w:t xml:space="preserve">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AVROBIO has opted to comply with the executive compensation disclosure rules applicable to smaller reporting companies, as such term is defined in the rules promulgated under the Securities Act. This section provides an overview of the compensation awarded to, earned by, or paid to AVROBIOs principal executive officer and AVROBIOs next two most highly compensated executive officers in respect of their service to AVROBIO for the fiscal year ended December 31, 2023 and up to two additional individuals for whom disclosure would have been provided but for the fact that the individual was not serving as an executive officer as of December 31, 2023 (the AVROBIO 2023 named executive officers). The AVROBIO 2023 named executive officers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Erik Ostrowski, President, Interim Chief Executive Officer, Chief Financial Officer and Treasurer;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Geoff MacKay, former Chief Executive Officer and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Azadeh Golipour, Chief Technology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Essra Ridha, Chief Medical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AVROBIOs executive compensation program is based on a pay for performance philosophy. Compensation for AVROBIOs executive officers is composed primarily of the following main components: base salary; bonus; and equity incentives in the form of options. AVROBIOs executive officers, like all full-time employees, are eligible to participate in AVROBIOs health and welfare benefit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or paid to each of AVROBIOs named executive officers for services rendered to AVROBIO in all capacities during the fiscal year ended December 31, 2023. The following table also presents information regarding the compensation awarded to, and earned by, and paid to each such individual during the fiscal year ended December 31, 2022, to the extent such individual was a named executive officer for such year. </w:t>
      </w:r>
    </w:p>
    <w:p>
      <w:pPr>
        <w:pStyle w:val="TextBody"/>
        <w:bidi w:val="0"/>
        <w:spacing w:before="0" w:after="0"/>
        <w:jc w:val="left"/>
        <w:rPr/>
      </w:pPr>
      <w:r>
        <w:rPr/>
        <w:t> </w:t>
      </w:r>
    </w:p>
    <w:tbl>
      <w:tblPr>
        <w:tblW w:w="11035" w:type="dxa"/>
        <w:jc w:val="center"/>
        <w:tblInd w:w="0" w:type="dxa"/>
        <w:tblLayout w:type="fixed"/>
        <w:tblCellMar>
          <w:top w:w="0" w:type="dxa"/>
          <w:left w:w="0" w:type="dxa"/>
          <w:bottom w:w="0" w:type="dxa"/>
          <w:right w:w="0" w:type="dxa"/>
        </w:tblCellMar>
      </w:tblPr>
      <w:tblGrid>
        <w:gridCol w:w="1430"/>
        <w:gridCol w:w="60"/>
        <w:gridCol w:w="60"/>
        <w:gridCol w:w="500"/>
        <w:gridCol w:w="60"/>
        <w:gridCol w:w="60"/>
        <w:gridCol w:w="60"/>
        <w:gridCol w:w="800"/>
        <w:gridCol w:w="60"/>
        <w:gridCol w:w="60"/>
        <w:gridCol w:w="60"/>
        <w:gridCol w:w="800"/>
        <w:gridCol w:w="350"/>
        <w:gridCol w:w="60"/>
        <w:gridCol w:w="60"/>
        <w:gridCol w:w="800"/>
        <w:gridCol w:w="60"/>
        <w:gridCol w:w="60"/>
        <w:gridCol w:w="60"/>
        <w:gridCol w:w="800"/>
        <w:gridCol w:w="60"/>
        <w:gridCol w:w="60"/>
        <w:gridCol w:w="103"/>
        <w:gridCol w:w="1387"/>
        <w:gridCol w:w="60"/>
        <w:gridCol w:w="60"/>
        <w:gridCol w:w="98"/>
        <w:gridCol w:w="1317"/>
        <w:gridCol w:w="470"/>
        <w:gridCol w:w="60"/>
        <w:gridCol w:w="60"/>
        <w:gridCol w:w="980"/>
        <w:gridCol w:w="60"/>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Salary</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Bonus</w:t>
            </w:r>
            <w:r>
              <w:rPr/>
              <w:br/>
            </w:r>
            <w:r>
              <w:rPr>
                <w:b/>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br/>
              <w:t>Incentive Plan</w:t>
              <w:br/>
              <w:t>Compensation</w:t>
            </w:r>
            <w:r>
              <w:rPr/>
              <w:br/>
            </w:r>
            <w:r>
              <w:rPr>
                <w:b/>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504,400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732,179</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339,878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tcPr>
          <w:p>
            <w:pPr>
              <w:pStyle w:val="TableContents"/>
              <w:bidi w:val="0"/>
              <w:spacing w:before="0" w:after="283"/>
              <w:jc w:val="left"/>
              <w:rPr/>
            </w:pPr>
            <w:r>
              <w:rPr/>
              <w:t> </w:t>
            </w:r>
          </w:p>
        </w:tc>
        <w:tc>
          <w:tcPr>
            <w:tcW w:w="1317" w:type="dxa"/>
            <w:tcBorders/>
            <w:shd w:fill="CCEEFF" w:val="clear"/>
          </w:tcPr>
          <w:p>
            <w:pPr>
              <w:pStyle w:val="TableContents"/>
              <w:bidi w:val="0"/>
              <w:spacing w:before="0" w:after="283"/>
              <w:jc w:val="right"/>
              <w:rPr/>
            </w:pPr>
            <w:r>
              <w:rPr/>
              <w:t>14,435</w:t>
            </w:r>
          </w:p>
        </w:tc>
        <w:tc>
          <w:tcPr>
            <w:tcW w:w="470" w:type="dxa"/>
            <w:tcBorders/>
            <w:shd w:fill="CCEEFF" w:val="clear"/>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1,590,892</w:t>
            </w:r>
          </w:p>
        </w:tc>
        <w:tc>
          <w:tcPr>
            <w:tcW w:w="60" w:type="dxa"/>
            <w:tcBorders/>
            <w:shd w:fill="CCEEFF" w:val="clear"/>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President, Interim Chief Executive Officer, Chief Financial Officer and Treasurer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460,000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299,000</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404,806</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174,800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tcPr>
          <w:p>
            <w:pPr>
              <w:pStyle w:val="TableContents"/>
              <w:bidi w:val="0"/>
              <w:spacing w:before="0" w:after="283"/>
              <w:jc w:val="left"/>
              <w:rPr/>
            </w:pPr>
            <w:r>
              <w:rPr/>
              <w:t> </w:t>
            </w:r>
          </w:p>
        </w:tc>
        <w:tc>
          <w:tcPr>
            <w:tcW w:w="1317" w:type="dxa"/>
            <w:tcBorders/>
            <w:shd w:fill="CCEEFF" w:val="clear"/>
          </w:tcPr>
          <w:p>
            <w:pPr>
              <w:pStyle w:val="TableContents"/>
              <w:bidi w:val="0"/>
              <w:spacing w:before="0" w:after="283"/>
              <w:jc w:val="right"/>
              <w:rPr/>
            </w:pPr>
            <w:r>
              <w:rPr/>
              <w:t>13,487</w:t>
            </w:r>
          </w:p>
        </w:tc>
        <w:tc>
          <w:tcPr>
            <w:tcW w:w="470" w:type="dxa"/>
            <w:tcBorders/>
            <w:shd w:fill="CCEEFF" w:val="clear"/>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1,352,093</w:t>
            </w:r>
          </w:p>
        </w:tc>
        <w:tc>
          <w:tcPr>
            <w:tcW w:w="60" w:type="dxa"/>
            <w:tcBorders/>
            <w:shd w:fill="CCEEFF" w:val="clear"/>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Geoff MacKay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203,284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508,127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9,636</w:t>
            </w:r>
          </w:p>
        </w:tc>
        <w:tc>
          <w:tcPr>
            <w:tcW w:w="470" w:type="dxa"/>
            <w:tcBorders/>
            <w:vAlign w:val="bottom"/>
          </w:tcPr>
          <w:p>
            <w:pPr>
              <w:pStyle w:val="TableContents"/>
              <w:bidi w:val="0"/>
              <w:spacing w:before="0" w:after="283"/>
              <w:jc w:val="left"/>
              <w:rPr/>
            </w:pPr>
            <w:r>
              <w:rPr/>
              <w:t>(6)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726,767</w:t>
            </w:r>
          </w:p>
        </w:tc>
        <w:tc>
          <w:tcPr>
            <w:tcW w:w="60" w:type="dxa"/>
            <w:tcBorders/>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i/>
                <w:sz w:val="20"/>
              </w:rPr>
            </w:pPr>
            <w:r>
              <w:rPr>
                <w:rFonts w:ascii="Times New Roman" w:hAnsi="Times New Roman"/>
                <w:i/>
                <w:sz w:val="20"/>
              </w:rPr>
              <w:t>Former President and Chief Executive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431,000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710,700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303,050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12,542</w:t>
            </w:r>
          </w:p>
        </w:tc>
        <w:tc>
          <w:tcPr>
            <w:tcW w:w="470" w:type="dxa"/>
            <w:tcBorders/>
            <w:vAlign w:val="bottom"/>
          </w:tcPr>
          <w:p>
            <w:pPr>
              <w:pStyle w:val="TableContents"/>
              <w:bidi w:val="0"/>
              <w:spacing w:before="0" w:after="283"/>
              <w:jc w:val="left"/>
              <w:rPr/>
            </w:pPr>
            <w:r>
              <w:rPr/>
              <w:t>(6)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2,037,292</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450,000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526,498</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252,373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tcPr>
          <w:p>
            <w:pPr>
              <w:pStyle w:val="TableContents"/>
              <w:bidi w:val="0"/>
              <w:spacing w:before="0" w:after="283"/>
              <w:jc w:val="left"/>
              <w:rPr/>
            </w:pPr>
            <w:r>
              <w:rPr/>
              <w:t> </w:t>
            </w:r>
          </w:p>
        </w:tc>
        <w:tc>
          <w:tcPr>
            <w:tcW w:w="1317" w:type="dxa"/>
            <w:tcBorders/>
            <w:shd w:fill="CCEEFF" w:val="clear"/>
          </w:tcPr>
          <w:p>
            <w:pPr>
              <w:pStyle w:val="TableContents"/>
              <w:bidi w:val="0"/>
              <w:spacing w:before="0" w:after="283"/>
              <w:jc w:val="right"/>
              <w:rPr/>
            </w:pPr>
            <w:r>
              <w:rPr/>
              <w:t>37,302</w:t>
            </w:r>
          </w:p>
        </w:tc>
        <w:tc>
          <w:tcPr>
            <w:tcW w:w="470" w:type="dxa"/>
            <w:tcBorders/>
            <w:shd w:fill="CCEEFF" w:val="clear"/>
          </w:tcPr>
          <w:p>
            <w:pPr>
              <w:pStyle w:val="TableContents"/>
              <w:bidi w:val="0"/>
              <w:spacing w:before="0" w:after="283"/>
              <w:jc w:val="left"/>
              <w:rPr/>
            </w:pPr>
            <w:r>
              <w:rPr/>
              <w:t>(7)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1,266,173</w:t>
            </w:r>
          </w:p>
        </w:tc>
        <w:tc>
          <w:tcPr>
            <w:tcW w:w="60" w:type="dxa"/>
            <w:tcBorders/>
            <w:shd w:fill="CCEEFF" w:val="clear"/>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Chief Technology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353,000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141,000</w:t>
            </w:r>
          </w:p>
        </w:tc>
        <w:tc>
          <w:tcPr>
            <w:tcW w:w="350" w:type="dxa"/>
            <w:tcBorders/>
            <w:shd w:fill="CCEEFF" w:val="clear"/>
          </w:tcPr>
          <w:p>
            <w:pPr>
              <w:pStyle w:val="TableContents"/>
              <w:bidi w:val="0"/>
              <w:spacing w:before="0" w:after="283"/>
              <w:jc w:val="left"/>
              <w:rPr/>
            </w:pPr>
            <w:r>
              <w:rPr/>
              <w:t>(8)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302,231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124,688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tcPr>
          <w:p>
            <w:pPr>
              <w:pStyle w:val="TableContents"/>
              <w:bidi w:val="0"/>
              <w:spacing w:before="0" w:after="283"/>
              <w:jc w:val="left"/>
              <w:rPr/>
            </w:pPr>
            <w:r>
              <w:rPr/>
              <w:t> </w:t>
            </w:r>
          </w:p>
        </w:tc>
        <w:tc>
          <w:tcPr>
            <w:tcW w:w="1317" w:type="dxa"/>
            <w:tcBorders/>
            <w:shd w:fill="CCEEFF" w:val="clear"/>
          </w:tcPr>
          <w:p>
            <w:pPr>
              <w:pStyle w:val="TableContents"/>
              <w:bidi w:val="0"/>
              <w:spacing w:before="0" w:after="283"/>
              <w:jc w:val="right"/>
              <w:rPr/>
            </w:pPr>
            <w:r>
              <w:rPr/>
              <w:t>109,519</w:t>
            </w:r>
          </w:p>
        </w:tc>
        <w:tc>
          <w:tcPr>
            <w:tcW w:w="470" w:type="dxa"/>
            <w:tcBorders/>
            <w:shd w:fill="CCEEFF" w:val="clear"/>
          </w:tcPr>
          <w:p>
            <w:pPr>
              <w:pStyle w:val="TableContents"/>
              <w:bidi w:val="0"/>
              <w:spacing w:before="0" w:after="283"/>
              <w:jc w:val="left"/>
              <w:rPr/>
            </w:pPr>
            <w:r>
              <w:rPr/>
              <w:t>(9)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1,030,438</w:t>
            </w:r>
          </w:p>
        </w:tc>
        <w:tc>
          <w:tcPr>
            <w:tcW w:w="60" w:type="dxa"/>
            <w:tcBorders/>
            <w:shd w:fill="CCEEFF" w:val="clear"/>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Essra Ridha(10)</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498,020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589,493</w:t>
            </w:r>
          </w:p>
        </w:tc>
        <w:tc>
          <w:tcPr>
            <w:tcW w:w="35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221,953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tcPr>
          <w:p>
            <w:pPr>
              <w:pStyle w:val="TableContents"/>
              <w:bidi w:val="0"/>
              <w:spacing w:before="0" w:after="283"/>
              <w:jc w:val="left"/>
              <w:rPr/>
            </w:pPr>
            <w:r>
              <w:rPr/>
              <w:t> </w:t>
            </w:r>
          </w:p>
        </w:tc>
        <w:tc>
          <w:tcPr>
            <w:tcW w:w="1317" w:type="dxa"/>
            <w:tcBorders/>
          </w:tcPr>
          <w:p>
            <w:pPr>
              <w:pStyle w:val="TableContents"/>
              <w:bidi w:val="0"/>
              <w:spacing w:before="0" w:after="283"/>
              <w:jc w:val="right"/>
              <w:rPr/>
            </w:pPr>
            <w:r>
              <w:rPr/>
              <w:t>33,448</w:t>
            </w:r>
          </w:p>
        </w:tc>
        <w:tc>
          <w:tcPr>
            <w:tcW w:w="470" w:type="dxa"/>
            <w:tcBorders/>
          </w:tcPr>
          <w:p>
            <w:pPr>
              <w:pStyle w:val="TableContents"/>
              <w:bidi w:val="0"/>
              <w:spacing w:before="0" w:after="283"/>
              <w:jc w:val="left"/>
              <w:rPr/>
            </w:pPr>
            <w:r>
              <w:rPr/>
              <w:t>(11)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1,342,914</w:t>
            </w:r>
          </w:p>
        </w:tc>
        <w:tc>
          <w:tcPr>
            <w:tcW w:w="60" w:type="dxa"/>
            <w:tcBorders/>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the 2022 amounts reflect discretionary retention bonuses granted in January 2022 and paid in two equal installments in June 2022 and December 2022. In addition, the 2023 amounts reflect a discretionary retention bonus granted to Mr. Ostrowski, Dr. Golipour and Dr. Ridha in June, 2023 in the amount of $582,179, $426,498, and $489,493, respectively, and paid in January 2024. Further, for Mr. Ostrowski, Dr. Golipour and Dr. Ridha, the 2023 amounts reflect a transaction bonus granted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Mr. Ostrowski, Dr. Golipour and Dr. Ridha in the amount of $150,000, $100,000, and $100,000, respectively.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the RSUs granted in 2023 in accordance with Financial Accounting Standards Boards Accounting Standards Codification Topic 718, or ASC 718. Such grant date fair value does not take into account any estimated forfeitures. See Note 9 of Notes to Consolidated Financial Statements in AVROBIOs Annual Report on Form 10-K filed with the SEC on March 14, 2024 for a discussion of assumptions made by AVROBIO in determining the aggregate grant date fair value of AVROBIOs RSUs. These amounts do not correspond to the actual value that may be received by the 2023 AVROBIO named executive officers upon vesting and settlement of the shares of RSUs or any sale of the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stock options granted in 2023 and 2022 in accordance with FASB ASC 718. Such grant date fair value does not take into account any estimated forfeitures related to service-vesting conditions. See Note 9 of Notes to Consolidated Financial Statements in AVROBIOs Annual Report on Form 10-K filed with the SEC on March 14, 2024 for a discussion of assumptions made by AVROBIO in determining the aggregate grant date fair value of AVROBIOs stock options. These amounts do not correspond to the actual value that may be recognized by the 2023 AVROBIO named executive officers upon vesting of applicable awards. Additionally, the 2023 amount for Mr. MacKay includes the incremental fair value related to the extension of the post-termination exercise period of certain stock options (determined as of such extension date in accordance with FASB ASC Topic 718).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bonuses paid with respect to performance during the 2023 fiscal year pursuant to the Senior Executive Cash Incentive Bonus Plan. Such annual bonuses were based on achievement of AVROBIOs goals related to achievement of clinical program objectives and milestones, regulatory objectives, and manufacturing development objectives.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401(k) contributions and life insurance premiums paid by AVROBIO on behalf of Mr. Ostrowski.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401(k) contributions and life insurance premiums paid by AVROBIO on behalf of Mr. MacKay.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life insurance premiums and relocation benefits paid by AVROBIO on behalf of Dr. Golipour.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a $10,000 lump sum payment, paid in accordance with Dr. Golipours employment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life insurance premiums, $90,571 in relocation benefits paid by AVROBIO on behalf of Dr. Golipour pursuant to her employment agreement, and a tax gross-up on such relocation benefits.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the Salary, Bonus, and All Other Compensation columns were originally denominated in GBP when paid to Dr. Ridha and have been converted to USD using the average exchange rate for 2023 (1 GBP = 1.2439 USD).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benefits allowance and pension contributions paid by AVROBIO on behalf of Dr. Ridha.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and AVROBIO Compensation Committee review compensation annually for all employees, including AVROBIOs executives. In setting executive base salaries and bonuses and granting equity incentive awards, AVROBIO considers compensation for comparable positions in the market, the historical compensation levels of AVROBIOs executives, individual performance as compared to AVROBIOs expectations and objectives, AVROBIOs desire to motivate AVROBIOs employees to achieve short- and long-term results that are in the best interests of AVROBIO stockholders, and a long-term commitment to AVROBIO. AVROBIO targets a generally competitive position, based on independent third-party benchmark analytics to inform the mix of compensation of base salary, bonus or long-term incentives. </w:t>
      </w:r>
    </w:p>
    <w:p>
      <w:pPr>
        <w:pStyle w:val="TextBody"/>
        <w:bidi w:val="0"/>
        <w:spacing w:before="240" w:after="0"/>
        <w:jc w:val="left"/>
        <w:rPr>
          <w:rFonts w:ascii="Times New Roman" w:hAnsi="Times New Roman"/>
          <w:sz w:val="20"/>
        </w:rPr>
      </w:pPr>
      <w:r>
        <w:rPr>
          <w:rFonts w:ascii="Times New Roman" w:hAnsi="Times New Roman"/>
          <w:sz w:val="20"/>
        </w:rPr>
        <w:t xml:space="preserve">The AVROBIO Compensation Committee reviews and approves the compensation to be paid to AVROBIOs Chief Executive Officer and AVROBIOs other executive officers. The AVROBIO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typically reviews and discusses managements proposed compensation with the chief executive officer for all executives other than the chief executive officer. Based on those discussions and its discretion, taking into account the factors noted above, the AVROBIO Compensation Committee then approves the compensation of AVROBIOs Chief Executive Officer and other executive officers without the chief executive officer or other members of management present. Frederic W. Cook &amp; Co., Inc. (FW Cook), advised the AVROBIO Board and the AVROBIO Compensation Committee on certain compensation matters and decisions during fiscal year 2023. FW Cook served at the discretion of the AVROBIO Compensation Committee and did not provide any other services to AVROBIO during fiscal year 2023 other than those for which they were engaged by the AVROBIO Compensation Committee. The AVROBIO Compensation Committee requires that its compensation consultants be independent of AVROBIO management and performs an annual assessment of the compensation consultants independence to determine whether the consultants are independent. The AVROBIO Compensation Committee has determined that FW Cook is independent and that its respective work has not raised any conflicts of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AVROBIO uses base salaries to recognize the experience, skills, knowledge and responsibilities required of all AVROBIOs employees, including AVROBIO 2023 named executive officers. Base salaries for AVROBIOs named executive officers are reviewed annually by the AVROBIO Compensation Committee, typically in connection with AVROBIOs annual performance review process, and adjusted from time to time, based on the recommendation of the AVROBIO Compensation Committee, to realign salaries with market levels after taking into account individual responsibilities, performance and experience. AVROBIO increased Mr. Ostrowskis base salary to $535,000 from $473,800, effective July 1, 2023. None of the AVROBIO 2023 named executive officers are currently party to an employment agreement or other agreement or arrangement that provides for automatic or scheduled increases in base salary. During 2023 the annual base salaries for each of Mr. Ostrowski, Mr. MacKay, Dr. Golipour, and Dr. Ridha were $535,000, $603,000, $450,000, and $498,020,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Annual Bonus </w:t>
      </w:r>
    </w:p>
    <w:p>
      <w:pPr>
        <w:pStyle w:val="TextBody"/>
        <w:bidi w:val="0"/>
        <w:spacing w:before="120" w:after="0"/>
        <w:jc w:val="left"/>
        <w:rPr>
          <w:rFonts w:ascii="Times New Roman" w:hAnsi="Times New Roman"/>
          <w:sz w:val="20"/>
        </w:rPr>
      </w:pPr>
      <w:r>
        <w:rPr>
          <w:rFonts w:ascii="Times New Roman" w:hAnsi="Times New Roman"/>
          <w:sz w:val="20"/>
        </w:rPr>
        <w:t xml:space="preserve">AVROBIO currently has a Senior Executive Cash Incentive Bonus Plan, which is intended to reward AVROBIOs executive officers, including AVROBIOs named executive officers, for meeting objective and/or subjective performance goals for a fiscal year. From time to time, the AVROBIO Board or AVROBIO Compensation Committee may approve annual bonuses for AVROBIOs executive officers, including AVROBIOs named executive officers, based on individual performance, company performance or as otherwise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Performance goals for each new fiscal year are reviewed by the AVROBIO Compensation Committee and then reviewed and approved by the AVROBIO Board. The AVROBIO Compensation Committee thereafter reviews and determines AVROBIOs performance and level of attainment of such goals following the completion of the applicable fiscal year. For 2023, the AVROBIO Compensation Committee reviewed and drafted 2023 goals based on achievement of clinical program objectives and milestones, regulatory objectives, manufacturing development objectives and business development and financing objectives. Following the Boards decision in July 2023 to halt development of AVROBIOs clinical programs and pursue potential strategic alternatives, the Board opted to forgo annual bonuses based on earlier corporate objectives with respect to fiscal 2023, taking into account previously awarded retention and transaction bonuses for each of the remaining named executive officers with respect to such year. Accordingly, no annual bonus was paid to the named executive officers based on performance objectives in 2023. </w:t>
      </w:r>
    </w:p>
    <w:p>
      <w:pPr>
        <w:pStyle w:val="TextBody"/>
        <w:bidi w:val="0"/>
        <w:spacing w:before="360" w:after="0"/>
        <w:jc w:val="left"/>
        <w:rPr>
          <w:rFonts w:ascii="Times New Roman" w:hAnsi="Times New Roman"/>
          <w:i/>
          <w:sz w:val="20"/>
        </w:rPr>
      </w:pPr>
      <w:r>
        <w:rPr>
          <w:rFonts w:ascii="Times New Roman" w:hAnsi="Times New Roman"/>
          <w:i/>
          <w:sz w:val="20"/>
        </w:rPr>
        <w:t xml:space="preserve">Retention Bonuses </w:t>
      </w:r>
    </w:p>
    <w:p>
      <w:pPr>
        <w:pStyle w:val="TextBody"/>
        <w:bidi w:val="0"/>
        <w:spacing w:before="120" w:after="0"/>
        <w:jc w:val="left"/>
        <w:rPr>
          <w:rFonts w:ascii="Times New Roman" w:hAnsi="Times New Roman"/>
          <w:sz w:val="20"/>
        </w:rPr>
      </w:pPr>
      <w:r>
        <w:rPr>
          <w:rFonts w:ascii="Times New Roman" w:hAnsi="Times New Roman"/>
          <w:sz w:val="20"/>
        </w:rPr>
        <w:t xml:space="preserve">On January 4, 2022, the AVROBIO Compensation Committee approved one-time cash retention payments to all employees remaining with AVROBIO following AVROBIOs workforce reduction, including AVROBIOs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officers. Each retention bonus was payable in two equal installments in June 2022 and December 2022, provided that the employee had not resigned or provided notice of intention to resign and AVROBIO had not terminated such employees employment for cause or provided notice of intent to terminate such employees employment for cause. The aggregate retention bonuses granted to each of Mr. Ostrowski, Mr. MacKay and Dr. Golipour were $299,000, $431,000 and $131,000,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June 9, 2023, the AVROBIO Compensation Committee approved cash retention bonuses for each of Mr. Ostrowski, Dr. Golipour and Dr. Ridha. The Retention Bonuses were payable to each of Mr. Ostrowski, Dr. Golipour and Dr. Ridha, subject to each executive continuing to be employed by AVROBIO as of December 31, 2023. The amount of the retention bonuses payable to each of Mr. Ostrowski, Dr. Golipour and Dr. Ridha equaled (i) 125% of each executives base salary for calendar year 2023 as in effect on June 9, 2023 (except that, in the case of Mr. Ostrowski, such calculation was based on his base salary in effect as of July 1, 2023), plus (ii) 125% of each executives target 2023 annual bonus as in effect on June 9, 2023 (except that, in the case of Mr. Ostrowski, such calculation was based on his target 2023 annual bonus in effect for the six month period commencing July 1, 2023), in each case pro-rated for the period of time from June 9, 2023 to December 31, 2023. The retention bonus for each of Mr. Ostrowski, Dr. Golipour and Dr. Ridha is reported in the Bonus column in the 2023 Summary Compensation Table, above.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Bonuses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sale of AVROBIOs cystinosis program, each of Mr. Ostrowski, Dr. Golipour and Dr. Ridha received a transaction bonus in the amount of $150,000, $100,000, and $100,000, respectively, which was payable in three installments in July, August, and September 2023, subject to the executives continued employment on the date of each payment.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Although AVROBIO does not have a formal policy with respect to the grant of equity incentive awards to AVROBIOs executive officers, or any formal equity ownership guidelines applicable to them, AVROBIO believes that equity grants provide AVROBIOs executives with a strong link to AVROBIOs long-term performance, create an ownership culture and help to align the interests of AVROBIOs executives and AVROBIO stockholders. In addition, AVROBIO believes that equity grants with a time-based vesting feature promote executive retention because this feature incentivizes AVROBIOs executive officers to remain in AVROBIOs employment during the vesting period. Accordingly, the AVROBIO Board periodically reviews the equity incentive compensation of AVROBIOs named executive officers and from time to time may grant equity incentive awards to them in the form of stock options or RSUs. </w:t>
      </w:r>
    </w:p>
    <w:p>
      <w:pPr>
        <w:pStyle w:val="TextBody"/>
        <w:bidi w:val="0"/>
        <w:spacing w:before="240" w:after="0"/>
        <w:jc w:val="left"/>
        <w:rPr>
          <w:rFonts w:ascii="Times New Roman" w:hAnsi="Times New Roman"/>
          <w:sz w:val="20"/>
        </w:rPr>
      </w:pPr>
      <w:r>
        <w:rPr>
          <w:rFonts w:ascii="Times New Roman" w:hAnsi="Times New Roman"/>
          <w:sz w:val="20"/>
        </w:rPr>
        <w:t xml:space="preserve">AVROBIO typically grants stock option awards to each of AVROBIOs executives in connection with their start of employment. Such stock option awards are typically granted on the first trading day of the month after the employees start date. AVROBIO sets the option exercise price and grant date fair value based on the value of AVROBIO common stock on the date of grant. For grants in connection with initial employment, vesting begins on the initial date of employment. </w:t>
      </w:r>
    </w:p>
    <w:p>
      <w:pPr>
        <w:pStyle w:val="TextBody"/>
        <w:bidi w:val="0"/>
        <w:spacing w:before="360" w:after="0"/>
        <w:jc w:val="left"/>
        <w:rPr>
          <w:rFonts w:ascii="Times New Roman" w:hAnsi="Times New Roman"/>
          <w:i/>
          <w:sz w:val="20"/>
        </w:rPr>
      </w:pPr>
      <w:r>
        <w:rPr>
          <w:rFonts w:ascii="Times New Roman" w:hAnsi="Times New Roman"/>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AVROBIO maintains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the AVROBIO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Outstanding Equity Awards at 2023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outstanding equity awards held by the AVROBIO 2023 named executive officers as of December 31, 2023. All equity awards set forth in the table below were granted under either AVROBIOs Amended and Restated 2015 Stock Option and Grant Plan (the 2015 Plan) or AVROBIOs 2018 Stock Option and Incentive Plan, as amended (the 2018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1"/>
        <w:gridCol w:w="132"/>
        <w:gridCol w:w="88"/>
        <w:gridCol w:w="1187"/>
        <w:gridCol w:w="60"/>
        <w:gridCol w:w="122"/>
        <w:gridCol w:w="100"/>
        <w:gridCol w:w="1356"/>
        <w:gridCol w:w="470"/>
        <w:gridCol w:w="74"/>
        <w:gridCol w:w="84"/>
        <w:gridCol w:w="794"/>
        <w:gridCol w:w="60"/>
        <w:gridCol w:w="132"/>
        <w:gridCol w:w="60"/>
        <w:gridCol w:w="1105"/>
        <w:gridCol w:w="60"/>
        <w:gridCol w:w="122"/>
        <w:gridCol w:w="78"/>
        <w:gridCol w:w="1060"/>
        <w:gridCol w:w="470"/>
        <w:gridCol w:w="74"/>
        <w:gridCol w:w="100"/>
        <w:gridCol w:w="1356"/>
        <w:gridCol w:w="70"/>
      </w:tblGrid>
      <w:tr>
        <w:trPr/>
        <w:tc>
          <w:tcPr>
            <w:tcW w:w="99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569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1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70" w:type="dxa"/>
            <w:tcBorders/>
            <w:vAlign w:val="bottom"/>
          </w:tcPr>
          <w:p>
            <w:pPr>
              <w:pStyle w:val="TableContents"/>
              <w:bidi w:val="0"/>
              <w:spacing w:before="0" w:after="283"/>
              <w:jc w:val="left"/>
              <w:rPr/>
            </w:pPr>
            <w:r>
              <w:rPr/>
              <w:t> </w:t>
            </w:r>
          </w:p>
        </w:tc>
      </w:tr>
      <w:tr>
        <w:trPr/>
        <w:tc>
          <w:tcPr>
            <w:tcW w:w="9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32"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w:t>
            </w:r>
          </w:p>
        </w:tc>
        <w:tc>
          <w:tcPr>
            <w:tcW w:w="47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or</w:t>
              <w:br/>
              <w:t>Units of</w:t>
              <w:br/>
              <w:t>Stock that</w:t>
              <w:br/>
              <w:t>Have Not</w:t>
              <w:br/>
              <w:t>Vested (#)</w:t>
            </w:r>
          </w:p>
        </w:tc>
        <w:tc>
          <w:tcPr>
            <w:tcW w:w="47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br/>
              <w:t>of Shares or</w:t>
              <w:br/>
              <w:t>Units that</w:t>
              <w:br/>
              <w:t>Have Not</w:t>
              <w:br/>
              <w:t>Vested ($)(1)</w:t>
            </w:r>
          </w:p>
        </w:tc>
        <w:tc>
          <w:tcPr>
            <w:tcW w:w="70" w:type="dxa"/>
            <w:tcBorders/>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186,000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15.65</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1/1/2029</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94,594</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6,306</w:t>
            </w:r>
          </w:p>
        </w:tc>
        <w:tc>
          <w:tcPr>
            <w:tcW w:w="470" w:type="dxa"/>
            <w:tcBorders/>
            <w:shd w:fill="CCEEFF" w:val="clear"/>
            <w:vAlign w:val="bottom"/>
          </w:tcPr>
          <w:p>
            <w:pPr>
              <w:pStyle w:val="TableContents"/>
              <w:bidi w:val="0"/>
              <w:spacing w:before="0" w:after="283"/>
              <w:jc w:val="left"/>
              <w:rPr/>
            </w:pPr>
            <w:r>
              <w:rPr/>
              <w:t>(2)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21.44</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3/3/2030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84,363</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34,737</w:t>
            </w:r>
          </w:p>
        </w:tc>
        <w:tc>
          <w:tcPr>
            <w:tcW w:w="470" w:type="dxa"/>
            <w:tcBorders/>
            <w:shd w:fill="CCEEFF" w:val="clear"/>
            <w:vAlign w:val="bottom"/>
          </w:tcPr>
          <w:p>
            <w:pPr>
              <w:pStyle w:val="TableContents"/>
              <w:bidi w:val="0"/>
              <w:spacing w:before="0" w:after="283"/>
              <w:jc w:val="left"/>
              <w:rPr/>
            </w:pPr>
            <w:r>
              <w:rPr/>
              <w:t>(3)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16.02</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2/3/2031</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62,500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62,500</w:t>
            </w:r>
          </w:p>
        </w:tc>
        <w:tc>
          <w:tcPr>
            <w:tcW w:w="470" w:type="dxa"/>
            <w:tcBorders/>
            <w:shd w:fill="CCEEFF" w:val="clear"/>
            <w:vAlign w:val="bottom"/>
          </w:tcPr>
          <w:p>
            <w:pPr>
              <w:pStyle w:val="TableContents"/>
              <w:bidi w:val="0"/>
              <w:spacing w:before="0" w:after="283"/>
              <w:jc w:val="left"/>
              <w:rPr/>
            </w:pPr>
            <w:r>
              <w:rPr/>
              <w:t>(4)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6/9/2031</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144,375</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170,625</w:t>
            </w:r>
          </w:p>
        </w:tc>
        <w:tc>
          <w:tcPr>
            <w:tcW w:w="470" w:type="dxa"/>
            <w:tcBorders/>
            <w:shd w:fill="CCEEFF" w:val="clear"/>
            <w:vAlign w:val="bottom"/>
          </w:tcPr>
          <w:p>
            <w:pPr>
              <w:pStyle w:val="TableContents"/>
              <w:bidi w:val="0"/>
              <w:spacing w:before="0" w:after="283"/>
              <w:jc w:val="left"/>
              <w:rPr/>
            </w:pPr>
            <w:r>
              <w:rPr/>
              <w:t>(5)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2/1/2032</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110,500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110,500</w:t>
            </w:r>
          </w:p>
        </w:tc>
        <w:tc>
          <w:tcPr>
            <w:tcW w:w="470" w:type="dxa"/>
            <w:tcBorders/>
            <w:shd w:fill="CCEEFF" w:val="clear"/>
            <w:vAlign w:val="bottom"/>
          </w:tcPr>
          <w:p>
            <w:pPr>
              <w:pStyle w:val="TableContents"/>
              <w:bidi w:val="0"/>
              <w:spacing w:before="0" w:after="283"/>
              <w:jc w:val="left"/>
              <w:rPr/>
            </w:pPr>
            <w:r>
              <w:rPr/>
              <w:t>(6)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12/7/2032</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160,333</w:t>
            </w:r>
          </w:p>
        </w:tc>
        <w:tc>
          <w:tcPr>
            <w:tcW w:w="470" w:type="dxa"/>
            <w:tcBorders/>
            <w:shd w:fill="CCEEFF" w:val="clear"/>
            <w:vAlign w:val="bottom"/>
          </w:tcPr>
          <w:p>
            <w:pPr>
              <w:pStyle w:val="TableContents"/>
              <w:bidi w:val="0"/>
              <w:spacing w:before="0" w:after="283"/>
              <w:jc w:val="left"/>
              <w:rPr/>
            </w:pPr>
            <w:r>
              <w:rPr/>
              <w:t>(7)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218,053</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70,000</w:t>
            </w:r>
          </w:p>
        </w:tc>
        <w:tc>
          <w:tcPr>
            <w:tcW w:w="470" w:type="dxa"/>
            <w:tcBorders/>
            <w:shd w:fill="CCEEFF" w:val="clear"/>
            <w:vAlign w:val="bottom"/>
          </w:tcPr>
          <w:p>
            <w:pPr>
              <w:pStyle w:val="TableContents"/>
              <w:bidi w:val="0"/>
              <w:spacing w:before="0" w:after="283"/>
              <w:jc w:val="left"/>
              <w:rPr/>
            </w:pPr>
            <w:r>
              <w:rPr/>
              <w:t>(8)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95,200</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tcPr>
          <w:p>
            <w:pPr>
              <w:pStyle w:val="TableContents"/>
              <w:bidi w:val="0"/>
              <w:spacing w:before="0" w:after="0"/>
              <w:jc w:val="left"/>
              <w:rPr>
                <w:rFonts w:ascii="Times New Roman" w:hAnsi="Times New Roman"/>
                <w:sz w:val="20"/>
              </w:rPr>
            </w:pPr>
            <w:r>
              <w:rPr>
                <w:rFonts w:ascii="Times New Roman" w:hAnsi="Times New Roman"/>
                <w:sz w:val="20"/>
              </w:rPr>
              <w:t>Geoff MacKay</w:t>
            </w:r>
          </w:p>
        </w:tc>
        <w:tc>
          <w:tcPr>
            <w:tcW w:w="13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213,938</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(5) </w:t>
            </w:r>
          </w:p>
        </w:tc>
        <w:tc>
          <w:tcPr>
            <w:tcW w:w="7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1.84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4/30/2024</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353</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10/24/2026</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736</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0.91</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6/12/2027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5,908</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3/15/2028</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16.98</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2/24/2029</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29,531</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1,969</w:t>
            </w:r>
          </w:p>
        </w:tc>
        <w:tc>
          <w:tcPr>
            <w:tcW w:w="470" w:type="dxa"/>
            <w:tcBorders/>
            <w:shd w:fill="CCEEFF" w:val="clear"/>
            <w:vAlign w:val="bottom"/>
          </w:tcPr>
          <w:p>
            <w:pPr>
              <w:pStyle w:val="TableContents"/>
              <w:bidi w:val="0"/>
              <w:spacing w:before="0" w:after="283"/>
              <w:jc w:val="left"/>
              <w:rPr/>
            </w:pPr>
            <w:r>
              <w:rPr/>
              <w:t>(9)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20.98</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3/1/2030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18,229</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6,771</w:t>
            </w:r>
          </w:p>
        </w:tc>
        <w:tc>
          <w:tcPr>
            <w:tcW w:w="470" w:type="dxa"/>
            <w:tcBorders/>
            <w:shd w:fill="CCEEFF" w:val="clear"/>
            <w:vAlign w:val="bottom"/>
          </w:tcPr>
          <w:p>
            <w:pPr>
              <w:pStyle w:val="TableContents"/>
              <w:bidi w:val="0"/>
              <w:spacing w:before="0" w:after="283"/>
              <w:jc w:val="left"/>
              <w:rPr/>
            </w:pPr>
            <w:r>
              <w:rPr/>
              <w:t>(10)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14.57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1/3/2031</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32,583</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13,417</w:t>
            </w:r>
          </w:p>
        </w:tc>
        <w:tc>
          <w:tcPr>
            <w:tcW w:w="470" w:type="dxa"/>
            <w:tcBorders/>
            <w:shd w:fill="CCEEFF" w:val="clear"/>
            <w:vAlign w:val="bottom"/>
          </w:tcPr>
          <w:p>
            <w:pPr>
              <w:pStyle w:val="TableContents"/>
              <w:bidi w:val="0"/>
              <w:spacing w:before="0" w:after="283"/>
              <w:jc w:val="left"/>
              <w:rPr/>
            </w:pPr>
            <w:r>
              <w:rPr/>
              <w:t>(3)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16.02</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2/3/2031</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105,416</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124,584</w:t>
            </w:r>
          </w:p>
        </w:tc>
        <w:tc>
          <w:tcPr>
            <w:tcW w:w="470" w:type="dxa"/>
            <w:tcBorders/>
            <w:shd w:fill="CCEEFF" w:val="clear"/>
            <w:vAlign w:val="bottom"/>
          </w:tcPr>
          <w:p>
            <w:pPr>
              <w:pStyle w:val="TableContents"/>
              <w:bidi w:val="0"/>
              <w:spacing w:before="0" w:after="283"/>
              <w:jc w:val="left"/>
              <w:rPr/>
            </w:pPr>
            <w:r>
              <w:rPr/>
              <w:t>(5)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2/1/2032</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82,500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82,500</w:t>
            </w:r>
          </w:p>
        </w:tc>
        <w:tc>
          <w:tcPr>
            <w:tcW w:w="470" w:type="dxa"/>
            <w:tcBorders/>
            <w:shd w:fill="CCEEFF" w:val="clear"/>
            <w:vAlign w:val="bottom"/>
          </w:tcPr>
          <w:p>
            <w:pPr>
              <w:pStyle w:val="TableContents"/>
              <w:bidi w:val="0"/>
              <w:spacing w:before="0" w:after="283"/>
              <w:jc w:val="left"/>
              <w:rPr/>
            </w:pPr>
            <w:r>
              <w:rPr/>
              <w:t>(6)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12/7/3032</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18,172</w:t>
            </w:r>
          </w:p>
        </w:tc>
        <w:tc>
          <w:tcPr>
            <w:tcW w:w="470" w:type="dxa"/>
            <w:tcBorders/>
            <w:shd w:fill="CCEEFF" w:val="clear"/>
            <w:vAlign w:val="bottom"/>
          </w:tcPr>
          <w:p>
            <w:pPr>
              <w:pStyle w:val="TableContents"/>
              <w:bidi w:val="0"/>
              <w:spacing w:before="0" w:after="283"/>
              <w:jc w:val="left"/>
              <w:rPr/>
            </w:pPr>
            <w:r>
              <w:rPr/>
              <w:t>(11)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24,714</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149,333</w:t>
            </w:r>
          </w:p>
        </w:tc>
        <w:tc>
          <w:tcPr>
            <w:tcW w:w="470" w:type="dxa"/>
            <w:tcBorders/>
            <w:shd w:fill="CCEEFF" w:val="clear"/>
            <w:vAlign w:val="bottom"/>
          </w:tcPr>
          <w:p>
            <w:pPr>
              <w:pStyle w:val="TableContents"/>
              <w:bidi w:val="0"/>
              <w:spacing w:before="0" w:after="283"/>
              <w:jc w:val="left"/>
              <w:rPr/>
            </w:pPr>
            <w:r>
              <w:rPr/>
              <w:t>(12) </w:t>
            </w:r>
          </w:p>
        </w:tc>
        <w:tc>
          <w:tcPr>
            <w:tcW w:w="7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203,093</w:t>
            </w:r>
          </w:p>
        </w:tc>
        <w:tc>
          <w:tcPr>
            <w:tcW w:w="70" w:type="dxa"/>
            <w:tcBorders/>
            <w:shd w:fill="CCEEFF" w:val="clear"/>
            <w:vAlign w:val="bottom"/>
          </w:tcPr>
          <w:p>
            <w:pPr>
              <w:pStyle w:val="TableContents"/>
              <w:bidi w:val="0"/>
              <w:spacing w:before="0" w:after="283"/>
              <w:jc w:val="left"/>
              <w:rPr/>
            </w:pPr>
            <w:r>
              <w:rPr/>
              <w:t> </w:t>
            </w:r>
          </w:p>
        </w:tc>
      </w:tr>
      <w:tr>
        <w:trPr/>
        <w:tc>
          <w:tcPr>
            <w:tcW w:w="991" w:type="dxa"/>
            <w:tcBorders/>
          </w:tcPr>
          <w:p>
            <w:pPr>
              <w:pStyle w:val="TableContents"/>
              <w:bidi w:val="0"/>
              <w:spacing w:before="0" w:after="0"/>
              <w:jc w:val="left"/>
              <w:rPr>
                <w:rFonts w:ascii="Times New Roman" w:hAnsi="Times New Roman"/>
                <w:sz w:val="20"/>
              </w:rPr>
            </w:pPr>
            <w:r>
              <w:rPr>
                <w:rFonts w:ascii="Times New Roman" w:hAnsi="Times New Roman"/>
                <w:sz w:val="20"/>
              </w:rPr>
              <w:t>Essra Ridha</w:t>
            </w:r>
          </w:p>
        </w:tc>
        <w:tc>
          <w:tcPr>
            <w:tcW w:w="13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65,000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55,000</w:t>
            </w:r>
          </w:p>
        </w:tc>
        <w:tc>
          <w:tcPr>
            <w:tcW w:w="470" w:type="dxa"/>
            <w:tcBorders/>
            <w:vAlign w:val="bottom"/>
          </w:tcPr>
          <w:p>
            <w:pPr>
              <w:pStyle w:val="TableContents"/>
              <w:bidi w:val="0"/>
              <w:spacing w:before="0" w:after="283"/>
              <w:jc w:val="left"/>
              <w:rPr/>
            </w:pPr>
            <w:r>
              <w:rPr/>
              <w:t>(13) </w:t>
            </w:r>
          </w:p>
        </w:tc>
        <w:tc>
          <w:tcPr>
            <w:tcW w:w="7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5.67</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10/31/2023</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991"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71,042</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83,958</w:t>
            </w:r>
          </w:p>
        </w:tc>
        <w:tc>
          <w:tcPr>
            <w:tcW w:w="470" w:type="dxa"/>
            <w:tcBorders/>
            <w:vAlign w:val="bottom"/>
          </w:tcPr>
          <w:p>
            <w:pPr>
              <w:pStyle w:val="TableContents"/>
              <w:bidi w:val="0"/>
              <w:spacing w:before="0" w:after="283"/>
              <w:jc w:val="left"/>
              <w:rPr/>
            </w:pPr>
            <w:r>
              <w:rPr/>
              <w:t>(14) </w:t>
            </w:r>
          </w:p>
        </w:tc>
        <w:tc>
          <w:tcPr>
            <w:tcW w:w="7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1.84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2/1/2032</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991"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91,500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91,500</w:t>
            </w:r>
          </w:p>
        </w:tc>
        <w:tc>
          <w:tcPr>
            <w:tcW w:w="470" w:type="dxa"/>
            <w:tcBorders/>
            <w:vAlign w:val="bottom"/>
          </w:tcPr>
          <w:p>
            <w:pPr>
              <w:pStyle w:val="TableContents"/>
              <w:bidi w:val="0"/>
              <w:spacing w:before="0" w:after="283"/>
              <w:jc w:val="left"/>
              <w:rPr/>
            </w:pPr>
            <w:r>
              <w:rPr/>
              <w:t>(15) </w:t>
            </w:r>
          </w:p>
        </w:tc>
        <w:tc>
          <w:tcPr>
            <w:tcW w:w="7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0.79</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12/7/2032</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991"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131,333</w:t>
            </w:r>
          </w:p>
        </w:tc>
        <w:tc>
          <w:tcPr>
            <w:tcW w:w="470" w:type="dxa"/>
            <w:tcBorders/>
            <w:vAlign w:val="bottom"/>
          </w:tcPr>
          <w:p>
            <w:pPr>
              <w:pStyle w:val="TableContents"/>
              <w:bidi w:val="0"/>
              <w:spacing w:before="0" w:after="283"/>
              <w:jc w:val="left"/>
              <w:rPr/>
            </w:pPr>
            <w:r>
              <w:rPr/>
              <w:t>(16) </w:t>
            </w:r>
          </w:p>
        </w:tc>
        <w:tc>
          <w:tcPr>
            <w:tcW w:w="7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178,613</w:t>
            </w:r>
          </w:p>
        </w:tc>
        <w:tc>
          <w:tcPr>
            <w:tcW w:w="7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is based on the fair market value of AVROBIO common stock as of December 29, 2023, the last trading day of 2023, which was $1.36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March 4, 2021 and the remainder vest in equal monthly installments until the option is fully vested on March 4, 2024,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February 4, 2022 and the remainder vest in equal monthly installments until the option is fully vested on February 4, 2025,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50% of the shares vested on June 10, 2023 and the remainder will vest on June 10, 2024,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February 2, 2023 and the remainder vest in equal monthly installments until the option is fully vested on February 2, 2026, subject to the continued employment of the executive officer through each such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50% of the shares vested on December 8, 2023 and the remainder vest in equal monthly installments until the option is fully vested on December 8, 2024,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160,333 shares, which vests in four equal annual installments commencing on the first anniversary of February 1, 2023,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70,000 shares, which vests in four equal annual installments commencing on the first anniversary of July 1, 2023,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March 2, 2021 and the remainder vest in equal monthly installments until the option is fully vested on March 2, 2024,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January 4, 2022 and the remainder vest in equal monthly installments until the option is fully vested on January 4, 2025,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36,344 shares, which vests as follows: 50% of the shares vested on June 10, 2023 and the remaining 50% vest on June 10, 2024,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149,333 shares, which vests in four equal annual installments commencing on the first anniversary of February 1, 2023,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October 19, 2023 and the remainder vest in equal monthly installments until the option is fully vested on October 19, 2026,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February 2, 2024 and the remainder vest in equal monthly installments until the option is fully vested on February 2, 2027,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50% of the shares will vest on December 8, 2024 and the remainder will vest in 12 equal monthly installments until the option is fully vested on December 8, 2025, subject to the continued employment of the executive officer through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131,333 shares, which vests in four equal annual installments commencing on the first anniversary of February 1, 2023, subject to the continued employment of the executive officer through each such vesting date.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AVROBIOs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AVROBIO entered into employment agreements with each of Erik Ostrowski, Geoff MacKay, Azadeh Golipour and Essra Ridha which set forth the initial terms and conditions of each executives employment with AVROBIO, including base salary, target annual bonus opportunity and standard employee benefit plan participation. These employment agreements provide for at will employment. The material terms of the employment agreements with the AVROBIO 2023 named executive officers are described below. The terms change of control, cause and good reason referred to below are defined in the applicable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Erik Ostrowski </w:t>
      </w:r>
    </w:p>
    <w:p>
      <w:pPr>
        <w:pStyle w:val="TextBody"/>
        <w:bidi w:val="0"/>
        <w:spacing w:before="120" w:after="0"/>
        <w:jc w:val="left"/>
        <w:rPr>
          <w:rFonts w:ascii="Times New Roman" w:hAnsi="Times New Roman"/>
          <w:sz w:val="20"/>
        </w:rPr>
      </w:pPr>
      <w:r>
        <w:rPr>
          <w:rFonts w:ascii="Times New Roman" w:hAnsi="Times New Roman"/>
          <w:sz w:val="20"/>
        </w:rPr>
        <w:t xml:space="preserve">On December 17, 2018, AVROBIO entered into an employment agreement with Erik Ostrowski for the position of Chief Financial Officer. Under the terms of the employment agreement, Mr. Ostrowski is entitled to receive an annual base salary of $412,000, subject to annual review by the AVROBIO Board or AVROBIO Compensation Committee. In addition, Mr. Ostrowski is eligible to receive cash incentive compensation as determined by the AVROBIO Board or AVROBIO Compensation Committee from time to time, with an initial target annual bonus of 40% of his annual base salary. Mr. Ostrowski also received a signing bonus in the form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a one-time cash bonus of $170,000 and (ii) an RSU for 2,300 shares of AVROBIO common stock (the Signing Bonus Award). In addition, pursuant to the terms of the employment agreement, Mr. Ostrowski was granted an option to purchase 186,000 shares of AVROBIO common stock (the New Hire Award). Each of the Signing Bonus Award and the New Hire Award will vest over four years, with 25% of the shares vesting on the one-year anniversary of Mr. Ostrowskis start date and the remaining shares vesting in thirty-six equal monthly installments thereafter, subject to Mr. Ostrowskis continued service to AVROBIO through the applicable vesting date. Mr. Ostrowski also entered into an Employee Confidentiality, Assignment and Noncompetition Agreement with AVROBIO, the terms of which are incorporated into his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Mr. Ostrowskis employment agreement provides that, in the event that his employment is terminated by AVROBIO without cause or by Mr. Ostrowski with good reason (as each term is defined in his employment agreement),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in equal installments over nine months in accordance with AVROBIOs normal payroll cycle,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nine months, and (iii) acceleration of vesting of all stock options and other stock based awards held by Mr. Ostrowski that would have vested if 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Ostrowskis employment is terminated by AVROBIO without cause or by Mr. Ostrowski for good reason, in each case, within three months prior to or 18 months after a change in control, subject to the execution and effectiveness of a separation agreement and release, he will be entitled to receive (i) a lump sum amount equal to 100% of the sum of his current base salary (or his base salary in effect immediately prior to the change in control if higher) plus his target bonus for that year, less any amount paid to Mr. Ostrowski in the same calendar year under the Employee Confidentiality, Assignment and Noncompetition Agreement,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12 months, and (iii) full acceleration of vesting of all time-based stock options and other time-based stock-based awards held by Mr. Ostrowski.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Geoff MacKay </w:t>
      </w:r>
    </w:p>
    <w:p>
      <w:pPr>
        <w:pStyle w:val="TextBody"/>
        <w:bidi w:val="0"/>
        <w:spacing w:before="120" w:after="0"/>
        <w:jc w:val="left"/>
        <w:rPr>
          <w:rFonts w:ascii="Times New Roman" w:hAnsi="Times New Roman"/>
          <w:sz w:val="20"/>
        </w:rPr>
      </w:pPr>
      <w:r>
        <w:rPr>
          <w:rFonts w:ascii="Times New Roman" w:hAnsi="Times New Roman"/>
          <w:sz w:val="20"/>
        </w:rPr>
        <w:t xml:space="preserve">Prior to his resignation effective on May 1, 2023, Geoff MacKay, AVROBIOs former President and Chief Executive Officer, was party to an employment agreement with AVROBIO. Effective upon the closing of AVROBIOs IPO in June 2018, AVROBIO entered into an amended employment agreement with Mr. MacKay. Under the terms of the employment agreement, Mr. MacKay was entitled to receive an annual base salary of $500,000, subject to annual review by or AVROBIO Compensation Committee. In addition, Mr. MacKay was eligible to receive cash incentive compensation as determined by the AVROBIO Board or AVROBIO Compensation Committee from time to time, with an initial target annual bonus of 50% of his annual base salary. Mr. MacKay also previously entered into a Confidentiality and IP Assignment Agreement with AVROBIO, the terms of which were incorporated into his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Mr. MacKays employment agreement provided that, in the event that his employment is terminated by AVROBIO without cause or by Mr. MacKay with good reason (as each term is defined in his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subject to the execution and effectiveness of a separation agreement and release, he would have been entitled to receive (i) an amount equal to 100% of his base salary, provided that Mr. MacKay hadnt breached any of the confidentiality, noncompetition or cooperation provisions set forth in, or incorporated into, the new employment agreement, payable in equal installments over 12 months in accordance with AVROBIOs normal payroll cycle, and (ii) if Mr. MacKay was participating in AVROBIOs group health plan and elects COBRA health continuation, a monthly cash payment equal to the monthly employer contribution that AVROBIO would have made to provide health insurance to Mr. MacKay had he remained employed with AVROBIO for up to 12 months, and (iii) acceleration of vesting of all stock options and other stock based awards held by Mr. MacKay that would have vested if he had remained employed by AVROBIO for an additional 12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MacKay at least 12 months prior to the effective date of the employment agreement would have accelerated and become fully exercisable or non-forfeitable immediately prior to the change in control. In addition, in the event that Mr. MacKays employment was terminated by AVROBIO without cause or by Mr. MacKay for good reason, in each case, within three months prior to or 18 months after a change in control, subject to the execution and effectiveness of a separation agreement and release, he would have been entitled to receive (i) a lump sum amount equal to 150% of the sum of his current base salary (or his base salary in effect immediately prior to the change in control if higher) plus his target bonus for that year, (ii) if Mr. MacKay was participating in AVROBIOs group health plan and elects COBRA health continuation, a monthly cash payment equal to the monthly employer contribution that AVROBIO would have made to provide health insurance to Mr. MacKay had he remained employed with AVROBIO for up to 18 months, and (iii) full acceleration of vesting of all time-based stock options and other time-based stock-based awards held by Mr. MacKay.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Azadeh Golipour </w:t>
      </w:r>
    </w:p>
    <w:p>
      <w:pPr>
        <w:pStyle w:val="TextBody"/>
        <w:bidi w:val="0"/>
        <w:spacing w:before="120" w:after="0"/>
        <w:jc w:val="left"/>
        <w:rPr>
          <w:rFonts w:ascii="Times New Roman" w:hAnsi="Times New Roman"/>
          <w:sz w:val="20"/>
        </w:rPr>
      </w:pPr>
      <w:r>
        <w:rPr>
          <w:rFonts w:ascii="Times New Roman" w:hAnsi="Times New Roman"/>
          <w:sz w:val="20"/>
        </w:rPr>
        <w:t xml:space="preserve">Azadeh Golipour was previously employed by AVROBIO pursuant to an offer letter dated December 22, 2021. On January 26, 2022, AVROBIO entered into an employment agreement with Dr. Golipour which sets forth the terms of her employment as AVROBIOs Chief Technology Officer and supersedes her previous offer letter in the entirety. Under the terms of the employment agreement, Dr. Golipour is entitled to receive an annual base salary of $342,000, subject to annual review by the AVROBIO Board or AVROBIO Compensation Committee. In addition, Dr. Golipour is eligible to receive cash incentive compensation as determined by the AVROBIO Board or AVROBIO Compensation Committee from time to time, with an initial target annual bonus of 35% of her annual base salary. In addition, Dr. Golipour is eligible to receive a reimbursement of relocation costs associated with relocating from Toronto, Ontario to Cambridge, Massachusetts (and tax gross-up on such reimbursements) and additional $10,000 lump sum payment. Until Dr. Golipour is no longer treated as a Canadian tax resident, Dr. Golipour is also eligible to receive a $25,000 annual travel allowance, a $5,000 per month housing allowance for 2022, up to $2,500 per year for tax advice and preparation, and tax gross-up on such payments and benefits. Dr. Golipour also entered into an Employee Confidentiality, Assignment and Noncompetition Agreement with AVROBIO, dated January 24, 2022. </w:t>
      </w:r>
    </w:p>
    <w:p>
      <w:pPr>
        <w:pStyle w:val="TextBody"/>
        <w:bidi w:val="0"/>
        <w:spacing w:before="240" w:after="0"/>
        <w:jc w:val="left"/>
        <w:rPr>
          <w:rFonts w:ascii="Times New Roman" w:hAnsi="Times New Roman"/>
          <w:sz w:val="20"/>
        </w:rPr>
      </w:pPr>
      <w:r>
        <w:rPr>
          <w:rFonts w:ascii="Times New Roman" w:hAnsi="Times New Roman"/>
          <w:sz w:val="20"/>
        </w:rPr>
        <w:t xml:space="preserve">Dr. Golipours employment agreement provides that, in the event that her employment is terminated by AVROBIO without cause or by Dr. Golipour with good reason (as each term is defined in her employment agreement), subject to the execution and effectiveness of a separation agreement and release, she will be entitled to receive (i) an amount equal to 75% of her base salary less any garden leave pay paid to Dr. Golipour in the same calendar year under the Employee Confidentiality, Assignment and Noncompetition Agreement, provided that Dr. Golipour has not breached any of the confidentiality, noncompetition or cooperation provisions set forth in, or incorporated into, the employment agreement, payable in equal installments over nine months in accordance with AVROBIOs normal payroll cycle, (ii) if Dr. Golipour was participating in AVROBIOs group health plan and elects COBRA health continuation, a monthly cash payment equal to the monthly employer contribution that AVROBIO would have made to provide health insurance to Dr. Golipour had she remained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employed with AVROBIO for up to nine months, and (iii) acceleration of vesting of all stock options and other stock based awards held by Dr. Golipour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Golipours employment is terminated by AVROBIO without cause or by Dr. Golipour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less any amount paid to Dr. Golipour in the same calendar year under the Employee Confidentiality, Assignment and Noncompetition Agreement, (ii) if Dr. Golipour was participating in AVROBIOs group health plan and elects COBRA health continuation, a monthly cash payment equal to the monthly employer contribution that AVROBIO would have made to provide health insurance to Dr. Golipour had she remained employed with AVROBIO for up to 12 months, and (iii) full acceleration of vesting of all time-based stock options and other time-based stock-based awards held by Dr. Golipour.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Essra Ridha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AVROBIO entered into an employment agreement with Essra Ridha for the position of Chief Medical Officer. Under the terms of the employment agreement, Dr. Ridha is entitled to receive an annual base salary of £310,000. In addition, Dr. Ridha is eligible to receive cash incentive compensation as determined by the AVROBIO Board or AVROBIO Compensation Committee from time to time, with an initial target annual bonus of 40% of her annual base salary. Dr. Ridha also received a signing bonus in the form of a one-time signing bonus of £52,000 and was eligible to receive a one-time discretionary bonus of £60,000 based on the successful completion within the first six (6) months of her employment of key objectives defined by the Chief Executive Officer. In addition, pursuant to the terms of the employment agreement, Dr. Ridha was granted an option to purchase 120,000 shares of AVROBIOs common stock, which will vest over four years, with 25% of the shares vesting on the one-year anniversary of Dr. Ridha start date and the remaining shares vesting in thirty-six equal monthly installments thereafter, subject to Dr. Ridhas continued service to AVROBIO through the applicable vesting date. Dr. Ridha is subject to confidentiality, non-solicitation and noncompetition provisions provided in her employment agreement with AVROBIO. </w:t>
      </w:r>
    </w:p>
    <w:p>
      <w:pPr>
        <w:pStyle w:val="TextBody"/>
        <w:bidi w:val="0"/>
        <w:spacing w:before="240" w:after="0"/>
        <w:jc w:val="left"/>
        <w:rPr>
          <w:rFonts w:ascii="Times New Roman" w:hAnsi="Times New Roman"/>
          <w:sz w:val="20"/>
        </w:rPr>
      </w:pPr>
      <w:r>
        <w:rPr>
          <w:rFonts w:ascii="Times New Roman" w:hAnsi="Times New Roman"/>
          <w:sz w:val="20"/>
        </w:rPr>
        <w:t xml:space="preserve">Dr. Ridhas employment agreement provides that, in the event that her employment is terminated by AVROBIO without cause or by Dr. Ridha with good reason (as each term is defined in her employment agreement), subject to the execution and effectiveness of a separation agreement and release, she will be entitled to receive (i) an amount equal to 75% of her base salary, (ii) nine (9) months of benefits allowance, which would include medical, dental, vision, and leisure travel insurance benefits, and (iii) acceleration of vesting of all stock options and other stock based awards held by Dr. Ridha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Ridhas employment is terminated by AVROBIO without cause or by Dr. Ridha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(ii) 12 months of benefits allowance, which would include medical, dental, vision, and leisure travel insurance benefits, and (iii) full acceleration of vesting of all time-based stock options and other time-based stock-based awards held by Dr. Ridha.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AVROBIO believes that although a portion of the compensation provided to its executive officers and other employees is performance-based, its executive compensation program does not encourage excessive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unnecessary risk taking. AVROBIOs compensation programs are designed to encourage its executive officers and other employees to remain focused on both short-term and long-term strategic goals, in particular in connection with its pay-for-performance compensation philosophy. As a result, AVROBIO does not believe that AVROBIOs compensation programs are reasonably likely to have a material adverse effect on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1" w:name="toc770053_98"/>
      <w:bookmarkEnd w:id="101"/>
      <w:r>
        <w:rPr>
          <w:rFonts w:ascii="Times New Roman" w:hAnsi="Times New Roman"/>
          <w:b/>
          <w:sz w:val="20"/>
        </w:rPr>
        <w:t xml:space="preserve">AVROBIO DIRECTOR COMPENSATION </w:t>
      </w:r>
    </w:p>
    <w:p>
      <w:pPr>
        <w:pStyle w:val="TextBody"/>
        <w:bidi w:val="0"/>
        <w:spacing w:before="240" w:after="0"/>
        <w:jc w:val="left"/>
        <w:rPr>
          <w:rFonts w:ascii="Times New Roman" w:hAnsi="Times New Roman"/>
          <w:sz w:val="20"/>
        </w:rPr>
      </w:pPr>
      <w:r>
        <w:rPr>
          <w:rFonts w:ascii="Times New Roman" w:hAnsi="Times New Roman"/>
          <w:sz w:val="20"/>
        </w:rPr>
        <w:t>The following table presents the total compensation for each person who served as a non-employee member of the AVROBIO Board and received compensation for such service during the fiscal year ended December 31, 2023. Other than as set forth in the table and described more fully below, AVROBIO did not pay any compensation, make any equity awards or non-equity awards to, or pay any other compensation to any of the non-employee members of the AVROBIO Board in 2023. AVROBIO reimburses non-employee members of the AVROBIO Board for reasonable travel expenses. Mr. MacKay, AVROBIOs former President and Chief Executive Officer, did not receive any compensation for his service as a member of the AVROBIO Board in 2023. Mr. MacKays compensation for service as an employee for fiscal year 2023 is presented in the section titled </w:t>
      </w:r>
      <w:r>
        <w:rPr>
          <w:rFonts w:ascii="Times New Roman" w:hAnsi="Times New Roman"/>
          <w:i/>
          <w:sz w:val="20"/>
        </w:rPr>
        <w:t>Executive Compensation2023 Summary Compensation Table</w:t>
      </w:r>
      <w:r>
        <w:rPr>
          <w:rFonts w:ascii="Times New Roman" w:hAnsi="Times New Roman"/>
          <w:sz w:val="20"/>
        </w:rPr>
        <w:t xml:space="preserve"> beginning on page 284 of this proxy statement/prospectus.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129"/>
        <w:gridCol w:w="361"/>
        <w:gridCol w:w="175"/>
        <w:gridCol w:w="1993"/>
        <w:gridCol w:w="60"/>
        <w:gridCol w:w="361"/>
        <w:gridCol w:w="171"/>
        <w:gridCol w:w="1956"/>
        <w:gridCol w:w="60"/>
        <w:gridCol w:w="361"/>
        <w:gridCol w:w="70"/>
        <w:gridCol w:w="810"/>
        <w:gridCol w:w="65"/>
      </w:tblGrid>
      <w:tr>
        <w:trPr/>
        <w:tc>
          <w:tcPr>
            <w:tcW w:w="212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12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361" w:type="dxa"/>
            <w:tcBorders/>
            <w:vAlign w:val="bottom"/>
          </w:tcPr>
          <w:p>
            <w:pPr>
              <w:pStyle w:val="TableContents"/>
              <w:bidi w:val="0"/>
              <w:spacing w:before="0" w:after="283"/>
              <w:jc w:val="left"/>
              <w:rPr/>
            </w:pPr>
            <w:r>
              <w:rPr/>
              <w:t>  </w:t>
            </w:r>
          </w:p>
        </w:tc>
        <w:tc>
          <w:tcPr>
            <w:tcW w:w="2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CASH</w:t>
              <w:br/>
              <w:t>($)</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w:t>
              <w:br/>
              <w:t>($)(1)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5"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Bruce Booth, D.Phil.(2)</w:t>
            </w:r>
          </w:p>
        </w:tc>
        <w:tc>
          <w:tcPr>
            <w:tcW w:w="3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85,000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right"/>
              <w:rPr/>
            </w:pPr>
            <w:r>
              <w:rPr/>
              <w:t>13,968</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98,968</w:t>
            </w:r>
          </w:p>
        </w:tc>
        <w:tc>
          <w:tcPr>
            <w:tcW w:w="65"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0"/>
              <w:jc w:val="left"/>
              <w:rPr>
                <w:rFonts w:ascii="Times New Roman" w:hAnsi="Times New Roman"/>
                <w:sz w:val="20"/>
              </w:rPr>
            </w:pPr>
            <w:r>
              <w:rPr>
                <w:rFonts w:ascii="Times New Roman" w:hAnsi="Times New Roman"/>
                <w:sz w:val="20"/>
              </w:rPr>
              <w:t>Ian Clark(3)</w:t>
            </w:r>
          </w:p>
        </w:tc>
        <w:tc>
          <w:tcPr>
            <w:tcW w:w="3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56" w:type="dxa"/>
            <w:tcBorders/>
            <w:vAlign w:val="bottom"/>
          </w:tcPr>
          <w:p>
            <w:pPr>
              <w:pStyle w:val="TableContents"/>
              <w:bidi w:val="0"/>
              <w:spacing w:before="0" w:after="283"/>
              <w:jc w:val="right"/>
              <w:rPr/>
            </w:pPr>
            <w:r>
              <w:rPr/>
              <w:t>13,968</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63,968</w:t>
            </w:r>
          </w:p>
        </w:tc>
        <w:tc>
          <w:tcPr>
            <w:tcW w:w="65"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Phillip Donenberg(4)</w:t>
            </w:r>
          </w:p>
        </w:tc>
        <w:tc>
          <w:tcPr>
            <w:tcW w:w="3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59,000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right"/>
              <w:rPr/>
            </w:pPr>
            <w:r>
              <w:rPr/>
              <w:t>13,968</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72,968</w:t>
            </w:r>
          </w:p>
        </w:tc>
        <w:tc>
          <w:tcPr>
            <w:tcW w:w="65"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0"/>
              <w:jc w:val="left"/>
              <w:rPr>
                <w:rFonts w:ascii="Times New Roman" w:hAnsi="Times New Roman"/>
                <w:sz w:val="20"/>
              </w:rPr>
            </w:pPr>
            <w:r>
              <w:rPr>
                <w:rFonts w:ascii="Times New Roman" w:hAnsi="Times New Roman"/>
                <w:sz w:val="20"/>
              </w:rPr>
              <w:t>Gail Farfel(5)</w:t>
            </w:r>
          </w:p>
        </w:tc>
        <w:tc>
          <w:tcPr>
            <w:tcW w:w="3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47,500</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56" w:type="dxa"/>
            <w:tcBorders/>
            <w:vAlign w:val="bottom"/>
          </w:tcPr>
          <w:p>
            <w:pPr>
              <w:pStyle w:val="TableContents"/>
              <w:bidi w:val="0"/>
              <w:spacing w:before="0" w:after="283"/>
              <w:jc w:val="right"/>
              <w:rPr/>
            </w:pPr>
            <w:r>
              <w:rPr/>
              <w:t>13,968</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61,468</w:t>
            </w:r>
          </w:p>
        </w:tc>
        <w:tc>
          <w:tcPr>
            <w:tcW w:w="65"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Annalisa Jenkins, M.B.B.S., F.R.C.P.(6)</w:t>
            </w:r>
          </w:p>
        </w:tc>
        <w:tc>
          <w:tcPr>
            <w:tcW w:w="3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63,000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right"/>
              <w:rPr/>
            </w:pPr>
            <w:r>
              <w:rPr/>
              <w:t>13,968</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76,968</w:t>
            </w:r>
          </w:p>
        </w:tc>
        <w:tc>
          <w:tcPr>
            <w:tcW w:w="65"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Paige, Ph.D.(7)</w:t>
            </w:r>
          </w:p>
        </w:tc>
        <w:tc>
          <w:tcPr>
            <w:tcW w:w="3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956" w:type="dxa"/>
            <w:tcBorders/>
            <w:vAlign w:val="bottom"/>
          </w:tcPr>
          <w:p>
            <w:pPr>
              <w:pStyle w:val="TableContents"/>
              <w:bidi w:val="0"/>
              <w:spacing w:before="0" w:after="283"/>
              <w:jc w:val="right"/>
              <w:rPr/>
            </w:pPr>
            <w:r>
              <w:rPr/>
              <w:t>13,968</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72,968</w:t>
            </w:r>
          </w:p>
        </w:tc>
        <w:tc>
          <w:tcPr>
            <w:tcW w:w="65"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Philip Vickers, Ph.D.(8)</w:t>
            </w:r>
          </w:p>
        </w:tc>
        <w:tc>
          <w:tcPr>
            <w:tcW w:w="3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993" w:type="dxa"/>
            <w:tcBorders/>
            <w:shd w:fill="CCEEFF" w:val="clear"/>
            <w:vAlign w:val="bottom"/>
          </w:tcPr>
          <w:p>
            <w:pPr>
              <w:pStyle w:val="TableContents"/>
              <w:bidi w:val="0"/>
              <w:spacing w:before="0" w:after="283"/>
              <w:jc w:val="right"/>
              <w:rPr/>
            </w:pPr>
            <w:r>
              <w:rPr/>
              <w:t>60,000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right"/>
              <w:rPr/>
            </w:pPr>
            <w:r>
              <w:rPr/>
              <w:t>13,968</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73,968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option awards granted or modified in 2023 in accordance with FASB ASC 718. Such grant date fair value does not take into account any estimated forfeitures related to service-vesting conditions. See Note 9 of Notes to Consolidated Financial Statements in AVROBIOs Annual Report on Form 10-K filed with the SEC on March 14, 2024 for a discussion of assumptions made by AVROBIO in determining the aggregate grant date fair value of AVROBIOs option awards. These amounts do not correspond to the actual value that may be recognized by the director upon vesting of applicable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Booth held options to purchase a total of 93,712 shares of AVROBIO common stock, of which 76,069 shares were vested as of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Mr. Clark held options to purchase an aggregate of 172,734 shares of AVROBIO common stock, of which 155,091 shares were vested as of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Mr. Donenberg held options to purchase an aggregate of 112,455 shares of AVROBIO common stock, of which 94,812 shares were vested as of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Farfel held options to purchase an aggregate of 98,037 shares of AVROBIO common stock, of which 80,394 shares were vested as of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Jenkins held options to purchase an aggregate of 133,223 shares of AVROBIO common stock, of which 115,580 shares were vested as of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Paige held options to purchase an aggregate of 93,712 shares of AVROBIO common stock, of which 76,069 shares were vested as of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Vickers held options to purchase an aggregate of 112,455 shares of AVROBIO common stock, of which 94,812 shares were vested as of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has adopted a non-employee director compensation policy that is designed to enable AVROBIO to attract and retain, on a long-term basis, highly qualified non-employee directors. Pursuant to AVROBIOs director compensation policy, each director who is not an employee will be paid cash compensation as set forth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26"/>
        <w:gridCol w:w="525"/>
        <w:gridCol w:w="147"/>
        <w:gridCol w:w="1681"/>
        <w:gridCol w:w="60"/>
        <w:gridCol w:w="525"/>
        <w:gridCol w:w="147"/>
        <w:gridCol w:w="1681"/>
        <w:gridCol w:w="63"/>
      </w:tblGrid>
      <w:tr>
        <w:trPr/>
        <w:tc>
          <w:tcPr>
            <w:tcW w:w="2926"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w:t>
              <w:br/>
              <w:t>CHAIRPERSON</w:t>
              <w:br/>
              <w:t>MEMBER</w:t>
              <w:br/>
              <w:t>ANNUAL FEE</w:t>
              <w:br/>
              <w:t>($)</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CHAIRPERSON</w:t>
              <w:br/>
              <w:t>ANNUAL FEE</w:t>
              <w:br/>
              <w:t>($)</w:t>
            </w:r>
          </w:p>
        </w:tc>
        <w:tc>
          <w:tcPr>
            <w:tcW w:w="63" w:type="dxa"/>
            <w:tcBorders/>
            <w:vAlign w:val="bottom"/>
          </w:tcPr>
          <w:p>
            <w:pPr>
              <w:pStyle w:val="TableContents"/>
              <w:bidi w:val="0"/>
              <w:spacing w:before="0" w:after="283"/>
              <w:jc w:val="left"/>
              <w:rPr/>
            </w:pPr>
            <w:r>
              <w:rPr/>
              <w:t> </w:t>
            </w:r>
          </w:p>
        </w:tc>
      </w:tr>
      <w:tr>
        <w:trPr/>
        <w:tc>
          <w:tcPr>
            <w:tcW w:w="2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5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40,000</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72,500</w:t>
            </w:r>
          </w:p>
        </w:tc>
        <w:tc>
          <w:tcPr>
            <w:tcW w:w="63" w:type="dxa"/>
            <w:tcBorders/>
            <w:shd w:fill="CCEEFF" w:val="clear"/>
            <w:vAlign w:val="bottom"/>
          </w:tcPr>
          <w:p>
            <w:pPr>
              <w:pStyle w:val="TableContents"/>
              <w:bidi w:val="0"/>
              <w:spacing w:before="0" w:after="283"/>
              <w:jc w:val="left"/>
              <w:rPr/>
            </w:pPr>
            <w:r>
              <w:rPr/>
              <w:t> </w:t>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5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7,500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15,000</w:t>
            </w:r>
          </w:p>
        </w:tc>
        <w:tc>
          <w:tcPr>
            <w:tcW w:w="63" w:type="dxa"/>
            <w:tcBorders/>
            <w:vAlign w:val="bottom"/>
          </w:tcPr>
          <w:p>
            <w:pPr>
              <w:pStyle w:val="TableContents"/>
              <w:bidi w:val="0"/>
              <w:spacing w:before="0" w:after="283"/>
              <w:jc w:val="left"/>
              <w:rPr/>
            </w:pPr>
            <w:r>
              <w:rPr/>
              <w:t> </w:t>
            </w:r>
          </w:p>
        </w:tc>
      </w:tr>
      <w:tr>
        <w:trPr/>
        <w:tc>
          <w:tcPr>
            <w:tcW w:w="2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5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10,000</w:t>
            </w:r>
          </w:p>
        </w:tc>
        <w:tc>
          <w:tcPr>
            <w:tcW w:w="63" w:type="dxa"/>
            <w:tcBorders/>
            <w:shd w:fill="CCEEFF" w:val="clear"/>
            <w:vAlign w:val="bottom"/>
          </w:tcPr>
          <w:p>
            <w:pPr>
              <w:pStyle w:val="TableContents"/>
              <w:bidi w:val="0"/>
              <w:spacing w:before="0" w:after="283"/>
              <w:jc w:val="left"/>
              <w:rPr/>
            </w:pPr>
            <w:r>
              <w:rPr/>
              <w:t> </w:t>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w:t>
            </w:r>
          </w:p>
        </w:tc>
        <w:tc>
          <w:tcPr>
            <w:tcW w:w="5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4,000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8,000</w:t>
            </w:r>
          </w:p>
        </w:tc>
        <w:tc>
          <w:tcPr>
            <w:tcW w:w="63" w:type="dxa"/>
            <w:tcBorders/>
            <w:vAlign w:val="bottom"/>
          </w:tcPr>
          <w:p>
            <w:pPr>
              <w:pStyle w:val="TableContents"/>
              <w:bidi w:val="0"/>
              <w:spacing w:before="0" w:after="283"/>
              <w:jc w:val="left"/>
              <w:rPr/>
            </w:pPr>
            <w:r>
              <w:rPr/>
              <w:t> </w:t>
            </w:r>
          </w:p>
        </w:tc>
      </w:tr>
      <w:tr>
        <w:trPr/>
        <w:tc>
          <w:tcPr>
            <w:tcW w:w="2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Science and Technology Committee</w:t>
            </w:r>
          </w:p>
        </w:tc>
        <w:tc>
          <w:tcPr>
            <w:tcW w:w="5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7,500</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15,000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AVROBIOs director compensation policy, each non-employee director first elected or appointed to serve on the AVROBIO Board is granted an option award for a number of shares of AVROBIO common stock equivalent to 0.08% of the total number of common stock shares outstanding on the date of grant, which vests in 36 equal monthly installments over a three-year period, subject to the directors continued service through such vesting dates. In addition, on the date of each annual meeting of AVROBIO stockholders, each continuing non-employee director is now granted an option award for a number of shares of AVROBIO common stock equivalent to 0.04% of the total number of common stock shares outstanding on the date of grant, which vests in full upon the earlier to occur of the first anniversary of the date of grant or the date of AVROBIOs following annual meeting of stockholders, subject to continued service as a director through such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and AVROBIO Compensation Committee, in consultation with AVROBIOs compensation consultant, will continue to review non-employee director compensation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AVROBIO Board approved a special one-time cash payment of $20,000 for each of Bruce Booth, Ian Clark, Phillip Donenberg, Gail Farfel and Philip Vickers in their capacity as members of the Transaction Committee. This payment will be paid to each such member of the Transaction Committee immediately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2" w:name="toc770053_99"/>
      <w:bookmarkEnd w:id="102"/>
      <w:r>
        <w:rPr>
          <w:rFonts w:ascii="Times New Roman" w:hAnsi="Times New Roman"/>
          <w:b/>
          <w:sz w:val="20"/>
        </w:rPr>
        <w:t xml:space="preserve">AVROBIO 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December 31, 2023 regarding shares of AVROBIO common stock that may be issued under AVROBIOs equity compensation plans, consisting of AVROBIOs 2018 Plan, AVROBIOs 2015 Plan, AVROBIOs 2019 Inducement Plan, AVROBIOs 2020 Inducement Plan, and AVROBIOs 2018 ESPP.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92"/>
        <w:gridCol w:w="116"/>
        <w:gridCol w:w="129"/>
        <w:gridCol w:w="2122"/>
        <w:gridCol w:w="350"/>
        <w:gridCol w:w="116"/>
        <w:gridCol w:w="231"/>
        <w:gridCol w:w="1700"/>
        <w:gridCol w:w="60"/>
        <w:gridCol w:w="116"/>
        <w:gridCol w:w="97"/>
        <w:gridCol w:w="1787"/>
        <w:gridCol w:w="356"/>
      </w:tblGrid>
      <w:tr>
        <w:trPr/>
        <w:tc>
          <w:tcPr>
            <w:tcW w:w="1392"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3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16" w:type="dxa"/>
            <w:tcBorders/>
            <w:vAlign w:val="bottom"/>
          </w:tcPr>
          <w:p>
            <w:pPr>
              <w:pStyle w:val="TableContents"/>
              <w:bidi w:val="0"/>
              <w:spacing w:before="0" w:after="283"/>
              <w:jc w:val="left"/>
              <w:rPr/>
            </w:pPr>
            <w:r>
              <w:rPr/>
              <w:t> </w:t>
            </w:r>
          </w:p>
        </w:tc>
        <w:tc>
          <w:tcPr>
            <w:tcW w:w="2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of Common Stock</w:t>
              <w:br/>
              <w:t>to be Issued</w:t>
              <w:br/>
              <w:t>Upon Exercise</w:t>
              <w:br/>
              <w:t>of Outstanding</w:t>
              <w:br/>
              <w:t>Options and RSUs (#)</w:t>
            </w:r>
          </w:p>
        </w:tc>
        <w:tc>
          <w:tcPr>
            <w:tcW w:w="35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br/>
              <w:t>of Outstanding</w:t>
              <w:br/>
              <w:t>Options ($)(1)</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of Common Stock</w:t>
              <w:br/>
              <w:t>Remaining</w:t>
              <w:br/>
              <w:t>Available for</w:t>
              <w:br/>
              <w:t>Future Issuance</w:t>
              <w:br/>
              <w:t>Under Equity</w:t>
              <w:br/>
              <w:t>Compensation</w:t>
              <w:br/>
              <w:t>Plans (Excluding</w:t>
              <w:br/>
              <w:t>Securities</w:t>
              <w:br/>
              <w:t>Reflected in the</w:t>
              <w:br/>
              <w:t>First Column) (#)</w:t>
            </w:r>
          </w:p>
        </w:tc>
        <w:tc>
          <w:tcPr>
            <w:tcW w:w="356" w:type="dxa"/>
            <w:tcBorders/>
            <w:vAlign w:val="bottom"/>
          </w:tcPr>
          <w:p>
            <w:pPr>
              <w:pStyle w:val="TableContents"/>
              <w:bidi w:val="0"/>
              <w:spacing w:before="0" w:after="283"/>
              <w:jc w:val="left"/>
              <w:rPr/>
            </w:pPr>
            <w:r>
              <w:rPr/>
              <w:t> </w:t>
            </w:r>
          </w:p>
        </w:tc>
      </w:tr>
      <w:tr>
        <w:trPr/>
        <w:tc>
          <w:tcPr>
            <w:tcW w:w="1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holders(2)</w:t>
            </w:r>
          </w:p>
        </w:tc>
        <w:tc>
          <w:tcPr>
            <w:tcW w:w="11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122" w:type="dxa"/>
            <w:tcBorders/>
            <w:shd w:fill="CCEEFF" w:val="clear"/>
            <w:vAlign w:val="bottom"/>
          </w:tcPr>
          <w:p>
            <w:pPr>
              <w:pStyle w:val="TableContents"/>
              <w:bidi w:val="0"/>
              <w:spacing w:before="0" w:after="283"/>
              <w:jc w:val="right"/>
              <w:rPr/>
            </w:pPr>
            <w:r>
              <w:rPr/>
              <w:t>5,111,846</w:t>
            </w:r>
          </w:p>
        </w:tc>
        <w:tc>
          <w:tcPr>
            <w:tcW w:w="350" w:type="dxa"/>
            <w:tcBorders/>
            <w:shd w:fill="CCEEFF" w:val="clear"/>
            <w:vAlign w:val="bottom"/>
          </w:tcPr>
          <w:p>
            <w:pPr>
              <w:pStyle w:val="TableContents"/>
              <w:bidi w:val="0"/>
              <w:spacing w:before="0" w:after="283"/>
              <w:jc w:val="left"/>
              <w:rPr/>
            </w:pPr>
            <w:r>
              <w:rPr/>
              <w:t>(2) </w:t>
            </w:r>
          </w:p>
        </w:tc>
        <w:tc>
          <w:tcPr>
            <w:tcW w:w="1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7.29</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9,750,415</w:t>
            </w:r>
          </w:p>
        </w:tc>
        <w:tc>
          <w:tcPr>
            <w:tcW w:w="356" w:type="dxa"/>
            <w:tcBorders/>
            <w:shd w:fill="CCEEFF" w:val="clear"/>
            <w:vAlign w:val="bottom"/>
          </w:tcPr>
          <w:p>
            <w:pPr>
              <w:pStyle w:val="TableContents"/>
              <w:bidi w:val="0"/>
              <w:spacing w:before="0" w:after="283"/>
              <w:jc w:val="left"/>
              <w:rPr/>
            </w:pPr>
            <w:r>
              <w:rPr/>
              <w:t>(3) </w:t>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1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122" w:type="dxa"/>
            <w:tcBorders/>
            <w:vAlign w:val="bottom"/>
          </w:tcPr>
          <w:p>
            <w:pPr>
              <w:pStyle w:val="TableContents"/>
              <w:bidi w:val="0"/>
              <w:spacing w:before="0" w:after="283"/>
              <w:jc w:val="right"/>
              <w:rPr/>
            </w:pPr>
            <w:r>
              <w:rPr/>
              <w:t>966,784</w:t>
            </w:r>
          </w:p>
        </w:tc>
        <w:tc>
          <w:tcPr>
            <w:tcW w:w="350" w:type="dxa"/>
            <w:tcBorders/>
            <w:vAlign w:val="bottom"/>
          </w:tcPr>
          <w:p>
            <w:pPr>
              <w:pStyle w:val="TableContents"/>
              <w:bidi w:val="0"/>
              <w:spacing w:before="0" w:after="283"/>
              <w:jc w:val="left"/>
              <w:rPr/>
            </w:pPr>
            <w:r>
              <w:rPr/>
              <w:t>(4) </w:t>
            </w:r>
          </w:p>
        </w:tc>
        <w:tc>
          <w:tcPr>
            <w:tcW w:w="1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8.15</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3,107,211</w:t>
            </w:r>
          </w:p>
        </w:tc>
        <w:tc>
          <w:tcPr>
            <w:tcW w:w="356" w:type="dxa"/>
            <w:tcBorders/>
            <w:vAlign w:val="bottom"/>
          </w:tcPr>
          <w:p>
            <w:pPr>
              <w:pStyle w:val="TableContents"/>
              <w:bidi w:val="0"/>
              <w:spacing w:before="0" w:after="283"/>
              <w:jc w:val="left"/>
              <w:rPr/>
            </w:pPr>
            <w:r>
              <w:rPr/>
              <w:t>(5) </w:t>
            </w:r>
          </w:p>
        </w:tc>
      </w:tr>
      <w:tr>
        <w:trPr/>
        <w:tc>
          <w:tcPr>
            <w:tcW w:w="1392"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212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r>
      <w:tr>
        <w:trPr/>
        <w:tc>
          <w:tcPr>
            <w:tcW w:w="1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1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122" w:type="dxa"/>
            <w:tcBorders/>
            <w:shd w:fill="CCEEFF" w:val="clear"/>
            <w:vAlign w:val="bottom"/>
          </w:tcPr>
          <w:p>
            <w:pPr>
              <w:pStyle w:val="TableContents"/>
              <w:bidi w:val="0"/>
              <w:spacing w:before="0" w:after="283"/>
              <w:jc w:val="right"/>
              <w:rPr/>
            </w:pPr>
            <w:r>
              <w:rPr/>
              <w:t>6,078,630</w:t>
            </w:r>
          </w:p>
        </w:tc>
        <w:tc>
          <w:tcPr>
            <w:tcW w:w="35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7.33</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12,857,626</w:t>
            </w:r>
          </w:p>
        </w:tc>
        <w:tc>
          <w:tcPr>
            <w:tcW w:w="356" w:type="dxa"/>
            <w:tcBorders/>
            <w:shd w:fill="CCEEFF" w:val="clear"/>
            <w:vAlign w:val="bottom"/>
          </w:tcPr>
          <w:p>
            <w:pPr>
              <w:pStyle w:val="TableContents"/>
              <w:bidi w:val="0"/>
              <w:spacing w:before="0" w:after="283"/>
              <w:jc w:val="left"/>
              <w:rPr/>
            </w:pPr>
            <w:r>
              <w:rPr/>
              <w:t> </w:t>
            </w:r>
          </w:p>
        </w:tc>
      </w:tr>
      <w:tr>
        <w:trPr/>
        <w:tc>
          <w:tcPr>
            <w:tcW w:w="1392"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2122"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787" w:type="dxa"/>
            <w:tcBorders/>
            <w:vAlign w:val="bottom"/>
          </w:tcPr>
          <w:p>
            <w:pPr>
              <w:pStyle w:val="TableContents"/>
              <w:pBdr>
                <w:top w:val="double" w:sz="6"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RSUs do not have any exercise price, such units are not included in the weighted average exercise price calculations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4,175,488 shares of AVROBIO common stock issuable upon the exercise of outstanding options and (ii) 936,358 shares of AVROBIO common stock issuable upon vesting of RSUs.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there were 7,978,667 shares of AVROBIO common stock available for grant under AVROBIOs 2018 Plan, no shares available for grant under AVROBIOs 2015 Plan, and 1,771,748 shares of AVROBIO common stock available for grant under AVROBIOs 2018 ESPP (which number excludes any shares that would have been added to the plan as a result of the automatic annual increase on January 1, 2024). AVROBIOs 2018 ESPP provides that the number of shares reserved and available for issuance under the plan automatically increases each January 1 by the least of 1,115,700 shares of AVROBIO common stock, 1% of the outstanding number of shares of AVROBIO common stock on the immediately preceding December 31 or such lesser number of shares as determined by the AVROBIO Compensation Committee. However, the AVROBIO Compensation Committee opted to reduce the number of shares that would otherwise have automatically been made available for issuance under the 2018 ESPP on January 1, 2024 to zero.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484,700 shares of AVROBIO common stock underlying non-qualified stock options that were granted prior to the adoption of AVROBIOs Inducement Plans as one-time awards to various new employees in accordance with Nasdaq Listing Rule 5635(c)(4) and (ii) 482,084 shares of AVROBIO common stock issuable upon exercise of outstanding options granted under AVROBIOs 2019 Inducement Plan. There are no shares of AVROBIO common stock issuable upon exercise of outstanding options granted under AVROBIOs 2020 Inducement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1,407,211 shares of AVROBIO common stock issuable under AVROBIOs 2019 Inducement Plan and (ii) 1,700,000 issuable under AVROBIOs 2020 Inducement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3" w:name="toc770053_100"/>
      <w:bookmarkEnd w:id="103"/>
      <w:r>
        <w:rPr>
          <w:rFonts w:ascii="Times New Roman" w:hAnsi="Times New Roman"/>
          <w:b/>
          <w:sz w:val="20"/>
        </w:rPr>
        <w:t xml:space="preserve">TECTONIC 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Tectonics named executive officers for the year ended December 31, 2023 who appear in the Summary Compensation Table below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Alise Reicin, M.D., Chief Executive Officer and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Marcella K. Ruddy, M.D.,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Christian Cortis, Ph.D., Chief Operating Officer and Chief Financial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total compensation awarded to, earned by or paid to each of Tectonics named executive officers during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8"/>
        <w:gridCol w:w="138"/>
        <w:gridCol w:w="60"/>
        <w:gridCol w:w="507"/>
        <w:gridCol w:w="60"/>
        <w:gridCol w:w="138"/>
        <w:gridCol w:w="60"/>
        <w:gridCol w:w="814"/>
        <w:gridCol w:w="60"/>
        <w:gridCol w:w="138"/>
        <w:gridCol w:w="60"/>
        <w:gridCol w:w="802"/>
        <w:gridCol w:w="60"/>
        <w:gridCol w:w="138"/>
        <w:gridCol w:w="103"/>
        <w:gridCol w:w="1404"/>
        <w:gridCol w:w="60"/>
        <w:gridCol w:w="138"/>
        <w:gridCol w:w="120"/>
        <w:gridCol w:w="1387"/>
        <w:gridCol w:w="410"/>
        <w:gridCol w:w="81"/>
        <w:gridCol w:w="60"/>
        <w:gridCol w:w="802"/>
        <w:gridCol w:w="67"/>
      </w:tblGrid>
      <w:tr>
        <w:trPr/>
        <w:tc>
          <w:tcPr>
            <w:tcW w:w="2538"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38"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Salary(1)</w:t>
              <w:br/>
              <w:t>($)</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4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Alise Reicin, M.D.</w:t>
            </w:r>
            <w:r>
              <w:rPr>
                <w:rFonts w:ascii="Times New Roman" w:hAnsi="Times New Roman"/>
                <w:b/>
                <w:sz w:val="20"/>
              </w:rPr>
              <w:t>(4)</w:t>
            </w:r>
            <w:r>
              <w:rPr>
                <w:rFonts w:ascii="Times New Roman" w:hAnsi="Times New Roman"/>
                <w:sz w:val="20"/>
              </w:rPr>
              <w:t xml:space="preserve"> </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7"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575,050</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112,563</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404" w:type="dxa"/>
            <w:tcBorders/>
            <w:shd w:fill="CCEEFF" w:val="clear"/>
          </w:tcPr>
          <w:p>
            <w:pPr>
              <w:pStyle w:val="TableContents"/>
              <w:bidi w:val="0"/>
              <w:spacing w:before="0" w:after="283"/>
              <w:jc w:val="right"/>
              <w:rPr/>
            </w:pPr>
            <w:r>
              <w:rPr/>
              <w:t>231,600</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12,749</w:t>
            </w:r>
          </w:p>
        </w:tc>
        <w:tc>
          <w:tcPr>
            <w:tcW w:w="410" w:type="dxa"/>
            <w:tcBorders/>
            <w:shd w:fill="CCEEFF" w:val="clear"/>
          </w:tcPr>
          <w:p>
            <w:pPr>
              <w:pStyle w:val="TableContents"/>
              <w:bidi w:val="0"/>
              <w:spacing w:before="0" w:after="283"/>
              <w:jc w:val="left"/>
              <w:rPr/>
            </w:pPr>
            <w:r>
              <w:rPr/>
              <w:t>(5) </w:t>
            </w:r>
            <w:r>
              <w:rPr>
                <w:b/>
              </w:rPr>
              <w:br/>
            </w: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919,213</w:t>
            </w:r>
          </w:p>
        </w:tc>
        <w:tc>
          <w:tcPr>
            <w:tcW w:w="67" w:type="dxa"/>
            <w:tcBorders/>
            <w:shd w:fill="CCEEFF" w:val="clear"/>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Marcella K. Ruddy, M.D. </w:t>
            </w:r>
          </w:p>
          <w:p>
            <w:pPr>
              <w:pStyle w:val="TableContents"/>
              <w:bidi w:val="0"/>
              <w:spacing w:before="0" w:after="20"/>
              <w:jc w:val="left"/>
              <w:rPr>
                <w:rFonts w:ascii="Times New Roman" w:hAnsi="Times New Roman"/>
                <w:i/>
                <w:sz w:val="20"/>
              </w:rPr>
            </w:pPr>
            <w:r>
              <w:rPr>
                <w:rFonts w:ascii="Times New Roman" w:hAnsi="Times New Roman"/>
                <w:i/>
                <w:sz w:val="20"/>
              </w:rPr>
              <w:t>Chief Medical Officer</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7"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451,962</w:t>
            </w:r>
          </w:p>
        </w:tc>
        <w:tc>
          <w:tcPr>
            <w:tcW w:w="60" w:type="dxa"/>
            <w:tcBorders/>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78,794</w:t>
            </w:r>
          </w:p>
        </w:tc>
        <w:tc>
          <w:tcPr>
            <w:tcW w:w="60" w:type="dxa"/>
            <w:tcBorders/>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404" w:type="dxa"/>
            <w:tcBorders/>
          </w:tcPr>
          <w:p>
            <w:pPr>
              <w:pStyle w:val="TableContents"/>
              <w:bidi w:val="0"/>
              <w:spacing w:before="0" w:after="283"/>
              <w:jc w:val="right"/>
              <w:rPr/>
            </w:pPr>
            <w:r>
              <w:rPr/>
              <w:t>159,341</w:t>
            </w:r>
          </w:p>
        </w:tc>
        <w:tc>
          <w:tcPr>
            <w:tcW w:w="60" w:type="dxa"/>
            <w:tcBorders/>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9,678</w:t>
            </w:r>
          </w:p>
        </w:tc>
        <w:tc>
          <w:tcPr>
            <w:tcW w:w="410" w:type="dxa"/>
            <w:tcBorders/>
          </w:tcPr>
          <w:p>
            <w:pPr>
              <w:pStyle w:val="TableContents"/>
              <w:bidi w:val="0"/>
              <w:spacing w:before="0" w:after="283"/>
              <w:jc w:val="left"/>
              <w:rPr/>
            </w:pPr>
            <w:r>
              <w:rPr/>
              <w:t>(6) </w:t>
            </w:r>
            <w:r>
              <w:rPr>
                <w:b/>
              </w:rPr>
              <w:br/>
            </w:r>
            <w:r>
              <w:rPr/>
              <w:t> </w:t>
            </w:r>
          </w:p>
        </w:tc>
        <w:tc>
          <w:tcPr>
            <w:tcW w:w="8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690,096</w:t>
            </w:r>
          </w:p>
        </w:tc>
        <w:tc>
          <w:tcPr>
            <w:tcW w:w="67" w:type="dxa"/>
            <w:tcBorders/>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Christian Cortis, Ph.D. </w:t>
            </w:r>
          </w:p>
          <w:p>
            <w:pPr>
              <w:pStyle w:val="TableContents"/>
              <w:bidi w:val="0"/>
              <w:spacing w:before="0" w:after="20"/>
              <w:jc w:val="left"/>
              <w:rPr>
                <w:rFonts w:ascii="Times New Roman" w:hAnsi="Times New Roman"/>
                <w:i/>
                <w:sz w:val="20"/>
              </w:rPr>
            </w:pPr>
            <w:r>
              <w:rPr>
                <w:rFonts w:ascii="Times New Roman" w:hAnsi="Times New Roman"/>
                <w:i/>
                <w:sz w:val="20"/>
              </w:rPr>
              <w:t>Chief Operating Officer and Chief Financial Officer</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7"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383,356</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78,794</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404" w:type="dxa"/>
            <w:tcBorders/>
            <w:shd w:fill="CCEEFF" w:val="clear"/>
          </w:tcPr>
          <w:p>
            <w:pPr>
              <w:pStyle w:val="TableContents"/>
              <w:bidi w:val="0"/>
              <w:spacing w:before="0" w:after="283"/>
              <w:jc w:val="right"/>
              <w:rPr/>
            </w:pPr>
            <w:r>
              <w:rPr/>
              <w:t>115,850</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495</w:t>
            </w:r>
          </w:p>
        </w:tc>
        <w:tc>
          <w:tcPr>
            <w:tcW w:w="410" w:type="dxa"/>
            <w:tcBorders/>
            <w:shd w:fill="CCEEFF" w:val="clear"/>
          </w:tcPr>
          <w:p>
            <w:pPr>
              <w:pStyle w:val="TableContents"/>
              <w:bidi w:val="0"/>
              <w:spacing w:before="0" w:after="283"/>
              <w:jc w:val="left"/>
              <w:rPr/>
            </w:pPr>
            <w:r>
              <w:rPr/>
              <w:t>(7)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578,000</w:t>
            </w:r>
          </w:p>
        </w:tc>
        <w:tc>
          <w:tcPr>
            <w:tcW w:w="67" w:type="dxa"/>
            <w:tcBorders/>
            <w:shd w:fill="CCEEFF" w:val="clea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Salary amounts represent actual amounts paid during 2023 and reflect increases to base salary effective April 1, 2023. See </w:t>
            </w:r>
            <w:r>
              <w:rPr>
                <w:rFonts w:ascii="Times New Roman" w:hAnsi="Times New Roman"/>
                <w:i/>
                <w:sz w:val="20"/>
              </w:rPr>
              <w:t>Narrative to the Summary Compensation TableAnnual Base Salary</w:t>
            </w:r>
            <w:r>
              <w:rPr>
                <w:rFonts w:ascii="Times New Roman" w:hAnsi="Times New Roman"/>
                <w:sz w:val="20"/>
              </w:rPr>
              <w:t xml:space="preserve"> below.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stock option awards granted during the year ended December 31, 2023, calculated in accordance with FASB ASC 718 for share-based compensation transactions. The assumptions used in calculating the grant date fair value of the stock options reported in this column are set forth in Note 2 to Tectonics consolidated financial statements for each of the years ended December 31, 2022 and 2023 included elsewhere in this proxy statement/prospectus. These amounts do not correspond to the actual economic value that may be received by Tectonics named executive officers upon the exercise of the stock options or any sale of the underlying shares of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Amounts disclosed for fiscal year 2023 reflect performance-based cash bonuses earned in 2023 and paid in early 2024. See </w:t>
            </w:r>
            <w:r>
              <w:rPr>
                <w:rFonts w:ascii="Times New Roman" w:hAnsi="Times New Roman"/>
                <w:i/>
                <w:sz w:val="20"/>
              </w:rPr>
              <w:t>Non-Equity Incentive Plan Compensation</w:t>
            </w:r>
            <w:r>
              <w:rPr>
                <w:rFonts w:ascii="Times New Roman" w:hAnsi="Times New Roman"/>
                <w:sz w:val="20"/>
              </w:rPr>
              <w:t xml:space="preserve"> below for a description of the material terms of the program pursuant to which this compensation was awarded.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Reicin also serves as a member of the Tectonic Board but does not receive any additional compensation for her service as a director.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commuting expenses in the amount of $12,221, and (ii) life insurance premiums in the amount of $528 paid by Tectonic on behalf of Dr. Reicin.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$9,150 in matching employer contributions to a 401(k) plan, and (ii) life insurance premiums in the amount of $528 paid by Tectonic on behalf of Dr. Ruddy.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life insurance premiums paid by Tectonic on behalf of Dr. Cortis.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Tectonic Board reviews compensation on a regular basis for all employees, including Tectonics named executive officers. In setting executive base salaries and bonuses and granting equity incentive awards,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Board considers compensation for comparable positions in the market, the historical compensation levels of its executives, individual performance as compared to Tectonics expectations and objectives, Tectonics desire to motivate its employees to achieve short-and long-term results that are in the best interests of its stockholders and a long-term commitment to Tectonic.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Each named executive officers base salary is a fixed component of annual compensation for performing specific duties and functions, and has been established by the Tectonic Board taking into account each individuals role, responsibilities, skills, and expertise. Base salaries are reviewed annually, typically in connection with Tectonics annual performance review process, approved by the Tectonic Board, and adjusted from time to time to realign salaries with market levels and internal benchmarking, after taking into account individual responsibilities, performance and experience. Please see the Salary column in the Summary Compensation Table above for the actual base salary amount received by each named executive officer during the year ended December 31, 2023. The annual base salaries for Drs. Reicin, Ruddy and Cortis were $562,380, $442,000 and $374,920, respectively for the period from January 1, 2023 through March 31, 2023, and $579,251, $455,260 and $386,168, respectively, for the period from April 1, 2023 to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April 1, 2024, the annual base salaries for Drs. Reicin, Ruddy and Cortis were increased to $602,160, $473,200 and $401,440, respectively. </w:t>
      </w:r>
    </w:p>
    <w:p>
      <w:pPr>
        <w:pStyle w:val="TextBody"/>
        <w:bidi w:val="0"/>
        <w:spacing w:before="240" w:after="0"/>
        <w:jc w:val="left"/>
        <w:rPr>
          <w:rFonts w:ascii="Times New Roman" w:hAnsi="Times New Roman"/>
          <w:sz w:val="20"/>
        </w:rPr>
      </w:pPr>
      <w:r>
        <w:rPr>
          <w:rFonts w:ascii="Times New Roman" w:hAnsi="Times New Roman"/>
          <w:sz w:val="20"/>
        </w:rPr>
        <w:t xml:space="preserve">Effective immediately prior to, and contingent upon, the completion of the merger, the annual base salaries for Dr. Reicin and Dr. Ruddy will be increased to $620,000 and $486,850,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Tectonics annual incentive program is intended to reward its named executive officers for performance during a fiscal year. From time to time, Tectonics compensation committee or the Tectonic Board, as applicable, in their discretion may approve annual incentives for Tectonics named executive officers based on individual performance, company performance, or as otherwise determined appropriate. Each of Tectonics named executive officers was eligible to receive a target bonus at the discretion of the Tectonic Board with respect to the year ended December 31, 2023 (as a percentage of base salary) based upon their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30"/>
        <w:gridCol w:w="509"/>
        <w:gridCol w:w="133"/>
        <w:gridCol w:w="584"/>
        <w:gridCol w:w="60"/>
        <w:gridCol w:w="509"/>
        <w:gridCol w:w="133"/>
        <w:gridCol w:w="584"/>
        <w:gridCol w:w="63"/>
      </w:tblGrid>
      <w:tr>
        <w:trPr/>
        <w:tc>
          <w:tcPr>
            <w:tcW w:w="763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630"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Name</w:t>
            </w:r>
          </w:p>
        </w:tc>
        <w:tc>
          <w:tcPr>
            <w:tcW w:w="509"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br/>
              <w:t>Bonus</w:t>
              <w:br/>
              <w:t>Target</w:t>
              <w:br/>
              <w:t>(%)</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Bonus</w:t>
              <w:br/>
              <w:t>Target</w:t>
              <w:br/>
              <w:t>(%)</w:t>
            </w:r>
          </w:p>
        </w:tc>
        <w:tc>
          <w:tcPr>
            <w:tcW w:w="63" w:type="dxa"/>
            <w:tcBorders/>
            <w:vAlign w:val="bottom"/>
          </w:tcPr>
          <w:p>
            <w:pPr>
              <w:pStyle w:val="TableContents"/>
              <w:bidi w:val="0"/>
              <w:spacing w:before="0" w:after="283"/>
              <w:jc w:val="left"/>
              <w:rPr/>
            </w:pPr>
            <w:r>
              <w:rPr/>
              <w:t> </w:t>
            </w:r>
          </w:p>
        </w:tc>
      </w:tr>
      <w:tr>
        <w:trPr/>
        <w:tc>
          <w:tcPr>
            <w:tcW w:w="7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50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40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55</w:t>
            </w:r>
          </w:p>
        </w:tc>
        <w:tc>
          <w:tcPr>
            <w:tcW w:w="63" w:type="dxa"/>
            <w:tcBorders/>
            <w:shd w:fill="CCEEFF" w:val="clear"/>
            <w:vAlign w:val="bottom"/>
          </w:tcPr>
          <w:p>
            <w:pPr>
              <w:pStyle w:val="TableContents"/>
              <w:bidi w:val="0"/>
              <w:spacing w:before="0" w:after="283"/>
              <w:jc w:val="left"/>
              <w:rPr/>
            </w:pPr>
            <w:r>
              <w:rPr/>
              <w:t> </w:t>
            </w:r>
          </w:p>
        </w:tc>
      </w:tr>
      <w:tr>
        <w:trPr/>
        <w:tc>
          <w:tcPr>
            <w:tcW w:w="7630" w:type="dxa"/>
            <w:tcBorders/>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50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7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50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40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February 2024, based on the named executive officers performance, the Tectonic Board determined that Drs. Reicin, Ruddy and Cortis were eligible to receive 100% of their target annual bonus for the year ended December 31, 2023, and as a result, approved annual performance bonuses for Drs. Reicin, Ruddy, and Cortis in the amounts of $231,600, $159,341 and $115,850, respectively, as reflected in the Non-Equity Incentive Plan Compensation column of the Summary Compensation Table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Tectonics equity-based incentive awards granted to its named executive officers are designed to align the interests of Tectonic and those of Tectonic stockholders with those of Tectonic employees and consultants, including its executive officers. Tectonic executives generally are awarded an initial equity grant in the form of a stock option, or restricted stock in the case of Drs. Reicin and Cortis, in connection with their commencement of employment with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as disclosed below regarding restricted stock awards granted to Dr. Reicin pursuant to the Reicin Employment Agreement (as defined below), Tectonic has historically used stock options as an incentive for long-term compensation to its executive officers because the option awards allow Tectonic executive officers to profit from this form of equity compensation only if Tectonics stock price increases relative to the options exercise price, which exercise price is set at the fair market value of Tectonic common stock on the date of grant. Vesting of equity awards is generally tied to each officers continuous service with Tectonic and serves as an additional retention measure. Tectonic may grant equity awards at such times as the Tectonic Board or compensation committee determines appropriate. Additional grants may occur periodically in order to specifically incentivize executives with respect to achieving certain corporate goals or to reward executives for exceptional performance. </w:t>
      </w:r>
    </w:p>
    <w:p>
      <w:pPr>
        <w:pStyle w:val="TextBody"/>
        <w:bidi w:val="0"/>
        <w:spacing w:before="240" w:after="0"/>
        <w:jc w:val="left"/>
        <w:rPr>
          <w:rFonts w:ascii="Times New Roman" w:hAnsi="Times New Roman"/>
          <w:sz w:val="20"/>
        </w:rPr>
      </w:pPr>
      <w:r>
        <w:rPr>
          <w:rFonts w:ascii="Times New Roman" w:hAnsi="Times New Roman"/>
          <w:sz w:val="20"/>
        </w:rPr>
        <w:t>In the year ended December 31, 2023, Tectonic granted each of Drs. Reicin, Ruddy and Cortis options to purchase shares of Tectonic common stock. Dr. Reicin was granted an option covering 50,000 shares, Dr. Ruddy was granted an option covering 35,000 shares and Dr. Cortis was granted an option covering 35,000 shares. Each of these option awards have an exercise price of $2.87, and vest in 48 equal monthly installments beginning on January 1, 2024. See the section titled </w:t>
      </w:r>
      <w:r>
        <w:rPr>
          <w:rFonts w:ascii="Times New Roman" w:hAnsi="Times New Roman"/>
          <w:i/>
          <w:sz w:val="20"/>
        </w:rPr>
        <w:t>Outstanding Equity Awards at Fiscal 2023 Year-End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2023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outstanding equity awards held by Tectonics named executive officers as of December 31, 2023. All awards were granted pursuant to the Tectonic 2019 Plan. See  </w:t>
      </w:r>
      <w:r>
        <w:rPr>
          <w:rFonts w:ascii="Times New Roman" w:hAnsi="Times New Roman"/>
          <w:i/>
          <w:sz w:val="20"/>
        </w:rPr>
        <w:t xml:space="preserve">Equity Incentive Plans Tectonic 2019 Plan </w:t>
      </w:r>
      <w:r>
        <w:rPr>
          <w:rFonts w:ascii="Times New Roman" w:hAnsi="Times New Roman"/>
          <w:sz w:val="20"/>
        </w:rPr>
        <w:t xml:space="preserve">below for additional information. </w:t>
      </w:r>
    </w:p>
    <w:p>
      <w:pPr>
        <w:pStyle w:val="TextBody"/>
        <w:bidi w:val="0"/>
        <w:spacing w:before="0" w:after="0"/>
        <w:jc w:val="left"/>
        <w:rPr/>
      </w:pPr>
      <w:r>
        <w:rPr/>
        <w:t> </w:t>
      </w:r>
    </w:p>
    <w:tbl>
      <w:tblPr>
        <w:tblW w:w="12805" w:type="dxa"/>
        <w:jc w:val="center"/>
        <w:tblInd w:w="0" w:type="dxa"/>
        <w:tblLayout w:type="fixed"/>
        <w:tblCellMar>
          <w:top w:w="0" w:type="dxa"/>
          <w:left w:w="0" w:type="dxa"/>
          <w:bottom w:w="0" w:type="dxa"/>
          <w:right w:w="0" w:type="dxa"/>
        </w:tblCellMar>
      </w:tblPr>
      <w:tblGrid>
        <w:gridCol w:w="1895"/>
        <w:gridCol w:w="60"/>
        <w:gridCol w:w="60"/>
        <w:gridCol w:w="980"/>
        <w:gridCol w:w="60"/>
        <w:gridCol w:w="60"/>
        <w:gridCol w:w="96"/>
        <w:gridCol w:w="1574"/>
        <w:gridCol w:w="60"/>
        <w:gridCol w:w="60"/>
        <w:gridCol w:w="88"/>
        <w:gridCol w:w="1177"/>
        <w:gridCol w:w="60"/>
        <w:gridCol w:w="60"/>
        <w:gridCol w:w="100"/>
        <w:gridCol w:w="1345"/>
        <w:gridCol w:w="350"/>
        <w:gridCol w:w="60"/>
        <w:gridCol w:w="105"/>
        <w:gridCol w:w="770"/>
        <w:gridCol w:w="60"/>
        <w:gridCol w:w="60"/>
        <w:gridCol w:w="64"/>
        <w:gridCol w:w="1051"/>
        <w:gridCol w:w="60"/>
        <w:gridCol w:w="60"/>
        <w:gridCol w:w="79"/>
        <w:gridCol w:w="901"/>
        <w:gridCol w:w="350"/>
        <w:gridCol w:w="60"/>
        <w:gridCol w:w="79"/>
        <w:gridCol w:w="901"/>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Name and Principal Position</w:t>
            </w:r>
          </w:p>
        </w:tc>
        <w:tc>
          <w:tcPr>
            <w:tcW w:w="60" w:type="dxa"/>
            <w:vMerge w:val="continue"/>
            <w:tcBorders/>
            <w:vAlign w:val="bottom"/>
          </w:tcPr>
          <w:p>
            <w:pPr>
              <w:pStyle w:val="Normal"/>
              <w:bidi w:val="0"/>
              <w:jc w:val="left"/>
              <w:rPr/>
            </w:pPr>
            <w:r>
              <w:rPr/>
            </w:r>
          </w:p>
        </w:tc>
        <w:tc>
          <w:tcPr>
            <w:tcW w:w="104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7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w:t>
              <w:br/>
              <w:t>Exercisable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w:t>
              <w:br/>
              <w:t>Unexercisable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or Units</w:t>
              <w:br/>
              <w:t>of Stock</w:t>
              <w:br/>
              <w:t>That</w:t>
              <w:br/>
              <w:t>Have Not</w:t>
              <w:br/>
              <w:t>Vested</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w:t>
              <w:br/>
              <w:t>or Units</w:t>
              <w:br/>
              <w:t>of Stock</w:t>
              <w:br/>
              <w:t>That</w:t>
              <w:br/>
              <w:t>Have Not</w:t>
              <w:br/>
              <w:t>Vested</w:t>
              <w:br/>
              <w:t>($)(3)</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Alise Reicin, M.D.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8/26/2020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3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33,722</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96,926</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Chief Executive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jc w:val="right"/>
              <w:rPr/>
            </w:pPr>
            <w:r>
              <w:rPr/>
              <w:t>6/28/2021</w:t>
            </w:r>
          </w:p>
          <w:p>
            <w:pPr>
              <w:pStyle w:val="TableContents"/>
              <w:bidi w:val="0"/>
              <w:spacing w:before="0" w:after="20"/>
              <w:jc w:val="right"/>
              <w:rPr>
                <w:rFonts w:ascii="Times New Roman" w:hAnsi="Times New Roman"/>
                <w:sz w:val="18"/>
              </w:rPr>
            </w:pPr>
            <w:r>
              <w:rPr>
                <w:rFonts w:ascii="Times New Roman" w:hAnsi="Times New Roman"/>
                <w:sz w:val="18"/>
              </w:rPr>
              <w:t>12/1/2023</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jc w:val="right"/>
              <w:rPr/>
            </w:pPr>
            <w:r>
              <w:rPr/>
              <w:t>3/31/2021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tcPr>
          <w:p>
            <w:pPr>
              <w:pStyle w:val="TableContents"/>
              <w:bidi w:val="0"/>
              <w:spacing w:before="0" w:after="283"/>
              <w:jc w:val="left"/>
              <w:rPr/>
            </w:pPr>
            <w:r>
              <w:rPr/>
              <w:t> </w:t>
            </w:r>
          </w:p>
        </w:tc>
        <w:tc>
          <w:tcPr>
            <w:tcW w:w="1177" w:type="dxa"/>
            <w:tcBorders/>
            <w:shd w:fill="CCEEFF" w:val="clear"/>
          </w:tcPr>
          <w:p>
            <w:pPr>
              <w:pStyle w:val="TableContents"/>
              <w:bidi w:val="0"/>
              <w:spacing w:before="0" w:after="283"/>
              <w:jc w:val="right"/>
              <w:rPr/>
            </w:pPr>
            <w:r>
              <w:rPr/>
              <w:t>144,644</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jc w:val="right"/>
              <w:rPr/>
            </w:pPr>
            <w:r>
              <w:rPr/>
              <w:t>114,470</w:t>
            </w:r>
          </w:p>
          <w:p>
            <w:pPr>
              <w:pStyle w:val="TableContents"/>
              <w:bidi w:val="0"/>
              <w:spacing w:before="0" w:after="20"/>
              <w:jc w:val="right"/>
              <w:rPr>
                <w:rFonts w:ascii="Times New Roman" w:hAnsi="Times New Roman"/>
                <w:sz w:val="18"/>
              </w:rPr>
            </w:pPr>
            <w:r>
              <w:rPr>
                <w:rFonts w:ascii="Times New Roman" w:hAnsi="Times New Roman"/>
                <w:sz w:val="18"/>
              </w:rPr>
              <w:t>50,000</w:t>
            </w:r>
          </w:p>
        </w:tc>
        <w:tc>
          <w:tcPr>
            <w:tcW w:w="350" w:type="dxa"/>
            <w:tcBorders/>
            <w:shd w:fill="CCEEFF" w:val="clear"/>
            <w:vAlign w:val="bottom"/>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jc w:val="right"/>
              <w:rPr/>
            </w:pPr>
            <w:r>
              <w:rPr/>
              <w:t>6/27/2031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12,836</w:t>
            </w:r>
          </w:p>
        </w:tc>
        <w:tc>
          <w:tcPr>
            <w:tcW w:w="350" w:type="dxa"/>
            <w:tcBorders/>
            <w:shd w:fill="CCEEFF" w:val="clear"/>
            <w:vAlign w:val="bottom"/>
          </w:tcPr>
          <w:p>
            <w:pPr>
              <w:pStyle w:val="TableContents"/>
              <w:bidi w:val="0"/>
              <w:spacing w:before="0" w:after="283"/>
              <w:jc w:val="left"/>
              <w:rPr/>
            </w:pPr>
            <w:r>
              <w:rPr/>
              <w:t>(6)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36,839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Marcella K. Ruddy, M.D. </w:t>
            </w:r>
          </w:p>
          <w:p>
            <w:pPr>
              <w:pStyle w:val="TableContents"/>
              <w:bidi w:val="0"/>
              <w:spacing w:before="0" w:after="20"/>
              <w:jc w:val="left"/>
              <w:rPr>
                <w:rFonts w:ascii="Times New Roman" w:hAnsi="Times New Roman"/>
                <w:i/>
                <w:sz w:val="18"/>
              </w:rPr>
            </w:pPr>
            <w:r>
              <w:rPr>
                <w:rFonts w:ascii="Times New Roman" w:hAnsi="Times New Roman"/>
                <w:i/>
                <w:sz w:val="18"/>
              </w:rPr>
              <w:t>Chief Medical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9/17/2021</w:t>
            </w:r>
          </w:p>
          <w:p>
            <w:pPr>
              <w:pStyle w:val="TableContents"/>
              <w:bidi w:val="0"/>
              <w:spacing w:before="0" w:after="20"/>
              <w:jc w:val="right"/>
              <w:rPr>
                <w:rFonts w:ascii="Times New Roman" w:hAnsi="Times New Roman"/>
                <w:sz w:val="18"/>
              </w:rPr>
            </w:pPr>
            <w:r>
              <w:rPr>
                <w:rFonts w:ascii="Times New Roman" w:hAnsi="Times New Roman"/>
                <w:sz w:val="18"/>
              </w:rPr>
              <w:t>12/1/2023</w:t>
            </w:r>
          </w:p>
        </w:tc>
        <w:tc>
          <w:tcPr>
            <w:tcW w:w="60"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jc w:val="right"/>
              <w:rPr/>
            </w:pPr>
            <w:r>
              <w:rPr/>
              <w:t>7/19/2021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85,932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jc w:val="right"/>
              <w:rPr/>
            </w:pPr>
            <w:r>
              <w:rPr/>
              <w:t>56,301</w:t>
            </w:r>
          </w:p>
          <w:p>
            <w:pPr>
              <w:pStyle w:val="TableContents"/>
              <w:bidi w:val="0"/>
              <w:spacing w:before="0" w:after="20"/>
              <w:jc w:val="right"/>
              <w:rPr>
                <w:rFonts w:ascii="Times New Roman" w:hAnsi="Times New Roman"/>
                <w:sz w:val="18"/>
              </w:rPr>
            </w:pPr>
            <w:r>
              <w:rPr>
                <w:rFonts w:ascii="Times New Roman" w:hAnsi="Times New Roman"/>
                <w:sz w:val="18"/>
              </w:rPr>
              <w:t>35,000</w:t>
            </w:r>
          </w:p>
        </w:tc>
        <w:tc>
          <w:tcPr>
            <w:tcW w:w="350" w:type="dxa"/>
            <w:tcBorders/>
            <w:vAlign w:val="bottom"/>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jc w:val="right"/>
              <w:rPr/>
            </w:pPr>
            <w:r>
              <w:rPr/>
              <w:t>9/16/2031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 xml:space="preserve">Christian Cortis, Ph.D. </w:t>
            </w:r>
          </w:p>
          <w:p>
            <w:pPr>
              <w:pStyle w:val="TableContents"/>
              <w:bidi w:val="0"/>
              <w:spacing w:before="0" w:after="20"/>
              <w:jc w:val="left"/>
              <w:rPr>
                <w:rFonts w:ascii="Times New Roman" w:hAnsi="Times New Roman"/>
                <w:i/>
                <w:sz w:val="18"/>
              </w:rPr>
            </w:pPr>
            <w:r>
              <w:rPr>
                <w:rFonts w:ascii="Times New Roman" w:hAnsi="Times New Roman"/>
                <w:i/>
                <w:sz w:val="18"/>
              </w:rPr>
              <w:t>Chief Operating Officer and Chief Financial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jc w:val="right"/>
              <w:rPr/>
            </w:pPr>
            <w:r>
              <w:rPr/>
              <w:t>6/28/2021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jc w:val="right"/>
              <w:rPr/>
            </w:pPr>
            <w:r>
              <w:rPr/>
              <w:t>3/31/2021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207,184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jc w:val="right"/>
              <w:rPr/>
            </w:pPr>
            <w:r>
              <w:rPr/>
              <w:t>94,175</w:t>
            </w:r>
          </w:p>
          <w:p>
            <w:pPr>
              <w:pStyle w:val="TableContents"/>
              <w:bidi w:val="0"/>
              <w:spacing w:before="0" w:after="20"/>
              <w:jc w:val="right"/>
              <w:rPr>
                <w:rFonts w:ascii="Times New Roman" w:hAnsi="Times New Roman"/>
                <w:sz w:val="18"/>
              </w:rPr>
            </w:pPr>
            <w:r>
              <w:rPr>
                <w:rFonts w:ascii="Times New Roman" w:hAnsi="Times New Roman"/>
                <w:sz w:val="18"/>
              </w:rPr>
              <w:t>35,000</w:t>
            </w:r>
          </w:p>
        </w:tc>
        <w:tc>
          <w:tcPr>
            <w:tcW w:w="350" w:type="dxa"/>
            <w:tcBorders/>
            <w:shd w:fill="CCEEFF" w:val="clear"/>
            <w:vAlign w:val="bottom"/>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jc w:val="right"/>
              <w:rPr/>
            </w:pPr>
            <w:r>
              <w:rPr/>
              <w:t>6/27/2031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option awards have been granted pursuant to the terms of the Tectonic 2019 Plan, the terms of which are described below in the subsection titled  </w:t>
            </w:r>
            <w:r>
              <w:rPr>
                <w:rFonts w:ascii="Times New Roman" w:hAnsi="Times New Roman"/>
                <w:i/>
                <w:sz w:val="20"/>
              </w:rPr>
              <w:t>Equity Incentive PlansTectonic 2019 Equity Incentive Plan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option awards listed in the table were granted with an exercise price per share that is no less than the fair market value of Tectonic common stock on the date of grant of such award, as determined in good faith by the Tectonic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reflects $2.87, the fair market value of a share of Tectonic common stock as of September 30, 2023 (the determination of the fair market value by the Tectonic Board as of the most proximate date) multiplied by the amount shown in the column for the number of shares that have not vested.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restricted stock issued to Dr. Reicin that are subject to vesting and a repurchase right in favor of Tectonic, with 25% of the total shares vested on the first anniversary of August 10, 2020, with the remaining shares vesting in 36 equal monthly installments thereafter, subject to Dr. Reicins continued service through each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option vested on the first anniversary of the vesting commencement date, with the remaining shares vesting in 36 equal monthly installments thereafter, subject to the officers continued service through each vesting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restricted stock issued to Dr. Reicin upon the early exercise of stock options that are subject to vesting and a repurchase right in favor of Tectonic, with 5,204 shares vesting on November 30, 2024 and the remainder vesting on December 31, 2024, subject to Dr. Reicins continued service through each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option vest in 48 equal monthly installments beginning on January 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approval by the board of directors of the combined company, Drs. Reicin and Ruddy will be granted options to purchase a number of shares of common stock of the combined company equal to 1.95% and 0.56%, respectively, of common stock outstanding after the closing. The options will have an exercise price per share equal to 100% of the fair market value of the underlying common stock on the date of grant, as reported at the closing time on Nasdaq. One fourth (25%) of each option will vest on the one-year anniversary of the date of grant, and the remainder will vest in 36 equal monthly installments thereafter, subject to each of Drs. Reicin and Ruddys continuous service (as defined in the 2024 Plan) through each such date. The specific terms of these options will be governed by the terms of the 2024 Plan and form award agreement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Tectonics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Below are descriptions of the material terms of Tectonics employment agreement and offer letters with Tectonics named executive officers. The agreements set forth the initial terms and conditions of the executives employment with Tectonic, including initial base salary, bonus opportunity, eligibility for employee benefits and severance benefits upon a qualifying termination of employment, subject to certain non-solicitation and non-competition provisions. Any potential payments and benefits due upon a qualifying termination of employment or a change in control are further described below under  </w:t>
      </w:r>
      <w:r>
        <w:rPr>
          <w:rFonts w:ascii="Times New Roman" w:hAnsi="Times New Roman"/>
          <w:i/>
          <w:sz w:val="20"/>
        </w:rPr>
        <w:t> Potential Payments and Benefits upon Termination or Change in Control</w:t>
      </w:r>
      <w:r>
        <w:rPr>
          <w:rFonts w:ascii="Times New Roman" w:hAnsi="Times New Roman"/>
          <w:sz w:val="20"/>
        </w:rPr>
        <w:t xml:space="preserve">. The employment of each of Tectonics named executive officers is at will and may be terminated at any time. In addition, each of Tectonics named executive officers has executed a form of Tectonics standard proprietary information and inventions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Dr. Alise Reicin, M.D.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Tectonic entered into an executive employment agreement with Dr. Reicin (the Reicin Employment Agreement) in connection with her appointment as Tectonics President and Chief Executive Officer and as a member of the Tectonic Board. In connection with the merger and subject to approval by the board of directors of the combined company, Tectonic expects to enter into an amended and restated executive employment agreement with Dr. Reicin. The material terms of the amendment are as follows: (i) Dr. Reicin shall remain President and Chief Executive Officer and shall continue to serve as an executive director to the board of directors of the combined company; (ii) an annual base salary of $620,000; (iii) eligibility for an annual, performance-based cash bonus with a target bonus percentage of 55% of Dr. Reicins base salary; (iv) following the closing of the merger, issuance of an option award to purchase shares of common stock of the combined company, such that when combined with Dr. Reicins prior securities holdings or rights to acquire securities in the combined company, Dr. Reicin will hold or have the right to acquire shares representing at least 4.20% of the combined companys post-merger equity securities, calculated on a fully diluted basis; and (v) eligibility to participate in the combined companys executive severance plan and other employee benefit, welfare and other plans, as may be maintained by the combined company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Dr. Marcella K. Ruddy, M.D. </w:t>
      </w:r>
    </w:p>
    <w:p>
      <w:pPr>
        <w:pStyle w:val="TextBody"/>
        <w:bidi w:val="0"/>
        <w:spacing w:before="120" w:after="0"/>
        <w:jc w:val="left"/>
        <w:rPr>
          <w:rFonts w:ascii="Times New Roman" w:hAnsi="Times New Roman"/>
          <w:sz w:val="20"/>
        </w:rPr>
      </w:pPr>
      <w:r>
        <w:rPr>
          <w:rFonts w:ascii="Times New Roman" w:hAnsi="Times New Roman"/>
          <w:sz w:val="20"/>
        </w:rPr>
        <w:t xml:space="preserve">Tectonic entered into an offer letter with Dr. Ruddy (the Ruddy Offer Letter) in June 2021, in connection with her appointment as Tectonics Chief Medical Officer. The Ruddy Offer Letter provides for a base salary and target bonus opportunity, which shall be reviewed and may be adjusted by the Tectonic Board on an annual basis. To qualify for the annual target bonus set at a percentage of her adjusted base salary in respect of any calendar year, Dr. Ruddy must remain employed with Tectonic through the time the bonus payment is paid by Tectonic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year. Under the Ruddy Offer Letter, Tectonic granted Dr. Ruddy an option to purchase 142,233 shares of Tectonic common stock pursuant to the terms of Tectonics 2019 Equity Incentive Plan (the Tectonic 2019 Plan), at an exercise price of $1.27 per share. The option vests on the following schedule: 25% of the shares vested on the one-year anniversary of July 19, 2021, with the remaining shares vesting in 36 equal monthly installments thereafter such that the options will be fully vested on the four-year anniversary of July 19, 2021, subject to Dr. Ruddys continuous service with Tectonic through each vesting date. The option award is subject to automatic acceleration in the event of (i) a Change in Control (as defined in the Tectonic 2019 Plan) and (ii) provided that within the twelve months after such Change in Control either (x) Dr. Ruddys continuous service is terminated without Cause (as defined in the Ruddy Offer Letter) or (y) Dr. Ruddy resigns for Good Reason (as defined in the Ruddy Offer Letter). Dr. Ruddy is also eligible for additional equity awards under Tectonic equity compensation plans, as may be granted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Dr. Christian Cortis, Ph.D. </w:t>
      </w:r>
    </w:p>
    <w:p>
      <w:pPr>
        <w:pStyle w:val="TextBody"/>
        <w:bidi w:val="0"/>
        <w:spacing w:before="120" w:after="0"/>
        <w:jc w:val="left"/>
        <w:rPr>
          <w:rFonts w:ascii="Times New Roman" w:hAnsi="Times New Roman"/>
          <w:sz w:val="20"/>
        </w:rPr>
      </w:pPr>
      <w:r>
        <w:rPr>
          <w:rFonts w:ascii="Times New Roman" w:hAnsi="Times New Roman"/>
          <w:sz w:val="20"/>
        </w:rPr>
        <w:t xml:space="preserve">Tectonic entered into an offer letter with Dr. Cortis (the Cortis Offer Letter) in July 2019. Dr. Cortis currently serves as Tectonics Chief Operating Officer and Chief Financial Officer. The Cortis Offer Letter provides for a base salary and target bonus opportunity, which shall be reviewed and may be adjusted by the Tectonic Board on an annual basis. To qualify for the annual target bonus set at a percentage of his adjusted base salary in respect of any calendar year, Dr. Cortis must remain employed with Tectonic through the time the bonus payment is paid by Tectonic in the following year. Tectonic granted Dr. Cortis an award of 10,000 restricted shares of Tectonic common stock, which fully vested as of August 2023. The stock award is subject to a double trigger acceleration in the event of a Change in Control (as defined in the Tectonic 2019 Plan) of Tectonic accompanied by Dr. Cortiss involuntary termination without Cause (as defined in the Tectonic 2019 Plan) within six months before or after such Change in Control other than as a result of death or disability. After the closing of Tectonics Series A preferred stock financing, Tectonic granted Dr. Cortis an option to purchase 301,359 shares of Tectonic common stock in June 2021. This option award has an exercise price of $1.27 per share. The option vests on the following schedule: 25% of the shares vested on the one-year anniversary of March 31, 2021, with the remaining shares vesting in 36 equal monthly installments thereafter such that options will be fully vested on the four-year anniversary of March 31, 2021, subject to Dr. Cortiss continuous service with Tectonic through each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and Benefits upon a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merger and subject to approval by the board of directors of the combined company, Tectonic intends to adopt the Tectonic Therapeutic, Inc. Severance Plan (the Severance Plan) pursuant to which certain employees are eligible to participate, including Alise Reicin, President and Chief Executive Officer of Tectonic, Christian Cortis, Chief Operating Officer and Chief Financial Officer of Tectonic, and Marcella Ruddy, Chief Medical Officer of Tectonic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Tectonic is terminated by Tectonic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Tectonic is terminated by Tectonic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does not purport to be complete and is qualified in its entirety by reference to the full text of the Severance Plan. </w:t>
      </w:r>
    </w:p>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and Retirement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These payments and benefits discussed above are in addition to eligibility to participate in benefits available generally to salaried employees, including medical, vision, dental, and life insurance plans, in each case on the same basis as all of Tectonics other employees. Tectonic generally does not provide perquisites or personal benefits to Tectonics named executive officers, except in limited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Beginning in 2022, Tectonic maintains a tax-qualified 401(k) retirement plan that provides eligible U.S. employees with an opportunity to save for retirement on a tax-advantaged basis. Pursuant to the terms of such 401(k) plan, depending on facts and circumstances of the employee population in any given year, Tectonic may make a 3% mandatory contribution under and pursuant to the terms of the plan and applicable law. Tectonic does not maintain, and none of the Tectonic named executive officers is eligible to participate in, any defined benefit pension plan or nonqualified deferred compensation plan. </w:t>
      </w:r>
    </w:p>
    <w:p>
      <w:pPr>
        <w:pStyle w:val="TextBody"/>
        <w:bidi w:val="0"/>
        <w:spacing w:before="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Tectonic Board adopted the Tectonic 2019 Plan and Tectonic stockholders approved the Tectonic 2019 Plan in June 2019. Tectonic will not grant any additional awards under the Tectonic 2019 Plan after the 2024 Plan becomes effective. However, the Tectonic 2019 Plan will continue to govern the terms and conditions of the outstanding awards granted thereunder. The Tectonic 2019 Plan provides for the grant of incentive stock options, non-statutory stock options, restricted stock awards, restricted stock unit awards, and other forms of equity compensation to Tectonics employees and consultants and members of the Tectonic Board. Only options and restricted stock awards are outstanding under the Tectonic 2019 Plan. </w:t>
      </w:r>
    </w:p>
    <w:p>
      <w:pPr>
        <w:pStyle w:val="TextBody"/>
        <w:bidi w:val="0"/>
        <w:spacing w:before="240" w:after="0"/>
        <w:jc w:val="left"/>
        <w:rPr>
          <w:rFonts w:ascii="Times New Roman" w:hAnsi="Times New Roman"/>
          <w:sz w:val="20"/>
        </w:rPr>
      </w:pPr>
      <w:r>
        <w:rPr>
          <w:rFonts w:ascii="Times New Roman" w:hAnsi="Times New Roman"/>
          <w:i/>
          <w:sz w:val="20"/>
        </w:rPr>
        <w:t>Stock Awards.</w:t>
      </w:r>
      <w:r>
        <w:rPr>
          <w:rFonts w:ascii="Times New Roman" w:hAnsi="Times New Roman"/>
          <w:sz w:val="20"/>
        </w:rPr>
        <w:t xml:space="preserve"> The Tectonic 2019 Plan provides for the grant of incentive stock options, or ISOs, nonstatutory stock options, or NSOs, stock appreciation rights, restricted stock awards, restricted stock unit awards, and other forms of equity compensation, which are referred to collectively as stock awards, all of which may be granted to employees, including officers, non-employee directors and consultants of Tectonic and its affiliates. ISOs may be granted only to employees. All other awards may be granted to employees, including officers, and to non-employee directors and consultants.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Subject to adjustments for certain changes in capitalization, the aggregate number of shares of Tectonic common stock that may be issued under the Tectonic 2019 Plan is 1,991,264 shares. The aggregate number of shares that may be issued upon the exercise of ISOs under the Tectonic 2019 Plan is 5,973,792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portion of a stock award (i) expires or otherwise terminates without the shares covered by such portion of the stock award having been issued or (ii) is settled in cash, such expiration, termination, or settlement will not reduce the number of shares available for issuance under the Tectonic 2019 Plan. Shares forfeited back to or repurchased by Tectonic because of the failure to meet a contingency or condition required to vest will revert to and again become available for issuance under the Tectonic 2019 Plan. Shares reacquired by Tectonic to satisfy the exercise price or purchase price of a stock award and shares withheld to satisfy a tax withholding obligation in connection with a stock award will again become available for issuance under the Tectonic 2019 Plan.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Tectonic Board, or a duly authorized committee thereof, has the authority to administer the Tectonic 2019 Plan. The Tectonic Board may also delegate to one or more officers the authority to (1) designate recipients (other than officers) of stock options or stock appreciation rights and (2) determine the number of shares of common stock to be subject to such stock awards. Subject to the terms of the Tectonic 2019 Plan, the Tectonic Board or the authorized committee, referred to herein as the plan administrator, determines recipients, dates of grant, the numbers and types of stock awards to be granted and the terms and conditions of the stock awards, including the period of their exercisability and vesting schedule applicable to a stock award. Subject to the limitations set forth below, the plan administrator will also determine the exercise price, strike price or purchase price of awards granted and the types of consideration to be paid for the award.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has the authority to modify outstanding awards under the Tectonic 2019 Plan, however, the plan administrator does not have the authority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without the consent of any adversely affected participant.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plan administrator. The plan administrator determines the exercise price for a stock option, within the terms and conditions of the Tectonic 2019 Plan, provided that the exercise price of a stock option generally cannot be less than 100% of the fair market value of Tectonic common stock on the date of grant. Options granted under the Tectonic 2019 Plan vest at the rate specified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determines the term of stock options granted under the Tectonic 2019 Plan, up to a maximum of 10 years. Unless the terms of an option holders stock option agreement provide otherwise, if an option holders service relationship with Tectonic or any of its affiliates, ceases for any reason other than disability, death or cause, the option holder may generally exercise any vested options for a period of three months following the cessation of service. The option term may be extended in the event that exercise of the option following such a termination of service is prohibited by applicable securities laws or any applicable insider trading policy. If an optionholders service relationship with Tectonic or any of its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common stock issued upon the exercise of a stock option will be determined by the plan administrator and may include (1) cash, check, bank draft or money order, (2) a broker-assisted cashless exercise, (3) the tender of shares of Tectonic common stock previously owned by the optionholder, (4) a net exercise of the option if it is an NSO, and (5) according to a deferred payment or similar arrangement with the optionholder; or (6) other legal consideration approved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Unless the plan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Tax Limitations on Incentive Stock Options</w:t>
      </w:r>
      <w:r>
        <w:rPr>
          <w:rFonts w:ascii="Times New Roman" w:hAnsi="Times New Roman"/>
          <w:sz w:val="20"/>
        </w:rPr>
        <w:t xml:space="preserve">. The aggregate fair market value, determined at the time of grant, of Tectonic common stock with respect to ISOs that are exercisable for the first time by an optionholder during any calendar year under all of Tectonics stock plans may not exceed $100,000. Options or portions thereof that exceed such limit will generally be treated as NSOs. No ISO may be granted to any person who, at the time of the grant, owns or is deemed to own stock possessing more than 10% of Tectonics total combined voting power or that of any of Tectonics affiliates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Tectonic or any of its affiliates ceases for any reason, Tectonic may receive any or all of the shares of Tectonic common stock held by the participant that have not vested as of the date the participant terminates service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is a specified type of change in Tectonics capital structure, such as a stock split or recapitalization, appropriate adjustments will be made to (1) the class and maximum number of shares reserved for issuance under the Tectonic 2019 Plan (2) the class and maximum number of shares that may be issued upon the exercise of ISOs, and (3)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specified significant corporate transactions, the plan administrator has the discretion to take any of the following actions with respect to stock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assumption, continuation or substitution of a stock award by a surviving or acquiring entity or parent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Tectonic to the surviving or acquiring entity or parent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vesting of the stock award and provide for its termination prior to the effective time of the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the exercise of the stock award, prior to the effective time of the corporate transaction, for such period as the Tectonic Board determines is necessary to facilitate the negotiation and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any early exercise rights upon the corporate transaction, such that following the corporate transaction, such stock award may only be exercised to the extent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lapse of any reacquisition or repurchase right held by Tectonic;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the stock award in exchange for such cash consideration, if any, as the Tectonic Board may deem appropriate;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equal to the excess of (a) the value of the property the participant would have received upon exercise of the stock award over (b) the exercise price otherwise payable in connection with the stock award.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plan administrator is not obligated to treat all stock awards, even those that are of the same type,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Under the Tectonic 2019 Plan, a corporate transaction is generally the consummation of (1) a sale or other disposition of all or substantially all of Tectonics assets, (2) a sale or other disposition of at least 50% of Tectonics outstanding securities, (3) a merger, consolidation or similar transaction following which Tectonic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the surviving corporation, or (4) a merger, consolidation or similar transaction following which Tectonic is the surviving corporation but the shares of Tectonic common stock outstanding immediately prior to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Change of Control.</w:t>
      </w:r>
      <w:r>
        <w:rPr>
          <w:rFonts w:ascii="Times New Roman" w:hAnsi="Times New Roman"/>
          <w:sz w:val="20"/>
        </w:rPr>
        <w:t xml:space="preserve"> The plan administrator may provide, in an individual award agreement or in any other written agreement between a participant and Tectonic that the stock award will be subject to additional acceleration of vesting and exercisability in the event of a change of control. Under the Tectonic 2019 Plan, a change of control is generally (1) the acquisition by a person or entity of more than 50% of Tectonics combined voting power other than by merger, consolidation or similar transaction; (2) a consummated merger, consolidation or similar transaction immediately after which Tectonics stockholders cease to own more than 50% of the combined voting power of the surviving entity; or (3) a consummated sale, lease or exclusive license or other disposition of all or substantially all of Tectonics assets. </w:t>
      </w:r>
    </w:p>
    <w:p>
      <w:pPr>
        <w:pStyle w:val="TextBody"/>
        <w:bidi w:val="0"/>
        <w:spacing w:before="240" w:after="0"/>
        <w:jc w:val="left"/>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The Tectonic Board has the authority to amend, suspend or terminate the Tectonic 2019 Plan, provided that such action does not impair the existing rights of any participant without such participants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Historically, Tectonic has not had a formal compensation policy with respect to service on the Tectonic Board. Tectonic has reimbursed and will continue to reimburse its non-employee directors for their reasonable out-of-pocket expenses incurred in attending board and committee meetings, and occasionally granted stock options and restricted stock awards as compensation for service. The Tectonic Board will adopt a formal director compensation policy for non-employee directors to be effective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Director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sets forth information regarding the compensation earned for service on the Tectonic Board and for service as a consultant to Tectonic, if applicable, during the year ended December 31, 2023. Dr. Reicin, Tectonics Chief Executive Officer, is also a member of the Tectonic Board, but did not receive any additional compensation for her service as a member of the Tectonic Board. The compensation for Dr. Reicin as an executive officer is set forth above under </w:t>
      </w:r>
      <w:r>
        <w:rPr>
          <w:rFonts w:ascii="Times New Roman" w:hAnsi="Times New Roman"/>
          <w:i/>
          <w:sz w:val="20"/>
        </w:rPr>
        <w:t>Summary Compensation Table</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83"/>
        <w:gridCol w:w="445"/>
        <w:gridCol w:w="128"/>
        <w:gridCol w:w="1528"/>
        <w:gridCol w:w="245"/>
        <w:gridCol w:w="352"/>
        <w:gridCol w:w="478"/>
        <w:gridCol w:w="1181"/>
        <w:gridCol w:w="60"/>
        <w:gridCol w:w="445"/>
        <w:gridCol w:w="60"/>
        <w:gridCol w:w="702"/>
        <w:gridCol w:w="65"/>
      </w:tblGrid>
      <w:tr>
        <w:trPr/>
        <w:tc>
          <w:tcPr>
            <w:tcW w:w="2883"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45"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Cash</w:t>
              <w:br/>
              <w:t>($)</w:t>
            </w:r>
          </w:p>
        </w:tc>
        <w:tc>
          <w:tcPr>
            <w:tcW w:w="2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w:t>
              <w:br/>
              <w:t>($)(2)</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5"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Kruse, Ph.D.</w:t>
            </w:r>
          </w:p>
        </w:tc>
        <w:tc>
          <w:tcPr>
            <w:tcW w:w="44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80,004</w:t>
            </w:r>
          </w:p>
        </w:tc>
        <w:tc>
          <w:tcPr>
            <w:tcW w:w="245" w:type="dxa"/>
            <w:tcBorders/>
            <w:shd w:fill="CCEEFF" w:val="clear"/>
            <w:vAlign w:val="bottom"/>
          </w:tcPr>
          <w:p>
            <w:pPr>
              <w:pStyle w:val="TableContents"/>
              <w:bidi w:val="0"/>
              <w:spacing w:before="0" w:after="283"/>
              <w:jc w:val="left"/>
              <w:rPr/>
            </w:pPr>
            <w:r>
              <w:rPr>
                <w:b/>
                <w:sz w:val="13"/>
              </w:rPr>
              <w:t>(1)</w:t>
            </w:r>
            <w:r>
              <w:rPr/>
              <w:t> </w:t>
            </w:r>
          </w:p>
        </w:tc>
        <w:tc>
          <w:tcPr>
            <w:tcW w:w="352"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80,004</w:t>
            </w:r>
          </w:p>
        </w:tc>
        <w:tc>
          <w:tcPr>
            <w:tcW w:w="65"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44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44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44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44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consulting fees for services provided to Tectonics Scientific Advisory Board pursuant to Dr. Kruses consulting agreement with Tectonic, dated September 25, 2019.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provides information regarding the number of shares of common stock underlying options and restricted stock held by Tectonic non-employee directors that were outstanding as of December 31, 2023: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29"/>
        <w:gridCol w:w="741"/>
        <w:gridCol w:w="129"/>
        <w:gridCol w:w="1478"/>
        <w:gridCol w:w="62"/>
      </w:tblGrid>
      <w:tr>
        <w:trPr/>
        <w:tc>
          <w:tcPr>
            <w:tcW w:w="4529" w:type="dxa"/>
            <w:tcBorders/>
            <w:vAlign w:val="center"/>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741" w:type="dxa"/>
            <w:tcBorders/>
            <w:vAlign w:val="bottom"/>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w:t>
              <w:br/>
              <w:t>Outstanding at</w:t>
              <w:br/>
              <w:t>Year-End</w:t>
            </w:r>
          </w:p>
        </w:tc>
        <w:tc>
          <w:tcPr>
            <w:tcW w:w="62"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Kruse, Ph.D.</w:t>
            </w:r>
          </w:p>
        </w:tc>
        <w:tc>
          <w:tcPr>
            <w:tcW w:w="74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74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74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741"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22,765</w:t>
            </w:r>
          </w:p>
        </w:tc>
        <w:tc>
          <w:tcPr>
            <w:tcW w:w="62"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741"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Andrew Kruse, Ph.D. </w:t>
      </w:r>
    </w:p>
    <w:p>
      <w:pPr>
        <w:pStyle w:val="TextBody"/>
        <w:bidi w:val="0"/>
        <w:spacing w:before="120" w:after="0"/>
        <w:jc w:val="left"/>
        <w:rPr>
          <w:rFonts w:ascii="Times New Roman" w:hAnsi="Times New Roman"/>
          <w:sz w:val="20"/>
        </w:rPr>
      </w:pPr>
      <w:r>
        <w:rPr>
          <w:rFonts w:ascii="Times New Roman" w:hAnsi="Times New Roman"/>
          <w:sz w:val="20"/>
        </w:rPr>
        <w:t xml:space="preserve">On September 25, 2019, Tectonic entered into a consulting agreement with Andrew Kruse, Ph.D., pursuant to which Dr. Kruse is entitled to receive $6,667 per month, along with reimbursement of reasonable travel expenses and other reasonable out-of-pocket costs, in consideration for his performance of services provided to Tectonics scientific advisory board. The consulting agreement automatically renews in successive one-year terms, until Tectonic provides 15 days written notice prior to any such anniversary date that the consulting agreement will not renew. Tectonic may terminate the consulting agreement with or without cause, at any time upon 15 days prior written notice to Dr. Kruse. Dr. Kruse may terminate the consulting agreement without cause, at any time when there is no project assignment in effect upon 30 days prior written notice to Tectonic. Either party may terminate the agreement immediately upon a material breach of the consulting agreement and a failure to cure by the breaching party within 15 days after notice is given by the non-breaching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4" w:name="toc770053_108"/>
      <w:bookmarkEnd w:id="104"/>
      <w:r>
        <w:rPr>
          <w:rFonts w:ascii="Times New Roman" w:hAnsi="Times New Roman"/>
          <w:b/>
          <w:sz w:val="20"/>
        </w:rPr>
        <w:t xml:space="preserve">MATTERS BEING SUBMITTED TO A VOTE OF AVROBIO STOCKHOLDERS </w:t>
      </w:r>
    </w:p>
    <w:p>
      <w:pPr>
        <w:pStyle w:val="TextBody"/>
        <w:bidi w:val="0"/>
        <w:spacing w:before="240" w:after="0"/>
        <w:jc w:val="center"/>
        <w:rPr>
          <w:rFonts w:ascii="Times New Roman" w:hAnsi="Times New Roman"/>
          <w:b/>
          <w:sz w:val="20"/>
        </w:rPr>
      </w:pPr>
      <w:bookmarkStart w:id="105" w:name="toc770053_109"/>
      <w:bookmarkEnd w:id="105"/>
      <w:r>
        <w:rPr>
          <w:rFonts w:ascii="Times New Roman" w:hAnsi="Times New Roman"/>
          <w:b/>
          <w:sz w:val="20"/>
        </w:rPr>
        <w:t xml:space="preserve">PROPOSAL NO. 1THE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AVROBIO stockholders will be asked to approve (i) the issuance of shares of AVROBIO common stock to the Tectonic stockholders pursuant to the Merger Agreement, and (ii) the change of control of AVROBIO resulting from the merger, pursuant to Nasdaq Listing Rules 5635(a) and 5635(b).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and after giving effect to the private financings, it is expected that the AVROBIO securityholders will own approximately 22.3% of the capital stock of AVROBIO, the former Tectonic securityholders, will own approximately 39.8% of the capital stock of AVROBIO, and the purchasers in the private financings would own approximately 38.0% of the capital stock of AVROBIO,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240" w:after="0"/>
        <w:jc w:val="left"/>
        <w:rPr>
          <w:rFonts w:ascii="Times New Roman" w:hAnsi="Times New Roman"/>
          <w:sz w:val="20"/>
        </w:rPr>
      </w:pPr>
      <w:r>
        <w:rPr>
          <w:rFonts w:ascii="Times New Roman" w:hAnsi="Times New Roman"/>
          <w:sz w:val="20"/>
        </w:rPr>
        <w:t xml:space="preserve">The terms of, reasons for and other aspects of the Merger Agreement, the merger and the issuance of AVROBIO common stock in the merger are described in detail in the other sections in this proxy statement/prospectus. A copy of the Merger Agreement is attached as </w:t>
      </w:r>
      <w:r>
        <w:rPr>
          <w:rFonts w:ascii="Times New Roman" w:hAnsi="Times New Roman"/>
          <w:sz w:val="20"/>
          <w:u w:val="single"/>
        </w:rPr>
        <w:t>Annex A</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AVROBIO common stock in the merger exceeds the 20% under the Nasdaq Listing Rules and is expected to represent approximately 77.7% of AVROBIOs outstanding common stock immediately following this transaction (giving effect to, and assuming, a one-for-ten reverse stock split). Accordingly, in order to ensure compliance with Nasdaq Listing Rule 5635(a)(1), AVROBIO must obtain the approval of AVROBIO stockholders for the issuance of these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the listed company. Accordingly, in order to ensure compliance with Nasdaq Listing Rule 5635(b), AVROBIO must obtain the approval of AVROBIO stockholders of the change of control resulting from this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Nasdaq Stock Issuance Proposal. Abstentions and broker non-votes, if any, will have no effect on the Nasdaq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(or the waiver thereof in accordance with the terms of the Merger Agreement). Notwithstanding the approval of the Nasdaq Stock Issuance Proposal, if the merger is not consummated for any reason, the actions contemplated by the Nasdaq Stock Issuance Proposal will not be effected.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Certain of AVROBIO and Tectonic stockholders have agreed to vote any shares of common stock owned by them in favor of the Nasdaq Stock Issuance Proposal.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Nasdaq Stock Issuance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6" w:name="toc770053_110"/>
      <w:bookmarkEnd w:id="106"/>
      <w:r>
        <w:rPr>
          <w:rFonts w:ascii="Times New Roman" w:hAnsi="Times New Roman"/>
          <w:b/>
          <w:sz w:val="20"/>
        </w:rPr>
        <w:t xml:space="preserve">PROPOSAL NO. 2THE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AVROBIO stockholders will be asked to approve an amendment to AVROBIOs charter to effect a reverse stock split of AVROBIOs issued and outstanding common stock at a ratio in the range between 1:3 to 1:30, inclusive. The final ratio and effectiveness of such amendment and the abandonment of such amendment will be mutually agreed by the AVROBIO Board and the Tectonic Board prior to the effective time or, if the Nasdaq Stock Issuance Proposal is not approved by AVROBIO stockholders, determined solely by the AVROBIO Board. Upon the effectiveness of such amendment to effect the reverse stock split (the reverse stock split effective time), the issued and outstanding shares of AVROBIO common stock immediately prior to the reverse stock split effective time will automatically without further action on the part of AVROBIO be combined into a smaller number of shares such that a AVROBIO stockholder will own a ratio ranging from one new share of AVROBIO common stock for every 3 to 30 shares of issued AVROBIO common stock held by such stockholder immediately prior to the reverse stock split effective time. Based upon the reverse stock split ratio selected by the AVROBIO Board (or as mutually agreed by the AVROBIO Board and Tectonic Board), proportionate adjustments will be made to the per share exercise price, and/or the number of shares issuable upon the exercise or vesting of all then outstanding AVROBIO stock options and RSUs, which will result in a proportional decrease in the number of shares of AVROBIO common stock reserved for issuance upon exercise or vesting, of such stock options and RSUs, and, in the case of stock options, a proportional increase in the exercise price of all such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certificate of amendment to AVROBIOs charter, a copy of which is attached as </w:t>
      </w:r>
      <w:r>
        <w:rPr>
          <w:rFonts w:ascii="Times New Roman" w:hAnsi="Times New Roman"/>
          <w:sz w:val="20"/>
          <w:u w:val="single"/>
        </w:rPr>
        <w:t>Annex G</w:t>
      </w:r>
      <w:r>
        <w:rPr>
          <w:rFonts w:ascii="Times New Roman" w:hAnsi="Times New Roman"/>
          <w:sz w:val="20"/>
        </w:rPr>
        <w:t xml:space="preserve"> to this proxy statement/prospectus, will effect the reverse stock split but </w:t>
      </w:r>
      <w:r>
        <w:rPr>
          <w:rFonts w:ascii="Times New Roman" w:hAnsi="Times New Roman"/>
          <w:b/>
          <w:i/>
          <w:sz w:val="20"/>
        </w:rPr>
        <w:t>will not</w:t>
      </w:r>
      <w:r>
        <w:rPr>
          <w:rFonts w:ascii="Times New Roman" w:hAnsi="Times New Roman"/>
          <w:sz w:val="20"/>
        </w:rPr>
        <w:t xml:space="preserve"> change the number of authorized shares of AVROBIO common stock or AVROBIO preferred stock, or the par value of AVROBIO common stock or AVROBIO preferred stock. The final ratio and effectiveness of such amendment and the abandonment of such amendment will be mutually agreed by the AVROBIO Board and the Tectonic Board prior to the effective time or, if the Nasdaq Stock Issuance Proposal is not approved by AVROBIO stockholders, determined solely by the AVROBIO Board.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approved the proposal approving the amendment to AVROBIOs charter effecting the reverse stock split for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effecting the reverse stock split will result in an increase in the minimum bid price of AVROBIOs common stock and reduce the risk of a delisting of AVROBIO common stock from Nasdaq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a higher stock price may help generate investor interest in AVROBIO and ultimately the combined company and help AVROBIO attract and retain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a higher stock price may increase trading volume in AVROBIO common stock and facilitate future financings by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that the resulting increase in the number of authorized and unissued shares available for future issuance will facilitate the issuance of shares to the Tectonic stockholders pursuant to the Merger Agreement, as described in the Nasdaq Stock Issuance Proposal, and ultimately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that a range of reverse stock split ratios provides it with the most flexibility to achieve the desired results of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AVROBIO common stock is currently listed on The Nasdaq Global Select Market under the symbol AVRO. AVROBIO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the combined company to, among other things, maintain a minimum bid price of $4.00 per share over a 30-day trading period prior to listing, unless it effects a reverse stock split. Therefore, the reverse stock split may be necessary in order to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is a condition to the closing that the shares of AVROBIO common stock to be issued in the merger pursuant to the Merger Agreement having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AVROBIOs management being able to issue more shares without further stockholder approval. The reverse stock split will not change the number of authorized shares of AVROBIO capital stock, which will continue to be authorized pursuant to AVROBIOs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May 2, 2024, AVROBIO common stock closed at $1.23 per share. An investment in AVROBIO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AVROBIO Board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AVROBIO common stock. Please see </w:t>
      </w:r>
      <w:r>
        <w:rPr>
          <w:rFonts w:ascii="Times New Roman" w:hAnsi="Times New Roman"/>
          <w:i/>
          <w:sz w:val="20"/>
        </w:rPr>
        <w:t>Risk FactorsRisks Related to the Proposed Reverse Stock Split</w:t>
      </w:r>
      <w:r>
        <w:rPr>
          <w:rFonts w:ascii="Times New Roman" w:hAnsi="Times New Roman"/>
          <w:sz w:val="20"/>
        </w:rPr>
        <w:t xml:space="preserve"> beginning on page 43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predict whether the reverse stock split will increase the market price for AVROBIO common stock. The history of similar stock split combinations for companies in like circumstances is varied. There is no assurance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AVROBIO common stock after the reverse stock split will rise in proportion to the reduction in the number of shares of AVROBIO common stock outstanding before the reverse stock split;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AVROBIO to attract and retain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over a 30-day trading period prior to listing, unless it effects a reverse stock split, as required for the combined companys common stock to be approved for listing by Nasdaq.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market price of AVROBIO common stock will also be based on the performance of AVROBIO, and after the merger, on the performance of the combined company, and other factors, some of which are unrelated to the number of shares outstanding. If the reverse stock split is effected and the market price of AVROBIO common stock declines, the percentage decline as an absolute number and as a percentage of the overall market capitalization of AVROBIO may be greater than would occur in the absence of a reverse stock split. Furthermore, the liquidity of AVROBIO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be realized simultaneously for all shares of AVROBIO common stock and RSUs, options to purchase shares of AVROBIO common stock outstanding immediately prior to the effective time of the reverse stock split. The reverse stock split will affect all holders of shares of AVROBIO common stock, options to purchase shares of AVROBIO common stock and AVROBIO RSUs outstanding immediately prior to the effective time of the reverse stock split uniformly. Each and each such stockholder will hold the same percentage of AVROBIO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AVROBIO common stock or preferred stock and will not reduce the number of authorized shares of AVROBIO common stock or preferred stock. AVROBIO common stock issued pursuant to the reverse stock split will remain fully paid and nonassessable. The reverse stock split will not affect AVROBIO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the AVROBIO stockholders approve the amendments to AVROBIOs charter effecting the reverse stock split, and if the AVROBIO Board still believes that a reverse stock split is in the best interests of AVROBIO and its stockholders, AVROBIO will file the certificate of amendment to AVROBIOs charter with the Secretary of State of the State of Delaware at such time as the AVROBIO Board has determined to be the appropriate reverse stock split effective time at a ratio as mutually agreed by the AVROBIO Board and the Tectonic Board prior to the effective time or, if the Nasdaq Stock Issuance Proposal is not approved by AVROBIO stockholders, determined solely by the AVROBIO Board. The AVROBIO Board may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i/>
          <w:sz w:val="20"/>
        </w:rPr>
        <w:t>Beneficial Owners of Common Stock.</w:t>
      </w:r>
      <w:r>
        <w:rPr>
          <w:rFonts w:ascii="Times New Roman" w:hAnsi="Times New Roman"/>
          <w:sz w:val="20"/>
        </w:rPr>
        <w:t xml:space="preserve"> Upon the implementation of the reverse stock split, AVROBIO intends to treat shares held by stockholders in street name (i.e., through a bank, broker, custodian or other nominee), in the same manner as registered stockholders whose shares are registered in their names. Banks, brokers, custodians or other nominees will be instructed to effect the reverse stock split for their beneficial holders holding AVROBIO common stock in street name. However, these banks, brokers, custodians or other nominees may have different procedures than registered stockholders for processing the reverse stock split and making payment for fractional shares. If a stockholder holds shares of AVROBIO common stock with a bank, broker, custodian or other nominee and has any questions in this regard, stockholders are encouraged to contact their bank, broker, custodian or other nominee. </w:t>
      </w:r>
    </w:p>
    <w:p>
      <w:pPr>
        <w:pStyle w:val="TextBody"/>
        <w:bidi w:val="0"/>
        <w:spacing w:before="240" w:after="0"/>
        <w:jc w:val="left"/>
        <w:rPr>
          <w:rFonts w:ascii="Times New Roman" w:hAnsi="Times New Roman"/>
          <w:sz w:val="20"/>
        </w:rPr>
      </w:pPr>
      <w:r>
        <w:rPr>
          <w:rFonts w:ascii="Times New Roman" w:hAnsi="Times New Roman"/>
          <w:i/>
          <w:sz w:val="20"/>
        </w:rPr>
        <w:t>Registered Holders of Common Stock in Book-Entry Form</w:t>
      </w:r>
      <w:r>
        <w:rPr>
          <w:rFonts w:ascii="Times New Roman" w:hAnsi="Times New Roman"/>
          <w:sz w:val="20"/>
        </w:rPr>
        <w:t xml:space="preserve">. Certain of AVROBIOs registered holders of common stock hold some or all of their shares electronically in book-entry form with AVROBIOs transfer agent, Computershare Trust Company, N.A. These stockholders do not hold physical stock certificates evidencing their ownership of AVROBIO common stock. However, they are provided with a statement reflecting the number of shares of AVROBIO common stock registered in their accounts. If a stockholder holds registered shares in book-entry form with AVROBIOs transfer agent, no action needs to be taken to receive post-reverse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split shares or payment in lieu of fractional shares, if applicable. If a stockholder is entitled to post-reverse stock split shares, a transaction statement will automatically be sent to the stockholders address of record indicating the number of shares of AVROBIO common stock held following the reverse stock split. </w:t>
      </w:r>
    </w:p>
    <w:p>
      <w:pPr>
        <w:pStyle w:val="TextBody"/>
        <w:bidi w:val="0"/>
        <w:spacing w:before="240" w:after="0"/>
        <w:jc w:val="left"/>
        <w:rPr>
          <w:rFonts w:ascii="Times New Roman" w:hAnsi="Times New Roman"/>
          <w:sz w:val="20"/>
        </w:rPr>
      </w:pPr>
      <w:r>
        <w:rPr>
          <w:rFonts w:ascii="Times New Roman" w:hAnsi="Times New Roman"/>
          <w:i/>
          <w:sz w:val="20"/>
        </w:rPr>
        <w:t>Registered Holders of Common Stock in Certificate Form</w:t>
      </w:r>
      <w:r>
        <w:rPr>
          <w:rFonts w:ascii="Times New Roman" w:hAnsi="Times New Roman"/>
          <w:sz w:val="20"/>
        </w:rPr>
        <w:t xml:space="preserve">. As soon as practicable after the reverse stock split effective time, AVROBIO stockholders will be notified that the reverse stock Split has been effected. AVROBIO expects that the AVROBIO transfer agent will act as exchange agent for purposes of implementing the exchange of stock certificates. Holders of pre-split shares will be asked to surrender to the exchange agent certificates representing pre-split shares held in certificated form in exchange for certificates representing post-split shares in accordance with the procedures to be set forth in a letter of transmittal to be sent by AVROBIO.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p>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to which the stockholder would otherwise be entitled multiplied by the closing price of the common stock on Nasdaq on the date immediately prior to the filing of the certificate of amendment to AVROBIOs charter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AVROBIO is domiciled and where the funds will be deposited, sums due for fractional interests that are not timely claimed after the effective date of the split may be required to be paid to the designated agent for each such jurisdiction, unless correspondence has been received by AVROBIO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AVROBIO Board or contemplating a tender offer or other transaction for the combination of AVROBIO with another company, the reverse stock split proposal is not being proposed in response to any effort of which AVROBIO is aware to accumulate shares of AVROBIO common stock or obtain control of AVROBIO, other than in connection with the merger, nor is it part of a plan by management to recommend a series of similar amendments to the AVROBIO Board and stockholders. Other than the proposals being submitted to the AVROBIO stockholders for their consideration at the special meeting, the AVROBIO Board does not currently contemplate recommending the adoption of any other actions that could be construed to affect the ability of third parties to take over or change control of AVROBIO. For more information, please see the section titled </w:t>
      </w:r>
      <w:r>
        <w:rPr>
          <w:rFonts w:ascii="Times New Roman" w:hAnsi="Times New Roman"/>
          <w:i/>
          <w:sz w:val="20"/>
        </w:rPr>
        <w:t>Risk FactorsRisks Related to the Combined Company</w:t>
      </w:r>
      <w:r>
        <w:rPr>
          <w:rFonts w:ascii="Times New Roman" w:hAnsi="Times New Roman"/>
          <w:sz w:val="20"/>
        </w:rPr>
        <w:t> beginning on page 159 of this proxy statement/prospectus.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Material U.S. Federal Income Tax Consequences of the Reverse Stock Split to U.S. Holders of AVROBIO Common Stock </w:t>
      </w:r>
    </w:p>
    <w:p>
      <w:pPr>
        <w:pStyle w:val="TextBody"/>
        <w:bidi w:val="0"/>
        <w:spacing w:before="120" w:after="0"/>
        <w:jc w:val="left"/>
        <w:rPr>
          <w:rFonts w:ascii="Times New Roman" w:hAnsi="Times New Roman"/>
          <w:sz w:val="20"/>
        </w:rPr>
      </w:pPr>
      <w:r>
        <w:rPr>
          <w:rFonts w:ascii="Times New Roman" w:hAnsi="Times New Roman"/>
          <w:sz w:val="20"/>
        </w:rPr>
        <w:t>The following discussion is a summary of U.S. federal income tax considerations relating to the reverse stock split that are applicable to U.S. Holders (which, for purposes of this discussion, has the same meaning as set forth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of AVROBIO common stock. This section applies only to persons that hold their AVROBIO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AVROBIO voting shares or five percent or more of the total value of all classes of shares of AVROBIO;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AVROBIO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AVROBIO common stock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AVROBIO as part of a straddle, constructive sale, hedging, conversion or other integrated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AVROBIO common stock who exercise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AVROBIO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AVROBIO common stock, the tax treatment of such partnership and any person treated as a partner of such partnership will generally depend on the status and activities of the partner and the activities of the partnership. If you are a partner of a partnership or other pass-through entity holding AVROBIO common stock, you should consult your tax advisors regarding the tax consequences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any tax consequences of transactions effectuated before, after or at the same time as the reverse stock split, whether or not they are in connection with the reverse stock split, except as specifically provided below. No ruling from the IRS, or opinion from counsel, has been or will be requested in connection with the reverse stock split. AVROBIO stockholders should be aware that the IRS could adopt a position contrary to that set forth in this discussion and which could be sustained by a court.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Assuming the issuance of the CVRs is respected as separate from the reverse stock split for U.S. federal income tax purposes (see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above beginning on page 268 of this proxy statement/prospectus), the proposed reverse stock split should constitute a recapitalization for U.S. federal income tax purposes pursuant to Section 368(a)(1)(E) of the Code. As a result, a U.S. Holder should not recognize gain or loss upon the proposed reverse stock split, except with respect to cash received in lieu of a fractional share of AVROBIO common stock, as discussed below. A U.S. Holders aggregate adjusted tax basis in the shares of AVROBIO common stock received pursuant to the proposed reverse stock split should equal such holders aggregate adjusted tax basis of the shares of the AVROBIO common stock surrendered (excluding any portion of such basis that is allocated to any fractional share of AVROBIO common stock), and such U.S. Holders holding period in the shares of AVROBIO common stock received should include the holding period in the shares of AVROBIO common stock surrendered. U.S. Treasury Regulations provide detailed rules for allocating the tax basis and holding period of the shares of AVROBIO common stock surrendered to the shares of AVROBIO common stock received in a recapitalization pursuant to the proposed reverse stock split. U.S. Holders of shares of AVROBIO common stock acquired on different dates and at different prices should consult their tax advisors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AVROBIO common stock should be treated as first receiving such fractional share and then receiving cash in redemption of such fractional share. A U.S. Holder who receives cash in lieu of a fractional share pursuant to the proposed reverse stock split generally should recognize capital gain or loss in an amount equal to the difference between the amount of cash received and the portion of the U.S. Holders tax basis in the shares of AVROBIO common stock surrendered that is allocated to such fractional share of AVROBIO common stock. Such capital gain or loss should be long-term capital gain or loss if the U.S. Holders holding period for AVROBIO common stock surrendered exceeded one year at the effective time of the reverse stock split. The deductibility of capital losses is subject to limitations. U.S. Holders should consult their tax advisors regarding the tax effects to them of receiving cash in lieu of fractional shares based on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Possible Alternative Tax Treatment </w:t>
      </w:r>
    </w:p>
    <w:p>
      <w:pPr>
        <w:pStyle w:val="TextBody"/>
        <w:bidi w:val="0"/>
        <w:spacing w:before="120" w:after="0"/>
        <w:jc w:val="left"/>
        <w:rPr>
          <w:rFonts w:ascii="Times New Roman" w:hAnsi="Times New Roman"/>
          <w:sz w:val="20"/>
        </w:rPr>
      </w:pPr>
      <w:r>
        <w:rPr>
          <w:rFonts w:ascii="Times New Roman" w:hAnsi="Times New Roman"/>
          <w:sz w:val="20"/>
        </w:rPr>
        <w:t>As discussed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although the matter is not free from doubt, AVROBIO will treat the issuance of the CVRs and the proposed reverse stock split as separate transactions for U.S. federal income tax purposes, and the above discussion assumes that this treatment will be respected. It is possible that the reverse stock split and the issuance of the CVRs could be treated as a single transaction, in which case the material U.S. federal income tax consequences of the reverse stock split to a U.S. Holder may differ from those discussed above. U.S. Holders should consult their tax advisors regarding the tax consequences of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AVROBIO common stock may, under certain circumstances, be subject to information reporting and backup withholding. To avoid backup withholding, each holder of AVROBIO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AVROBIO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Reverse Stock Split Proposal. Abstentions and broker non-votes, if any, will have no effect on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(or the waiver thereof in accordance with the terms of the Merger Agreement). If the merger is not consummated for any reason, the actions contemplated by the Reverse Stock Split Proposal may still be effected if the Reverse Stock Split Proposal is approved. </w:t>
      </w:r>
    </w:p>
    <w:p>
      <w:pPr>
        <w:pStyle w:val="TextBody"/>
        <w:bidi w:val="0"/>
        <w:spacing w:before="240" w:after="0"/>
        <w:jc w:val="left"/>
        <w:rPr>
          <w:rFonts w:ascii="Times New Roman" w:hAnsi="Times New Roman"/>
          <w:sz w:val="20"/>
        </w:rPr>
      </w:pPr>
      <w:r>
        <w:rPr>
          <w:rFonts w:ascii="Times New Roman" w:hAnsi="Times New Roman"/>
          <w:sz w:val="20"/>
        </w:rPr>
        <w:t>Certain of AVROBIO and Tectonic stockholders have agreed to vote any shares of common stock owned by them in favor of the Reverse Stock Split Proposal.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Reverse Stock Split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7" w:name="toc770053_111"/>
      <w:bookmarkEnd w:id="107"/>
      <w:r>
        <w:rPr>
          <w:rFonts w:ascii="Times New Roman" w:hAnsi="Times New Roman"/>
          <w:b/>
          <w:sz w:val="20"/>
        </w:rPr>
        <w:t xml:space="preserve">PROPOSAL NO. 3THE OFFICER EXCULPATION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DGCL was amended effective August 1, 2022 to authorize exculpation of officers of Delaware corporations (the Section 102(b)(7) Amendment). Specifically, the amendments extend the opportunity for Delaware corporations to exculpate their officers, in addition to their directors, for personal liability for breach of the duty of care in certain actions (the officer exculpation).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believes it is necessary to provide protection to officers to the fullest extent permitted by law in order to attract and retain top talent. This protection has long been afforded to directors. Accordingly, the Board believes that the proposal to extend exculpation to officers is fair and in the best interests of AVROBIO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form of certificate of amendment to AVROBIOs charter to effect the officer exculpation is attached as </w:t>
      </w:r>
      <w:r>
        <w:rPr>
          <w:rFonts w:ascii="Times New Roman" w:hAnsi="Times New Roman"/>
          <w:sz w:val="20"/>
          <w:u w:val="single"/>
        </w:rPr>
        <w:t>Annex H</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may determine to effect the officer exculpation, if it is approved by the stockholders, even if the other proposals to be acted upon at the meeting are not approved, including the Nasdaq Stock Issuance Proposal and the Reverse Stock Split Proposal. In addition, notwithstanding approval of this proposal by AVROBIO stockholders, the AVROBIO Board may, in its sole discretion, abandon the proposed amendment and determine prior to the effectiveness of any filing with the Secretary of State of the State of Delaware not to effect the officer exculpation, as permitted under Section 242(c)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desires to amend AVROBIOs charter to maintain provisions consistent with the governing statutes contained in the DCGL. Prior to the Section 102(b)(7) Amendment, Delaware law has permitted Delaware corporations to exculpate directors from personal liability for monetary damages associated with breaches of the duty of care, but that protection did not extend to a Delaware corporations officers. Consequently, stockholder plaintiffs have employed a tactic of bringing certain claims that would otherwise be exculpated if brought against directors, against individual officers to avoid dismissal of such claims. The Section 102(b)(7) Amendment was adopted to address inconsistent treatment between officers and directors and address rising litigation and insurance costs for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is currently the case with directors under AVROBIOs charter,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The AVROBIO Board believes it is necessary to provide protection to officers to the fullest extent permitted by law in order to attract and retain top talent. This protection has long been afforded to directors, and accordingly, the AVROBIO Board believes that this proposal which would extend exculpation to officers, as specifically permitted by the Section 102(b)(7) Amendment, is fair and in the best interests of AVROBIO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The affirmative vote of the holders of a majority of the outstanding shares of AVROBIO capital stock for the Officer Exculpation Proposal is required to approve the Officer Exculpation Proposal. Abstentions and broker non-votes will have the effect of a vote </w:t>
      </w:r>
      <w:r>
        <w:rPr>
          <w:rFonts w:ascii="Times New Roman" w:hAnsi="Times New Roman"/>
          <w:b/>
          <w:sz w:val="20"/>
        </w:rPr>
        <w:t>AGAINST</w:t>
      </w:r>
      <w:r>
        <w:rPr>
          <w:rFonts w:ascii="Times New Roman" w:hAnsi="Times New Roman"/>
          <w:sz w:val="20"/>
        </w:rPr>
        <w:t xml:space="preserve"> the Officer Exculpation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Officer Exculpation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Officer Exculpation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OFFICER EXCULPATION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8" w:name="toc770053_112"/>
      <w:bookmarkEnd w:id="108"/>
      <w:r>
        <w:rPr>
          <w:rFonts w:ascii="Times New Roman" w:hAnsi="Times New Roman"/>
          <w:b/>
          <w:sz w:val="20"/>
        </w:rPr>
        <w:t xml:space="preserve">PROPOSAL NO. 4THE INCENTIVE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stockholders are also being asked to consider and vote upon the Incentive Plan Proposal to approve the combined companys 2024 Equity Incentive Plan, which is referred to herein as the 2024 Plan. The AVROBIO Board approved the 2024 Plan on, subject to stockholder approval at the special meeting. If stockholders approve the Incentive Plan Proposal, the 2024 Plan will become effective on the consummation of the merger. If the 2024 Plan is not approved by the stockholders, it will not become effective and no awards will be granted thereunder. The 2024 Plan is described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2024, the AVROBIO Board adopted and approved the 2024 Plan and is submitting the 2024 Plan to stockholders for their adoption and approval. Pursuant to the Merger Agreement, AVROBIO and Tectonic have each agreed that they will use commercially reasonable efforts to cause AVROBIO stockholders to approve the 2024 Plan. The AVROBIO Board believes the 2024 Plan advances the combined companys interests by allowing the combined company to attract and retain the best available personnel for positions of substantial responsibility; to provide additional incentive to employees, directors, and consultants; and to promote the success of the combined companys business. The AVROBIO Board has adopted and approved the 2024 Plan to permit the combined company to continue to use stock-based compensation to align stockholder and participant interests and to motivate participants providing services to the combined company. AVROBIOs stock-based compensation program is currently operated under AVROBIOs 2018 Plan. Upon approval of the 2024 Plan by stockholders at the special meeting, no new awards will be granted under the 2018 Plan after the date of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2024 Plan Will Allow the Combined Company to Effectively Recruit and Retain Key Talent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recommends that the AVROBIO stockholders approve the 2024 Plan because it believes the combined companys ability to grant equity-based awards is crucial in allowing the combined company to effectively compete for and appropriately motivate and reward key talent. It is in the long-term interest of both the combined company and its stockholders to strengthen the combined companys ability to attract, retain and motivate employees, officers, nonemployee directors and certain other service providers and to provide additional incentive for those persons through stock ownership and other incentives to improve financial performance, increase profits and strengthen the mutuality of interest between those persons and the combined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2024 Plan sets reasonable annual limits on the awards that non-employee directors may receive and updates the combined companys stock-based compensation program to reflect the current best practices in corporate governance, as further described below. In addition, the 2024 Plan provides for annual automatic share increases that will permit the combined company to continue to meet its equity-based award needs in the future without seeking stockholder approval of share reserve increases.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 Reserve and Annual Increase Will Meet the Combined Company Equity Needs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common stock that AVROBIO is asking stockholders approve be initially reserved for issuance under the 2024 Plan will not exceed a number of shares of combined company common stock equal to 12.5% of the combined companys fully diluted shares outstanding determined as of immediately after the effective time. Additionally, the 2024 Plan provides for an annual increase in the number of shares reserved for insurance under the 2024 Plan beginning on the first day of each fiscal year beginning with the 2025 fiscal year, in an amount equal to the least of (i) shares of common stock, (ii) 5% of the number of shares of all classes of common stock outstanding as of the last day of the immediately preceding fiscal year and (iii) a lesser number of shares of common stock determined by the administrator of the 2024 Plan. The automatic share reserve increase will operate only until the tenth anniversary of the earlier of the combined companys board or stockholder approval of the 2024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setting the initial share reserve and annual increase, the AVROBIO Board, with the consultation of Tectonic and Tectonics compensation consultant, considered a number of factors, including AVROBIOs forecasted hiring needs following the merger. The AVROBIO Board believes that the number of shares initially reserved for issuance under the 2024 Plan is sufficient to meet the combined companys fiscal year 2024 hiring needs. However, the AVROBIO Board believes that the number of shares initially reserved for issuance under the 2024 Plan will be insufficient to accommodate the growing needs of the combined companys business and to promote the growth of the combined companys business in the future. The AVROBIO Board believes that the 2024 Plans annual share reserve increase will provide sufficient shares to meet the combined companys future hiring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Promotion of Good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and AVROBIO Compensation Committee believe the use of stock-based incentive awards promotes best practices in corporate governance by maximizing stockholder value. By providing participants in the 2024 Plan with a stake in the combined companys success, the interests of the participants are aligned with those of the combined companys stockholders. Specific features of the 2024 Plan that are consistent with good corporate governance practices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AVROBIO Board has delegated primary administration authority to the combined companys compensation committee, which will consist entirely of independent non-employee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Annual Limits on Compensation to Non-Employee Directors</w:t>
            </w:r>
            <w:r>
              <w:rPr>
                <w:rFonts w:ascii="Times New Roman" w:hAnsi="Times New Roman"/>
                <w:sz w:val="20"/>
              </w:rPr>
              <w:t xml:space="preserve">. The 2024 Plan sets reasonable annual limits as to the cash compensation and awards that non-employee directors may receive during each fiscal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Limited transferability</w:t>
            </w:r>
            <w:r>
              <w:rPr>
                <w:rFonts w:ascii="Times New Roman" w:hAnsi="Times New Roman"/>
                <w:sz w:val="20"/>
              </w:rPr>
              <w:t xml:space="preserve">. Awards under the 2024 Plan generally may not be sold, assigned, transferred, pledged, or otherwise alienated, unless otherwise approved by the administrator.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Forfeiture Events</w:t>
            </w:r>
            <w:r>
              <w:rPr>
                <w:rFonts w:ascii="Times New Roman" w:hAnsi="Times New Roman"/>
                <w:sz w:val="20"/>
              </w:rPr>
              <w:t xml:space="preserve">. Each award under the 2024 Plan will be subject to the clawback policy adopted by the AVROBIO Compensation Committee effective as of October 2, 2023, and any other clawback policy or amendment thereto that, in the future, the combined company may adopt in its discretion or as may be required by applicable stock exchange rules or applicable laws (including any such clawback policy that is adopted after the grant of the award), and the administrator may require a participant to forfeit, return, or reimburse the combined company for all or a portion of the award and any amounts paid under the award in order to comply with the clawback policy or applicable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AVROBIOs executive officers and directors, to the extent such officers or directors continue service with the combined company following the closing of the merger, have an interest in the approval of the 2024 Plan because they are eligible to receive equity awards under the 2024 Plan.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2024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paragraphs summarize the key features of the 2024 Plan and its operation. However, this summary is not a complete description of all of the provisions of the 2024 Plan and is qualified in its entirety by the specific language of the 2024 Plan. A copy of the 2024 Plan is provided as </w:t>
      </w:r>
      <w:r>
        <w:rPr>
          <w:rFonts w:ascii="Times New Roman" w:hAnsi="Times New Roman"/>
          <w:sz w:val="20"/>
          <w:u w:val="single"/>
        </w:rPr>
        <w:t>Annex I</w:t>
      </w:r>
      <w:r>
        <w:rPr>
          <w:rFonts w:ascii="Times New Roman" w:hAnsi="Times New Roman"/>
          <w:sz w:val="20"/>
        </w:rPr>
        <w:t xml:space="preserve"> to this proxy statement.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2024 Plan provides for the grant of incentive stock options, or ISOs, within the meaning of Section 422 of the Code to employees, including employees of any parent or subsidiary, and for the grant of nonstatutory stock options, or NSOs, stock appreciation rights, restricted stock awards, restricted stock unit awards, performance awards and other forms of awards to employees, directors and consultants, including employees and consultants of the combined companys affiliates. As of March 15, 2024, AVROBIO had approximately 13 employees, 7 non-employee directors and no consultants. Following the closing of the merger, approximately 48 employees, 5 non-employee directors and no consultants of the combined company are expected to be eligible to participate in the 2024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Initially, the maximum number of shares of combined company common stock that may be issued under the 2024 Plan after it becomes effective will not exceed 12.5% of the combined companys fully diluted shares outstanding determined as of immediately after the effective time (the 2024 Plans initial share reserve). In addition, the number of shares of combined company common stock reserved for issuance under the 2024 Plan will automatically increase on January 1 of each year, starting on January 1, 2025, through and including January 1, 2034, in an amount equal to (1) 5% of the total number of shares of combined company common stock outstanding on the last day of the preceding calendar year, or (2) a lesser number of shares of combined company common stock determined by the combined companys board of directors prior to the date of the increase. The maximum number of shares of combined company common stock that may be issued on the exercise of ISOs under the 2024 Plan is three multiplied by the 2024 Plans initial share reserve.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2024 Plan that expire or terminate without being exercised or otherwise issued in full or that are paid out in cash rather than in shares do not reduce the number of shares available for issuance under the 2024 Plan. Shares withheld under a stock award to satisfy the exercise, strike or purchase price of a stock award or to satisfy a tax withholding obligation do not reduce the number of shares available for issuance under the 2024 Plan. If any shares of combined company common stock issued pursuant to a stock award are forfeited back to or repurchased or reacquired by the combined company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2024 Plan.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combined companys board of directors, or a duly authorized committee thereof, will administer the 2024 Plan and is referred to as the plan administrator herein. The combined companys board of directors may also delegate to one or more persons or bodies the authority to (1) designate recipients (other than officers) to receive specified stock awards; (2) determine the number of shares subject to such stock awards; and (3) determine the terms of such awards. Under the 2024 Plan, the combined companys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the combined companys board of directors also generally has the authority to effect,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generally accepted accounting principles.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stock option agreements adopted by the plan administrator. The plan administrator determines the exercise price for stock options, within the terms and conditions of the 2024 Plan, provided that the exercise price of a stock option generally cannot be less than 100% of the fair market value of a share of combined company common stock on the date of grant. Options granted under the 2024 Plan vest at the rate specified in the stock option agreement as determined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determines the term of stock options granted under the 2024 Plan, up to a maximum of 10 years. Unless the terms of an optionholders stock option agreement provide otherwise, if an optionholders service relationship with the combined company or any of the combined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the combined company or any of the combined companys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combined company or any of the combined companys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shares of combined company common stock issued upon the exercise of a stock option will be determined by the plan administrator and may include (1) cash, check, bank draft or money order, (2) a broker-assisted cashless exercise, (3) the tender of shares of combined company common stock previously owned by the optionholder, (4) a net exercise of the option if it is an NSO, or (5) other legal consideration approved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combined company common stock with respect to ISOs that are exercisable for the first time by an award 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parent or subsidiary corporations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under restricted stock unit award agreements adopted by the plan administrator. Restricted stock unit awards may be granted in consideration for any form of legal consideration that may be acceptable to the combined companys board of directors and permissible under applicable law. A restricted stock unit award may be settled by cash, delivery of shares of combined company common stock, a combination of cash and shares of combined company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plan administrator. A restricted stock award may be awarded in consideration for cash, check, bank draft or money order, services to the combined company, or any other form of legal consideration that may be acceptable to the combined companys board of directors and permissible under applicable law. The plan administrator determines the terms and conditions of restricted stock awards, including vesting and forfeiture terms. If a participants service relationship with the combined company ends for any reason, the combined company may receive any or all of the shares of combined company common stock held by the participant under such participants restricted stock award that have not vested as of the date the participant terminates service with the combined company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stock appreciation right agreements adopted by the plan administrator. The plan administrator determines the strike price for a stock appreciation right, which generally cannot be less than 100% of the fair market value of combined company common stock on the date of grant. A stock appreciation right granted under the 2024 Plan vests at the rate specified in the stock appreciation right agreement as determined by the plan administrator. Stock appreciation rights may be settled in cash or shares of combined company common stock or in any other form of payment, as determined by the combined companys board of directors and specified in the stock appreciation right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plan administrator determines the term of stock appreciation rights granted under the 2024 Plan, up to a maximum of 10 years. If a participants service relationship with the combined company or any of the combined companys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the combined company, or any of the combined companys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2024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any measure of performance selected by the combined companys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combined companys board of directors when the performance award is granted, the combined companys board of directors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portion of the combined companys business which is divested achieved performance objectives at targeted levels during the balance of a performance period following such divestiture; (8) to exclude the effect of any change in the outstanding shares of combined company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plan administrator may grant other awards based in whole or in part by reference to combined company common stock. The plan administrator will set the number of shares under the stock award (or cash equivalent) and all other terms and conditions of such awards.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calendar year that begins on or after the effective date of the merger, including awards granted and cash fees paid by the combined company to such non-employee director, will not exceed (1) $750,000 in total value or (2) if such non-employee director is first appointed or elected to the combined companys board of directors during such calendar year, $1,000,000 in total value.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the combined companys capital structure, such as a stock split, reverse stock split, or 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2024 Plan in the event of a corporate transaction (as defined in the 2024 Plan), unless otherwise provided in a participants stock award agreement or other written agreement with the combined company or one of the combined companys affiliates or unless otherwise expressly provided by the plan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2024 Plan may be assumed, continued or substituted for by any surviving or acquiring corporation (or its parent company), and any reacquisition or repurchase rights held by the combined company with respect to the stock award may be assigned to the combined companys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combined company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the combined company with respect to such stock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common stock in connection with the corporate transaction, over (ii) any per share exercise price payable by such holder, if applicable. In addition, any escrow, holdback, earn-out or similar provisions in the definitive agreement for the corporate transaction may apply to such payment to the same extent and in the same manner as such provisions apply to the holders of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a corporate transaction is generally defined as the consummation of: (1) a sale of all or substantially all of the combined companys assets, (2) the sale or disposition of at least 50% of the combined companys outstanding securities, (3) a merger or consolidation where the combined company does not survive the transaction, or (4) a merger or consolidation where the combined company does survive the transaction but the shares of combined company common stock outstanding immediately before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b/>
          <w:i/>
          <w:sz w:val="20"/>
        </w:rPr>
        <w:t>.</w:t>
      </w:r>
      <w:r>
        <w:rPr>
          <w:rFonts w:ascii="Times New Roman" w:hAnsi="Times New Roman"/>
          <w:sz w:val="20"/>
        </w:rPr>
        <w:t xml:space="preserve"> Awards granted under the 2024 Plan may be subject to acceleration of vesting and exercisability upon or after a change in control as may be provided in the applicable stock award agreement or in any other written agreement between the combined company or any of the combined companys affiliates and the participant, but in the absence of such provision, no such acceleration will automatically occur.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a change in control is generally defined as: (1) the acquisition by any person or company of more than 50% of the combined voting power of the combined companys then outstanding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a consummated merger, consolidation or similar transaction in which combined company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the combined companys assets other than to an entity more than 50% of the combined voting power of which is owned by combined company stockholders in substantially the same proportions as their ownership of the combined companys outstanding voting securities immediately prior to such transaction; or (4) when a majority of the combined companys board of directors becomes comprised of individuals who were not serving on the combined companys board of directors on the date the 2024 Plan was adopted, or the incumbent board, or whose nomination, appointment, or election was not approved by a majority of the incumbent board still in office.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combined companys board of directors has the authority to amend, suspend, or terminate the 2024 Plan at any time, provided that such action does not materially impair the existing rights of any participant without such participants written consent. Certain material amendments also require the approval of combined company stockholders. No ISOs may be granted after the tenth anniversary of the date the board of directors adopts the 2024 Plan. No stock awards may be granted under the 2024 Plan while it is suspended or after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U.S. federal income tax consequences of participation in the 2024 Plan. The summary is based on existing U.S. laws and regulations as of the record date,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A participant recognizes no taxable income for federal income tax purposes as a result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 and the combined company will not be entitled to any deduction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participant disposes of such shares either on or before the two-year anniversary of the date of grant or on or before the one-year anniversary of the date of exercise (referred to as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the combined company for federal income tax purposes, except to the extent such deduction is limited by applicable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alternative minimum tax purposes.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Nonstatutory Stock Options. </w:t>
      </w:r>
      <w:r>
        <w:rPr>
          <w:rFonts w:ascii="Times New Roman" w:hAnsi="Times New Roman"/>
          <w:sz w:val="20"/>
        </w:rPr>
        <w:t xml:space="preserve">A participant generally recognizes no taxable income as the result of the grant of such an option. However, upon exercising the option, the participant normally recognizes ordinary income equal to the amount that the fair market value of the shares on such date exceeds the exercise price. If the participant is an employee, such ordinary income generally is subject to withholding of income and employment taxes. Upon the sale of the shares acquired by the exercise of a nonstatutory stock option, any gain or loss (based on the difference between the sale price and the fair market value on the exercise date) will be taxed as capital gain or loss. No tax deduction is available to the combined company with respect to the grant of a nonstatutory stock option or the sale of the shares acquired through the exercise of the nonstatutory stock option.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In general, no taxable income is reportable when a stock appreciation right is granted to a participant. Upon exercise, the participant generally will recognize ordinary income in an amount equal to the fair market value of any shares received. If the participant is an employee, such ordinary income generally is subject to withholding of income and employment taxes. Any additional gain or loss recognized upon any later disposition of the shares would be capital gain or loss.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 </w:t>
      </w:r>
    </w:p>
    <w:p>
      <w:pPr>
        <w:pStyle w:val="TextBody"/>
        <w:bidi w:val="0"/>
        <w:spacing w:before="240" w:after="0"/>
        <w:jc w:val="left"/>
        <w:rPr>
          <w:rFonts w:ascii="Times New Roman" w:hAnsi="Times New Roman"/>
          <w:sz w:val="20"/>
        </w:rPr>
      </w:pPr>
      <w:r>
        <w:rPr>
          <w:rFonts w:ascii="Times New Roman" w:hAnsi="Times New Roman"/>
          <w:i/>
          <w:sz w:val="20"/>
        </w:rPr>
        <w:t>RSU Awards</w:t>
      </w:r>
      <w:r>
        <w:rPr>
          <w:rFonts w:ascii="Times New Roman" w:hAnsi="Times New Roman"/>
          <w:sz w:val="20"/>
        </w:rPr>
        <w:t xml:space="preserve">. There are no immediate tax consequences of receiving an award of RSUs. A participant who is awarded RSUs generally will be required to recognize ordinary income in an amount equal to the fair market value of the shares issued to and/or the cash received by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A participant generally will recognize no income upon the grant of a performance share or a performance award. Upon the settlement of such awards, participants normally will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409A of the Code</w:t>
      </w:r>
      <w:r>
        <w:rPr>
          <w:rFonts w:ascii="Times New Roman" w:hAnsi="Times New Roman"/>
          <w:sz w:val="20"/>
        </w:rPr>
        <w:t xml:space="preserve">. Section 409A of the Code (referred to as Section 409A) provides certain requirements for non-qualified deferred compensation arrangements with respect to an individuals deferral and distribution elections and permissible distribution events. Awards granted under the 2024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w:t>
      </w:r>
    </w:p>
    <w:p>
      <w:pPr>
        <w:pStyle w:val="TextBody"/>
        <w:bidi w:val="0"/>
        <w:spacing w:before="240" w:after="0"/>
        <w:jc w:val="left"/>
        <w:rPr>
          <w:rFonts w:ascii="Times New Roman" w:hAnsi="Times New Roman"/>
          <w:sz w:val="20"/>
        </w:rPr>
      </w:pPr>
      <w:r>
        <w:rPr>
          <w:rFonts w:ascii="Times New Roman" w:hAnsi="Times New Roman"/>
          <w:i/>
          <w:sz w:val="20"/>
        </w:rPr>
        <w:t>Medicare Surtax</w:t>
      </w:r>
      <w:r>
        <w:rPr>
          <w:rFonts w:ascii="Times New Roman" w:hAnsi="Times New Roman"/>
          <w:sz w:val="20"/>
        </w:rPr>
        <w:t xml:space="preserve">. In addition, a participants annual net investment income, as defined in Section 1411 of the Code, may be subject to a 3.8% federal surtax. Net investment income may include capital gain and/or loss arising from the disposition of shares issued pursuant to awards granted under the 2024 Plan. Whether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participants net investment income will be subject to this surtax will depend on the participants level of annual income and other factors. </w:t>
      </w:r>
    </w:p>
    <w:p>
      <w:pPr>
        <w:pStyle w:val="TextBody"/>
        <w:bidi w:val="0"/>
        <w:spacing w:before="240" w:after="0"/>
        <w:jc w:val="left"/>
        <w:rPr>
          <w:rFonts w:ascii="Times New Roman" w:hAnsi="Times New Roman"/>
          <w:sz w:val="20"/>
        </w:rPr>
      </w:pPr>
      <w:r>
        <w:rPr>
          <w:rFonts w:ascii="Times New Roman" w:hAnsi="Times New Roman"/>
          <w:i/>
          <w:sz w:val="20"/>
        </w:rPr>
        <w:t>Company Deduction and Section</w:t>
      </w:r>
      <w:r>
        <w:rPr>
          <w:rFonts w:ascii="Times New Roman" w:hAnsi="Times New Roman"/>
          <w:sz w:val="20"/>
        </w:rPr>
        <w:t> </w:t>
      </w:r>
      <w:r>
        <w:rPr>
          <w:rFonts w:ascii="Times New Roman" w:hAnsi="Times New Roman"/>
          <w:i/>
          <w:sz w:val="20"/>
        </w:rPr>
        <w:t>162(m)</w:t>
      </w:r>
      <w:r>
        <w:rPr>
          <w:rFonts w:ascii="Times New Roman" w:hAnsi="Times New Roman"/>
          <w:sz w:val="20"/>
        </w:rPr>
        <w:t xml:space="preserve">. The combined company generally will be entitled to a tax deduction in connection with an award under the 2024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combined companys chief executive officer and other covered employees as determined under Section 162(m) and applicable guidance. Under Section 162(m), the annual compensation paid to any of these individuals will be deductible only to the extent that it does not exceed $1,000,000.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DESCRIPTION ABOVE IS ONLY A SUMMARY OF THE EFFECT OF U.S. FEDERAL INCOME TAXATION ON PARTICIPANTS AND THE COMBINED COMPANY WITH RESPECT TO AWARDS UNDER THE 2024 PLAN. IT IS NOT COMPLETE AND DOES NOT DISCUSS THE IMPACT OF EMPLOYMENT OR OTHER TAX REQUIREMENTS, THE TAX CONSEQUENCES OF A PARTICIPANTS DEATH, OR THE PROVISIONS OF THE INCOME TAX LAWS OF ANY MUNICIPALITY, STATE, OR FOREIGN COUNTRY IN WHICH THE PARTICIPANT MAY RESIDE.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awards that an employee, director, or consultant may receive under the 2024 Plan is in the discretion of the administrator and therefore cannot be determined in advance. Consequently, no new plan benefits table is included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as of December 31, 2023 with respect to the shares of AVROBIO common stock that may be issued under AVROBIOs existing equity compensation plans.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665"/>
        <w:gridCol w:w="144"/>
        <w:gridCol w:w="106"/>
        <w:gridCol w:w="1766"/>
        <w:gridCol w:w="350"/>
        <w:gridCol w:w="144"/>
        <w:gridCol w:w="231"/>
        <w:gridCol w:w="1706"/>
        <w:gridCol w:w="60"/>
        <w:gridCol w:w="143"/>
        <w:gridCol w:w="97"/>
        <w:gridCol w:w="1804"/>
        <w:gridCol w:w="356"/>
      </w:tblGrid>
      <w:tr>
        <w:trPr/>
        <w:tc>
          <w:tcPr>
            <w:tcW w:w="166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6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44"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of Common Stock</w:t>
              <w:br/>
              <w:t>to be Issued</w:t>
              <w:br/>
              <w:t>Upon Exercise</w:t>
              <w:br/>
              <w:t>of Outstanding</w:t>
              <w:br/>
              <w:t>Options and</w:t>
              <w:br/>
              <w:t>RSUs (#)</w:t>
            </w:r>
          </w:p>
        </w:tc>
        <w:tc>
          <w:tcPr>
            <w:tcW w:w="35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br/>
              <w:t>of Outstanding</w:t>
              <w:br/>
              <w:t>Options ($)(1)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of Common Stock</w:t>
              <w:br/>
              <w:t>Remaining</w:t>
              <w:br/>
              <w:t>Available for</w:t>
              <w:br/>
              <w:t>Future Issuance</w:t>
              <w:br/>
              <w:t>Under Equity</w:t>
              <w:br/>
              <w:t>Compensation</w:t>
              <w:br/>
              <w:t>Plans (Excluding</w:t>
              <w:br/>
              <w:t>Securities</w:t>
              <w:br/>
              <w:t>Reflected in the</w:t>
              <w:br/>
              <w:t>First Column) (#)</w:t>
            </w:r>
          </w:p>
        </w:tc>
        <w:tc>
          <w:tcPr>
            <w:tcW w:w="356" w:type="dxa"/>
            <w:tcBorders/>
            <w:vAlign w:val="bottom"/>
          </w:tcPr>
          <w:p>
            <w:pPr>
              <w:pStyle w:val="TableContents"/>
              <w:bidi w:val="0"/>
              <w:spacing w:before="0" w:after="283"/>
              <w:jc w:val="left"/>
              <w:rPr/>
            </w:pPr>
            <w:r>
              <w:rPr/>
              <w:t> </w:t>
            </w:r>
          </w:p>
        </w:tc>
      </w:tr>
      <w:tr>
        <w:trPr/>
        <w:tc>
          <w:tcPr>
            <w:tcW w:w="1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 (2)</w:t>
            </w:r>
          </w:p>
        </w:tc>
        <w:tc>
          <w:tcPr>
            <w:tcW w:w="144"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5,111,846</w:t>
            </w:r>
          </w:p>
        </w:tc>
        <w:tc>
          <w:tcPr>
            <w:tcW w:w="350" w:type="dxa"/>
            <w:tcBorders/>
            <w:shd w:fill="CCEEFF" w:val="clear"/>
            <w:vAlign w:val="bottom"/>
          </w:tcPr>
          <w:p>
            <w:pPr>
              <w:pStyle w:val="TableContents"/>
              <w:bidi w:val="0"/>
              <w:spacing w:before="0" w:after="283"/>
              <w:jc w:val="left"/>
              <w:rPr/>
            </w:pPr>
            <w:r>
              <w:rPr/>
              <w:t>(2) </w:t>
            </w:r>
          </w:p>
        </w:tc>
        <w:tc>
          <w:tcPr>
            <w:tcW w:w="14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06" w:type="dxa"/>
            <w:tcBorders/>
            <w:shd w:fill="CCEEFF" w:val="clear"/>
            <w:vAlign w:val="bottom"/>
          </w:tcPr>
          <w:p>
            <w:pPr>
              <w:pStyle w:val="TableContents"/>
              <w:bidi w:val="0"/>
              <w:spacing w:before="0" w:after="283"/>
              <w:jc w:val="right"/>
              <w:rPr/>
            </w:pPr>
            <w:r>
              <w:rPr/>
              <w:t>7.29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9,750,415</w:t>
            </w:r>
          </w:p>
        </w:tc>
        <w:tc>
          <w:tcPr>
            <w:tcW w:w="356" w:type="dxa"/>
            <w:tcBorders/>
            <w:shd w:fill="CCEEFF" w:val="clear"/>
            <w:vAlign w:val="bottom"/>
          </w:tcPr>
          <w:p>
            <w:pPr>
              <w:pStyle w:val="TableContents"/>
              <w:bidi w:val="0"/>
              <w:spacing w:before="0" w:after="283"/>
              <w:jc w:val="left"/>
              <w:rPr/>
            </w:pPr>
            <w:r>
              <w:rPr/>
              <w:t>(3) </w:t>
            </w:r>
          </w:p>
        </w:tc>
      </w:tr>
      <w:tr>
        <w:trPr/>
        <w:tc>
          <w:tcPr>
            <w:tcW w:w="1665"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44"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966,784</w:t>
            </w:r>
          </w:p>
        </w:tc>
        <w:tc>
          <w:tcPr>
            <w:tcW w:w="350" w:type="dxa"/>
            <w:tcBorders/>
            <w:vAlign w:val="bottom"/>
          </w:tcPr>
          <w:p>
            <w:pPr>
              <w:pStyle w:val="TableContents"/>
              <w:bidi w:val="0"/>
              <w:spacing w:before="0" w:after="283"/>
              <w:jc w:val="left"/>
              <w:rPr/>
            </w:pPr>
            <w:r>
              <w:rPr/>
              <w:t>(4) </w:t>
            </w:r>
          </w:p>
        </w:tc>
        <w:tc>
          <w:tcPr>
            <w:tcW w:w="14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06" w:type="dxa"/>
            <w:tcBorders/>
            <w:vAlign w:val="bottom"/>
          </w:tcPr>
          <w:p>
            <w:pPr>
              <w:pStyle w:val="TableContents"/>
              <w:bidi w:val="0"/>
              <w:spacing w:before="0" w:after="283"/>
              <w:jc w:val="right"/>
              <w:rPr/>
            </w:pPr>
            <w:r>
              <w:rPr/>
              <w:t>8.15</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3,107,211</w:t>
            </w:r>
          </w:p>
        </w:tc>
        <w:tc>
          <w:tcPr>
            <w:tcW w:w="356" w:type="dxa"/>
            <w:tcBorders/>
            <w:vAlign w:val="bottom"/>
          </w:tcPr>
          <w:p>
            <w:pPr>
              <w:pStyle w:val="TableContents"/>
              <w:bidi w:val="0"/>
              <w:spacing w:before="0" w:after="283"/>
              <w:jc w:val="left"/>
              <w:rPr/>
            </w:pPr>
            <w:r>
              <w:rPr/>
              <w:t>(5) </w:t>
            </w:r>
          </w:p>
        </w:tc>
      </w:tr>
      <w:tr>
        <w:trPr/>
        <w:tc>
          <w:tcPr>
            <w:tcW w:w="166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76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r>
      <w:tr>
        <w:trPr/>
        <w:tc>
          <w:tcPr>
            <w:tcW w:w="1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4"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6,078,630</w:t>
            </w:r>
          </w:p>
        </w:tc>
        <w:tc>
          <w:tcPr>
            <w:tcW w:w="35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06" w:type="dxa"/>
            <w:tcBorders/>
            <w:shd w:fill="CCEEFF" w:val="clear"/>
            <w:vAlign w:val="bottom"/>
          </w:tcPr>
          <w:p>
            <w:pPr>
              <w:pStyle w:val="TableContents"/>
              <w:bidi w:val="0"/>
              <w:spacing w:before="0" w:after="283"/>
              <w:jc w:val="right"/>
              <w:rPr/>
            </w:pPr>
            <w:r>
              <w:rPr/>
              <w:t>7.33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12,857,626</w:t>
            </w:r>
          </w:p>
        </w:tc>
        <w:tc>
          <w:tcPr>
            <w:tcW w:w="356" w:type="dxa"/>
            <w:tcBorders/>
            <w:shd w:fill="CCEEFF" w:val="clear"/>
            <w:vAlign w:val="bottom"/>
          </w:tcPr>
          <w:p>
            <w:pPr>
              <w:pStyle w:val="TableContents"/>
              <w:bidi w:val="0"/>
              <w:spacing w:before="0" w:after="283"/>
              <w:jc w:val="left"/>
              <w:rPr/>
            </w:pPr>
            <w:r>
              <w:rPr/>
              <w:t> </w:t>
            </w:r>
          </w:p>
        </w:tc>
      </w:tr>
      <w:tr>
        <w:trPr/>
        <w:tc>
          <w:tcPr>
            <w:tcW w:w="166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76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804" w:type="dxa"/>
            <w:tcBorders/>
            <w:vAlign w:val="bottom"/>
          </w:tcPr>
          <w:p>
            <w:pPr>
              <w:pStyle w:val="TableContents"/>
              <w:pBdr>
                <w:top w:val="double" w:sz="6"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RSUs do not have any exercise price, such units are not included in the weighted average exercise price calculations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4,175,488 shares of AVROBIO common stock issuable upon the exercise of outstanding options and (ii) 936,358 shares of AVROBIO common stock issuable upon vesting of RSUs.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there were 7,978,667 shares of AVROBIO common stock available for grant under AVROBIOs 2018 Plan, no shares available for grant under AVROBIOs 2015 Plan, and 1,771,748 shares of AVROBIO common stock available for grant under AVROBIOs 2018 ESPP (which number excludes any shares that would have been added to the plan as a result of the automatic annual increase on January 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AVROBIOs 2018 ESPP provides that the number of shares reserved and available for issuance under the plan automatically increases each January 1 by the least of 1,115,700 shares of AVROBIO common stock, 1% of the outstanding number of shares of AVROBIO common stock on the immediately preceding December 31 or such lesser number of shares as determined by the AVROBIO Compensation Committee. However, the AVROBIO Compensation Committee opted to reduce the number of shares that would otherwise have automatically been made available for issuance under the 2018 ESPP on January 1, 2024 to zero.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484,700 shares of AVROBIO common stock underlying non-qualified stock options that were granted prior to the adoption of AVROBIOs Inducement Plans as one-time awards to various new employees in accordance with Nasdaq Listing Rule 5635(c)(4) and (ii) 482,084 shares of AVROBIO common stock issuable upon exercise of outstanding options granted under AVROBIOs 2019 Inducement Plan. There are no shares of AVROBIO common stock issuable upon exercise of outstanding options granted under AVROBIOs 2020 Inducement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1,407,211 shares of AVROBIO common stock issuable under AVROBIOs 2019 Inducement Plan and (ii) 1,700,000 issuable under AVROBIOs 2020 Inducement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Incentive Plan Proposal. Abstentions and broker non-votes, if any, will have no effect on the Incentive Plan Proposal. </w:t>
      </w:r>
    </w:p>
    <w:p>
      <w:pPr>
        <w:pStyle w:val="TextBody"/>
        <w:bidi w:val="0"/>
        <w:spacing w:before="240" w:after="0"/>
        <w:jc w:val="left"/>
        <w:rPr>
          <w:rFonts w:ascii="Times New Roman" w:hAnsi="Times New Roman"/>
          <w:sz w:val="20"/>
        </w:rPr>
      </w:pPr>
      <w:r>
        <w:rPr>
          <w:rFonts w:ascii="Times New Roman" w:hAnsi="Times New Roman"/>
          <w:sz w:val="20"/>
        </w:rPr>
        <w:t xml:space="preserve">The Incentive Plan Proposal is conditioned on the approval of the Nasdaq Stock Issuance Proposal. Therefore, if approval of the merger is not obtained, the Incentive Plan Proposal will have no effect, even if approved by AVROBIO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INCENTIVE PLAN PROPOSAL. </w:t>
      </w:r>
    </w:p>
    <w:p>
      <w:pPr>
        <w:pStyle w:val="TextBody"/>
        <w:bidi w:val="0"/>
        <w:spacing w:before="240" w:after="0"/>
        <w:jc w:val="left"/>
        <w:rPr>
          <w:rFonts w:ascii="Times New Roman" w:hAnsi="Times New Roman"/>
          <w:sz w:val="20"/>
        </w:rPr>
      </w:pPr>
      <w:r>
        <w:rPr>
          <w:rFonts w:ascii="Times New Roman" w:hAnsi="Times New Roman"/>
          <w:sz w:val="20"/>
        </w:rPr>
        <w:t>When you consider the recommendation of the AVROBIO Board in favor of approval of the 2024 Plan, you should keep in mind that certain of AVROBIOs directors and officers have interests in the 2024 Plan that are different from, in addition to, or in conflict with your interests as a stockholder, including, among other things, the existence of financial and personal interests, which may result in a conflict of interest on the part of such director(s) between what he, she or they may believe is in the best interests of AVROBIO and its stockholders and what he, she or they may believe is best for himself, herself or themselves in determining to recommend that stockholders vote for the proposals. In addition, AVROBIOs officers have interests in the merger that may conflict with your interests as a stockholder. See the section titled </w:t>
      </w:r>
      <w:r>
        <w:rPr>
          <w:rFonts w:ascii="Times New Roman" w:hAnsi="Times New Roman"/>
          <w:i/>
          <w:sz w:val="20"/>
        </w:rPr>
        <w:t>The MergerInterests of AVROBIOs Directors and Executive Officers in the Merger</w:t>
      </w:r>
      <w:r>
        <w:rPr>
          <w:rFonts w:ascii="Times New Roman" w:hAnsi="Times New Roman"/>
          <w:sz w:val="20"/>
        </w:rPr>
        <w:t xml:space="preserve"> beginning on page 221 of this proxy statement/prospectus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9" w:name="toc770053_113"/>
      <w:bookmarkEnd w:id="109"/>
      <w:r>
        <w:rPr>
          <w:rFonts w:ascii="Times New Roman" w:hAnsi="Times New Roman"/>
          <w:b/>
          <w:sz w:val="20"/>
        </w:rPr>
        <w:t xml:space="preserve">PROPOSAL NO. 5THE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AVROBIO stockholders are also being asked to consider and vote upon the ESPP Proposal to approve the combined companys 2024 Employee Stock Purchase Plan, which is referred to herein as the 2024 ESPP. The AVROBIO Board approved the 2024 ESPP on, subject to stockholder approval at the special meeting. If the AVROBIO stockholders approve the ESPP Proposal, the 2024 ESPP will become effective on the consummation of the merger. If the 2024 ESPP is not approved by the AVROBIO stockholders, it will not become effective. The 2024 ESPP is described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2024, the AVROBIO Board adopted and approved the combined companys 2024 ESPP and is submitting it to stockholders for their adoption and approval. Pursuant to the Merger Agreement, AVROBIO and Tectonic have each agreed that they will use commercially reasonable efforts to cause the AVROBIO stockholders to approve the 2024 ESPP. The AVROBIO Board has adopted and approved the 2024 ESPP to provide the combined companys eligible employees an opportunity to purchase the combined companys common stock at a discount through accumulated contributions of their earned compensation. AVROBIO currently operates its 2018 ESPP. Upon approval of the 2024 ESPP by stockholders, the 2018 ESPP will be terminated. While the 2024 ESPP will become effective the later of its approval by stockholders and the consummation of the merger, the first offering period will commence at a later date determined by the administrator of the 2024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2024 ESPP Will Allow the Combined Company to Effectively Recruit and Retain Key Talent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recommends that the AVROBIO stockholders approve the 2024 ESPP because it believes that it is important to the combined companys ability to compete for talent. The 2024 ESPP may become a significant part of the combined companys overall equity compensation strategy (especially with respect to the combined companys nonexecutive employees). If the AVROBIO stockholders do not approve the 2024 ESPP, the combined company may not be able to offer competitive compensation to existing employees and qualified candidates, which could prevent it from successfully attracting and retaining highly skilled employees. The AVROBIO Board believes that the 2024 ESPP will be an important factor in attracting, motivating, and retaining qualified personnel who are essential to the combined companys success. The 2024 ESPP provides a significant incentive by allowing employees to purchase shares of the combined companys common stock at a discount.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2024 ESPPs effectiveness, offering periods will not commence under the 2024 ESPP until determined by the combined companys board of directors or its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 Reserve and Annual Increase Will Meet the Combined Company Equity Needs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is asking the AVROBIO stockholders to approve an initial share reserve of shares for the 2024 ESPP. Additionally, the 2024 ESPP provides for an annual increase in the number of shares reserved for insurance under the 2024 ESPP on the first day of each fiscal year beginning for the fiscal year following the fiscal year in which the first enrollment date under the 2024 ESPP (if any) occurs, in an amount equal to the least of (i) shares of the combined companys common stock, (ii) 1% of the outstanding shares of common stock on the last day of the immediately preceding fiscal year, or (iii) an amount determined by the administrator.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2024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features of the 2024 ESPP and its operation. This summary does not contain all of the terms and conditions of the 2024 ESPP and is qualified in its entirety by reference to the 2024 ESPP as set forth in </w:t>
      </w:r>
      <w:r>
        <w:rPr>
          <w:rFonts w:ascii="Times New Roman" w:hAnsi="Times New Roman"/>
          <w:sz w:val="20"/>
          <w:u w:val="single"/>
        </w:rPr>
        <w:t>Annex J</w:t>
      </w:r>
      <w:r>
        <w:rPr>
          <w:rFonts w:ascii="Times New Roman" w:hAnsi="Times New Roman"/>
          <w:sz w:val="20"/>
        </w:rPr>
        <w:t xml:space="preserve"> attached 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Purpose</w:t>
      </w:r>
      <w:r>
        <w:rPr>
          <w:rFonts w:ascii="Times New Roman" w:hAnsi="Times New Roman"/>
          <w:sz w:val="20"/>
        </w:rPr>
        <w:t xml:space="preserve">. The purpose of the 2024 ESPP is to provide eligible employees with an opportunity to purchase shares of the combined companys common stock through accumulated contributions. The 2024 ESPP will be designed to allow eligible U.S. employees to purchase combined company common stock in a manner that may qualify for favorable tax treatment under Section 423 of the Code.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Following the merger, the 2024 ESPP will authorize the issuance of a number of shares of combined company common stock equal to 1% of the total number of shares of combined company common stock issued and outstanding determined as of immediately after the effective time (the 2024 ESPPs initial share reserve), pursuant to purchase rights granted to the combined companys employees or to employees of any of the combined companys designated affiliates. The number of shares of combined company common stock reserved for issuance will automatically increase on January 1 of each year, from January 1, 2025 through and including January 1, 2034, by the lesser of (1) 1% of the total number of shares of combined company common stock outstanding on the last day of the preceding calendar year, and (2) a number of shares of combined company common stock equal to three times the 2024 ESPPs initial share reserve; </w:t>
      </w:r>
      <w:r>
        <w:rPr>
          <w:rFonts w:ascii="Times New Roman" w:hAnsi="Times New Roman"/>
          <w:i/>
          <w:sz w:val="20"/>
        </w:rPr>
        <w:t>provided</w:t>
      </w:r>
      <w:r>
        <w:rPr>
          <w:rFonts w:ascii="Times New Roman" w:hAnsi="Times New Roman"/>
          <w:sz w:val="20"/>
        </w:rPr>
        <w:t xml:space="preserve">, that prior to the date of any such increase, the combined companys board of directors may determine that such increase will be less than the amount set forth in clauses (1) and (2).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combined companys board of directors intends to delegate concurrent authority to administer the 2024 ESPP to the combined companys compensation committee. The 2024 ESPP is implemented through a series of offerings under which eligible employees are granted rights to purchase shares of combined company common stock on specified dates during such offerings. Under the 2024 ESPP, the combined company may specify offerings with durations of not more than 27 months, and may specify shorter purchase periods within each offering. Each offering will have one or more purchase dates on which shares of combined company common stock will be purchased for employees participating in the offering. An offering under the 2024 ESPP may be terminated under certain circumstances. </w:t>
      </w:r>
    </w:p>
    <w:p>
      <w:pPr>
        <w:pStyle w:val="TextBody"/>
        <w:bidi w:val="0"/>
        <w:spacing w:before="240" w:after="0"/>
        <w:jc w:val="left"/>
        <w:rPr>
          <w:rFonts w:ascii="Times New Roman" w:hAnsi="Times New Roman"/>
          <w:sz w:val="20"/>
        </w:rPr>
      </w:pPr>
      <w:r>
        <w:rPr>
          <w:rFonts w:ascii="Times New Roman" w:hAnsi="Times New Roman"/>
          <w:i/>
          <w:sz w:val="20"/>
        </w:rPr>
        <w:t>Payroll Deductions</w:t>
      </w:r>
      <w:r>
        <w:rPr>
          <w:rFonts w:ascii="Times New Roman" w:hAnsi="Times New Roman"/>
          <w:sz w:val="20"/>
        </w:rPr>
        <w:t xml:space="preserve">. Generally, all regular employees, including executive officers, employed by the combined company or by any of the combined companys designated affiliates, may participate in the 2024 ESPP and may contribute, normally through payroll deductions, up to a specified percentage of their earnings (as set forth in, and as defined in, the offering memorandum the combined companys board of directors or compensation committee may adopt from time to time with respect to offerings under the 2024 ESPP) for the purchase of shares of combined company common stock under the 2024 ESPP. Unless otherwise determined by the combined companys board of directors, shares of combined company common stock will be purchased for the accounts of employees participating in the 2024 ESPP at a price per share equal to the lower of (a) 85% of the fair market value of a share of combined company common stock on the first trading date of an offering or (b) 85% of the fair market value of a share of combined company common stock on the date of purchase. </w:t>
      </w:r>
    </w:p>
    <w:p>
      <w:pPr>
        <w:pStyle w:val="TextBody"/>
        <w:bidi w:val="0"/>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2024 ESPP, as determined by the combined companys board of directors, including: (1) being customarily employed for more than 20 hours per week; (2) being customarily employed for more than 5 months per calendar year; or (3) continuous employment with the combined company or one of the combined companys affiliates for a period of time (not to exceed two years). No employee may purchase shares under the 2024 ESPP at a rate in excess of $25,000 worth of combined company common stock based on the fair market value per share of combined company common stock at the beginning of an offering for each year such a purchase right is outstanding. Finally, no employee will be eligible for the grant of any purchase rights under the 2024 ESPP if immediately after such rights are granted, such employee has voting power over 5% or more of the combined companys outstanding capital stock measured by vote or value pursuant to Section 424(d) of the Code.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the combined companys capital structure through such actions as a stock split, merger, consolidation, reorganization, recapitalization, reincorporation, stock dividend, dividend in property other than cash, large nonrecurring cash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liquidating dividend, combination of shares, exchange of shares, change in corporate structure or similar transaction, the combined companys board of directors will make appropriate adjustments to (1) the number of shares reserved under the 2024 ESPP, (2) the maximum number of shares by which the share reserve may increase automatically each year, (3) the number of shares and purchase price of all outstanding purchase rights and (4) the number of shares that are subject to purchase limits under ongoing offerings.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a corporate transaction (as defined in the 2024 ESPP), any then-outstanding rights to purchase combined company stock under the 2024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combined company common stock within 10 business days prior to such corporate transaction, and such purchase rights will terminate immediately after such purchase.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ESPP, a corporate transaction is generally the consummation of: (1) a sale of all or substantially all of the combined companys assets; (2) the sale or disposition of more than 50% of the combined companys outstanding securities; (3) a merger or consolidation where the combined company does not survive the transaction; and (4) a merger or consolidation where the combined company does survive the transaction but the shares of combined company common stock outstanding immediately before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2024 ESPP Amendments, Termination</w:t>
      </w:r>
      <w:r>
        <w:rPr>
          <w:rFonts w:ascii="Times New Roman" w:hAnsi="Times New Roman"/>
          <w:sz w:val="20"/>
        </w:rPr>
        <w:t xml:space="preserve">. The combined companys board of directors has the authority to amend or terminate the 2024 ESPP, provided that except in certain circumstances such amendment or termination may not materially impair any outstanding purchase rights without the holders consent. The combined company will obtain stockholder approval of any amendment to the 2024 ESPP, as required by applicable law or listing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material U.S. federal income tax consequences of participation in the 2024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2024 ESPP is intended to qualify as an employee stock purchase plan within the meaning of Section 423 of the Code. Under an employee stock purchase plan that so qualifies, no taxable income will be recognized by a participant, and no deductions will be allowable to the combined company, upon either the grant or the exercise of the purchase rights. Taxable income will not be recognized until there is a sale or other disposition of the shares of common stock acquired under the 2024 ESPP or in the event of the participants death while still owning the purchased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purchased shares of common stock within two years after the start date of the offering period in which the shares of common stock were acquired or within one year after the actual purchase date of those shares of common stock, then the participant generally will recognize ordinary income in the year of sale or disposition equal to the amount by which the fair market value of the shares of common stock on the purchase date exceeded the purchase price paid for those shares of common stock, and the combined company will be entitled to an income tax deduction equal in amount to such excess, for the taxable year in which such disposition occurs. The amount of this ordinary income will be added to the participants basis in the shares of common stock, and any resulting gain or loss recognized upon the sale or disposition will be a capital gain or loss. If the shares of common stock have been held for more than one year since the date of purchase, the gain or loss will be long-term.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participant sells or disposes of the purchased shares of common stock more than two years after the start date of the offering period in which the shares of the combined companys common stock were acquired and more than one year after the actual purchase date of those shares of common stock, then the participant generally will recognize ordinary income in the year of sale or disposition equal to the lesser of (a) the amount by which the fair market value of the shares of common stock on the sale or disposition date exceeded the purchase price paid for those shares of common stock, or (b) 15% of the fair market value of the shares of common stock on the start date of that offering period. Any additional gain upon the disposition will be taxed as a long-term capital gain. Alternatively, if the fair market value of the shares of common stock on the date of the sale or disposition is less than the purchase price, there will be no ordinary income and any loss recognized will be a long-term capital loss. The combined company will not be entitled to an income tax deduction with respect to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 participants annual net investment income, as defined in Section 1411 of the Code, may be subject to a 3.8% U.S. federal surtax. Net investment income may include capital gain and/or loss arising from the disposition of shares of common stock purchased under the 2024 ESPP. Whether a participants net investment income will be subject to this surtax will depend on the participants level of annual income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still owns the purchased shares of common stock at the time of death, the lesser of (i) the amount by which the fair market value of the shares of common stock on the date of death exceeds the purchase price or (ii) 15% of the fair market value of the shares of common stock on the start date of the offering period in which those shares of common stock were acquired will constitute ordinary income in the year of death.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Because participation in the 2024 ESPP is voluntary, the benefits or amounts that will be received by or allocated to any individual or group of individuals under the 2024 ESPP in the future are not determinable and no awards have been granted that are contingent on stockholder approval of the 2024 ESPP.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ESPP Proposal. Abstentions and broker non-votes, if any, will have no effect on the ESPP Proposal. </w:t>
      </w:r>
    </w:p>
    <w:p>
      <w:pPr>
        <w:pStyle w:val="TextBody"/>
        <w:bidi w:val="0"/>
        <w:spacing w:before="240" w:after="0"/>
        <w:jc w:val="left"/>
        <w:rPr>
          <w:rFonts w:ascii="Times New Roman" w:hAnsi="Times New Roman"/>
          <w:sz w:val="20"/>
        </w:rPr>
      </w:pPr>
      <w:r>
        <w:rPr>
          <w:rFonts w:ascii="Times New Roman" w:hAnsi="Times New Roman"/>
          <w:sz w:val="20"/>
        </w:rPr>
        <w:t xml:space="preserve">The ESPP Proposal is conditioned on the approval of the Nasdaq Stock Issuance Proposal. Therefore, if approval of the merger is not obtained, the ESPP Proposal will have no effect, even if approved by AVROBIO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ESPP PROPOSAL. </w:t>
      </w:r>
    </w:p>
    <w:p>
      <w:pPr>
        <w:pStyle w:val="TextBody"/>
        <w:bidi w:val="0"/>
        <w:spacing w:before="240" w:after="0"/>
        <w:jc w:val="left"/>
        <w:rPr>
          <w:rFonts w:ascii="Times New Roman" w:hAnsi="Times New Roman"/>
          <w:sz w:val="20"/>
        </w:rPr>
      </w:pPr>
      <w:r>
        <w:rPr>
          <w:rFonts w:ascii="Times New Roman" w:hAnsi="Times New Roman"/>
          <w:sz w:val="20"/>
        </w:rPr>
        <w:t>When you consider the recommendation of the AVROBIO Board in favor of approval of the 2024 ESPP, you should keep in mind that certain of AVROBIOs directors and officers have interests in the 2024 ESPP that are different from, in addition to, or in conflict with, your interests as a stockholder, including, among other things, the existence of financial and personal interests, which may result in a conflict of interest on the part of such director(s) between what he, she or they may believe is in the best interests of AVROBIO and its stockholders and what he, she or they may believe is best for himself, herself or themselves in determining to recommend that stockholders vote for the proposals. In addition, AVROBIOs officers have interests in the merger that may conflict with your interests as a stockholder. See the section titled </w:t>
      </w:r>
      <w:r>
        <w:rPr>
          <w:rFonts w:ascii="Times New Roman" w:hAnsi="Times New Roman"/>
          <w:i/>
          <w:sz w:val="20"/>
        </w:rPr>
        <w:t>The MergerInterests of AVROBIOs Directors and Executive Officers in the Merger</w:t>
      </w:r>
      <w:r>
        <w:rPr>
          <w:rFonts w:ascii="Times New Roman" w:hAnsi="Times New Roman"/>
          <w:sz w:val="20"/>
        </w:rPr>
        <w:t xml:space="preserve"> beginning on page 221 of this proxy statement/prospectus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0" w:name="toc770053_114"/>
      <w:bookmarkEnd w:id="110"/>
      <w:r>
        <w:rPr>
          <w:rFonts w:ascii="Times New Roman" w:hAnsi="Times New Roman"/>
          <w:b/>
          <w:sz w:val="20"/>
        </w:rPr>
        <w:t xml:space="preserve">PROPOSAL NO. 6EXECUTIVE COMPENSATION ARRANGEMENTS PROPOSAL </w:t>
      </w:r>
    </w:p>
    <w:p>
      <w:pPr>
        <w:pStyle w:val="TextBody"/>
        <w:bidi w:val="0"/>
        <w:spacing w:before="240" w:after="0"/>
        <w:jc w:val="left"/>
        <w:rPr>
          <w:rFonts w:ascii="Times New Roman" w:hAnsi="Times New Roman"/>
          <w:sz w:val="20"/>
        </w:rPr>
      </w:pPr>
      <w:r>
        <w:rPr>
          <w:rFonts w:ascii="Times New Roman" w:hAnsi="Times New Roman"/>
          <w:sz w:val="20"/>
        </w:rPr>
        <w:t>As required by Item 402(t) of Regulation S-K and Section 14A of the Exchange Act and Rule 14a-21(c) thereunder, AVROBIO is providing AVROBIO stockholders with the opportunity to vote, on a non-binding advisory basis, on the golden parachute compensation that may become payable to the AVROBIO named executive officers in connection with the merger, as disclosed pursuant to Item 402(t) of Regulation S-K in the section titled </w:t>
      </w:r>
      <w:r>
        <w:rPr>
          <w:rFonts w:ascii="Times New Roman" w:hAnsi="Times New Roman"/>
          <w:i/>
          <w:sz w:val="20"/>
        </w:rPr>
        <w:t>Golden Parachute Compensation</w:t>
      </w:r>
      <w:r>
        <w:rPr>
          <w:rFonts w:ascii="Times New Roman" w:hAnsi="Times New Roman"/>
          <w:sz w:val="20"/>
        </w:rPr>
        <w:t xml:space="preserve"> in this proxy statement/prospectus/information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AVROBIO believes that the information regarding golden parachute compensation that may become payable to its named executive officers in connection with the merger is reasonable and demonstrates that AVROBIOs executive compensation program was designed appropriately and structured to ensure the retention of talented executives and a strong alignment of the long-term interests of AVROBIO stockholders. Accordingly, AVROBIO is seeking approval of the following resolution at the special meeting: </w:t>
      </w:r>
    </w:p>
    <w:p>
      <w:pPr>
        <w:pStyle w:val="TextBody"/>
        <w:bidi w:val="0"/>
        <w:spacing w:before="120" w:after="0"/>
        <w:jc w:val="left"/>
        <w:rPr>
          <w:rFonts w:ascii="Times New Roman" w:hAnsi="Times New Roman"/>
          <w:sz w:val="20"/>
        </w:rPr>
      </w:pPr>
      <w:r>
        <w:rPr>
          <w:rFonts w:ascii="Times New Roman" w:hAnsi="Times New Roman"/>
          <w:sz w:val="20"/>
        </w:rPr>
        <w:t>RESOLVED, that the stockholders of AVROBIO, Inc. approve, on a nonbinding, advisory basis, the compensation that will or may become payable by AVROBIO to its named executive officers that is based on or otherwise relates to the transactions as disclosed pursuant to Item 402(t) of Regulation S-K in the section titled </w:t>
      </w:r>
      <w:r>
        <w:rPr>
          <w:rFonts w:ascii="Times New Roman" w:hAnsi="Times New Roman"/>
          <w:i/>
          <w:sz w:val="20"/>
        </w:rPr>
        <w:t>Golden Parachute Compensation.</w:t>
      </w:r>
    </w:p>
    <w:p>
      <w:pPr>
        <w:pStyle w:val="TextBody"/>
        <w:bidi w:val="0"/>
        <w:spacing w:before="240" w:after="0"/>
        <w:jc w:val="left"/>
        <w:rPr>
          <w:rFonts w:ascii="Times New Roman" w:hAnsi="Times New Roman"/>
          <w:sz w:val="20"/>
        </w:rPr>
      </w:pPr>
      <w:r>
        <w:rPr>
          <w:rFonts w:ascii="Times New Roman" w:hAnsi="Times New Roman"/>
          <w:sz w:val="20"/>
        </w:rPr>
        <w:t>Stockholders of AVROBIO should note that this proposal is not a condition to the completion of the merger, and as an advisory vote, the result will not be binding on AVROBIO, the AVROBIO Board or the named executive officers. Further, the underlying employment agreements, equity awards and other arrangements are contractual in nature and not, by their terms, subject to stockholder approval. Accordingly, regardless of the outcome of the advisory vote, the named executive officers will be eligible to receive the compensation that is based on or otherwise relates to the merger in accordance with the terms and conditions applicable to the underlying employment agreements, equity awards and other arrangements AVROBIO entered into with these named executive officers, as described in the section titled </w:t>
      </w:r>
      <w:r>
        <w:rPr>
          <w:rFonts w:ascii="Times New Roman" w:hAnsi="Times New Roman"/>
          <w:i/>
          <w:sz w:val="20"/>
        </w:rPr>
        <w:t>Golden Parachute Compensation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Executive Compensation Arrangements Proposal on a non-binding advisory basis Abstentions and broker non-votes, if any, will have no effect on the Executive Compensation Arrangements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EXECUTIVE COMPENSATION ARRANGEMENTS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1" w:name="toc770053_115"/>
      <w:bookmarkEnd w:id="111"/>
      <w:r>
        <w:rPr>
          <w:rFonts w:ascii="Times New Roman" w:hAnsi="Times New Roman"/>
          <w:b/>
          <w:sz w:val="20"/>
        </w:rPr>
        <w:t xml:space="preserve">PROPOSAL NO. 7THE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receive a sufficient number of votes to approve the Nasdaq Stock Issuance Proposal and/or the Reverse Stock Split Proposal, AVROBIO may propose to adjourn the special meeting, for a period of not more than 60 days, for the purpose of soliciting additional proxies to approve the Nasdaq Stock Issuance Proposal and/or the Reverse Stock Split Proposal. AVROBIO currently does not intend to propose adjournment at the special meeting if there are sufficient votes to approve the Nasdaq Stock Issuance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special meeting, under AVROBIOs bylaws, the chair of the special meeting will have the power to adjourn the Special Meeting until a quorum is present or represented.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Adjournment Proposal. Abstentions and broker non-votes, if any, will have no effect on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Adjournment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ADJOURNMENT PROPOSAL,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2" w:name="toc770053_116"/>
      <w:bookmarkEnd w:id="112"/>
      <w:r>
        <w:rPr>
          <w:rFonts w:ascii="Times New Roman" w:hAnsi="Times New Roman"/>
          <w:b/>
          <w:sz w:val="20"/>
        </w:rPr>
        <w:t xml:space="preserve">AVROBIOS BUSINESS </w:t>
      </w:r>
    </w:p>
    <w:p>
      <w:pPr>
        <w:pStyle w:val="TextBody"/>
        <w:bidi w:val="0"/>
        <w:spacing w:before="240" w:after="0"/>
        <w:jc w:val="left"/>
        <w:rPr>
          <w:rFonts w:ascii="Times New Roman" w:hAnsi="Times New Roman"/>
          <w:b/>
          <w:sz w:val="20"/>
        </w:rPr>
      </w:pPr>
      <w:bookmarkStart w:id="113" w:name="toc770053_117"/>
      <w:bookmarkEnd w:id="113"/>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is a gene therapy company with a purpose to free people from a lifetime of genetic disease. AVROBIO has been focused on developing potentially curative HSC gene therapies to treat patients with rare diseases following a single dose treatment regimen. The gene therapies AVROBIO had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ERTs.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is not limited to, an acquisition, a merger, business combination or divestiture.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After a comprehensive review of strategic alternatives, including identifying and reviewing potential candidates for a strategic transaction, on January 30, 2024, AVROBIO entered into the Merger Agreement, with Merger Sub and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as part of the private financings, certain investors have agreed to purchase shares of Tectonic common stock at a purchase price of $12.39908 per share, subject to and immediately prior to the closing of the merger,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among the private financings contemplated by the Subscription Agreement and such Company SAFEs of approximately $130.7 million. At the effective time of the merger, each share of then-outstanding Tectonic common stock will be converted into the right to receive a number of shares of AVROBIO common stock, equal to the exchange ratio as set forth in the Merger Agreement. Concurrently with the closing of the merger, and assuming approval by AVROBIO stockholders, AVROBIO anticipates effecting a reverse stock split at a ratio in the range between 1:3 to 1:30, inclusive. Additionally, at or prior to the effective time of the merger, AVROBIO and a rights agent will enter into a CVR Agreement, pursuant to which AVROBIO stockholders of record as of immediately prior to such effective time (including holders of AVROBIO common stock issued upon settlement of the AVROBIO RSUs) will receive one non-transferable CVR for each outstanding share of AVROBIO common stock held by such stockholder on such date.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common stock to be issued in connection with the proposed merger. The closings of the private financings are conditioned upon the satisfaction or waiver of the conditions to the closing of the merger as well as certain other conditions. The closing of the merger is conditioned upon the satisfaction or waiver of the receipt of cash proceeds not less than $114.5 million in connection with the consummation of the transactions contemplated by the private financings. If the transactions are completed, the business of Tectonic will continue as the business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360" w:after="0"/>
        <w:jc w:val="left"/>
        <w:rPr>
          <w:rFonts w:ascii="Times New Roman" w:hAnsi="Times New Roman"/>
          <w:b/>
          <w:sz w:val="20"/>
        </w:rPr>
      </w:pPr>
      <w:bookmarkStart w:id="114" w:name="toc770053_118"/>
      <w:bookmarkEnd w:id="114"/>
      <w:r>
        <w:rPr>
          <w:rFonts w:ascii="Times New Roman" w:hAnsi="Times New Roman"/>
          <w:b/>
          <w:sz w:val="20"/>
        </w:rPr>
        <w:t xml:space="preserve">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AVROBIOs pipeline included three HSC gene therapy programs, none of which are in active clinical development, each targeting rare lysosomal disorders: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AVR-RD-02 has been studied for the treatment of Gaucher disease type 1 in an AVROBIO-sponsored Phase 1/2 clinical trial, which AVROBIO refers to as the Guard1 clinical trial. Five patients were dosed in the Guard1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AVR-RD-01 was AVROBIOs investigational gene therapy program for Fabry disease, which was deprioritized in January 2022. This decision was made due to several factors, including new clinical data showing variable engraftment patterns from the five most recently dosed patients in AVROBIOs Phase 2 clinical trial of AVR-RD-01 for the treatment of Fabry disease, which AVROBIO refers to as its FAB-GT clinical trial. The emergence of such new data would have significantly extended the programs development timeline. That development, coupled with an increasingly challenging market and regulatory environment for Fabry disease, were among the primary factors leading to AVROBIOs deprioritization of its Fabry program. As a result of the deprioritization, AVROBIO stopped enrollment of its FAB-GT clinical trial and focused on its other pipeline programs. A total of 14 patients had been dosed in AVROBIOs Fabry program, including nine patients in AVROBIOs FAB-GT clinical trial and five patients in a collaborator-sponsored Phase 1 clinical study of AVR-RD-01 for Fabry disease. </w:t>
      </w:r>
    </w:p>
    <w:p>
      <w:pPr>
        <w:pStyle w:val="TextBody"/>
        <w:bidi w:val="0"/>
        <w:spacing w:before="240" w:after="0"/>
        <w:jc w:val="left"/>
        <w:rPr>
          <w:rFonts w:ascii="Times New Roman" w:hAnsi="Times New Roman"/>
          <w:sz w:val="20"/>
        </w:rPr>
      </w:pPr>
      <w:r>
        <w:rPr>
          <w:rFonts w:ascii="Times New Roman" w:hAnsi="Times New Roman"/>
          <w:sz w:val="20"/>
        </w:rPr>
        <w:t xml:space="preserve">Resumption of the development of these product candidates, if that were to occur, would require the expenditure of significant resources to advance these candidates. Thereafter, if development of such product candidates were to be resumed and successfully advanced (of which there can be no assurance), it would be necessary to seek and obtain marketing approval to commercialize such product candidates, which could be expected to require the expenditure of significant additional resources and expenses related to regulatory, product sales, medical affairs, marketing, manufacturing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Tectonic will assume AVROBIOs product candidates and related intellectual property rights as part of the merger. </w:t>
      </w:r>
    </w:p>
    <w:p>
      <w:pPr>
        <w:pStyle w:val="TextBody"/>
        <w:bidi w:val="0"/>
        <w:spacing w:before="360" w:after="0"/>
        <w:jc w:val="left"/>
        <w:rPr>
          <w:rFonts w:ascii="Times New Roman" w:hAnsi="Times New Roman"/>
          <w:b/>
          <w:sz w:val="20"/>
        </w:rPr>
      </w:pPr>
      <w:bookmarkStart w:id="115" w:name="toc770053_119"/>
      <w:bookmarkEnd w:id="115"/>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To support its HSC gene therapy programs, AVROBIO developed its plato® HSC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Six patients in AVROBIOs FAB-GT clinical trial of AVR-RD-01, for which enrollment was halted, and five patients in AVROBIOs Guard1 clinical trial of AVR-RD-02, were dosed with drug product manufactured utilizing the plato platform. </w:t>
      </w:r>
    </w:p>
    <w:p>
      <w:pPr>
        <w:pStyle w:val="TextBody"/>
        <w:bidi w:val="0"/>
        <w:spacing w:before="240" w:after="0"/>
        <w:jc w:val="left"/>
        <w:rPr>
          <w:rFonts w:ascii="Times New Roman" w:hAnsi="Times New Roman"/>
          <w:sz w:val="20"/>
        </w:rPr>
      </w:pPr>
      <w:r>
        <w:rPr>
          <w:rFonts w:ascii="Times New Roman" w:hAnsi="Times New Roman"/>
          <w:sz w:val="20"/>
        </w:rPr>
        <w:t xml:space="preserve">AVROBIO established manufacturing relationships that AVROBIO believes would provide AVROBIO with drug product manufacturing capabilities to support all aspects of the development and eventual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commercialization of AVROBIOs gene therapies. AVROBIOs team leveraged their broad expertise in the manufacturing of gene and cellular therapies to build a network of contract manufacturing organizations (CMO) partners for the development and manufacture of drug products and outsourced suppliers for the supply of vectors and plasmids. AVROBIO relies on sole source suppliers for drug product manufacturing, vector supply, plasmid supply and cell culture media. </w:t>
      </w:r>
    </w:p>
    <w:p>
      <w:pPr>
        <w:pStyle w:val="TextBody"/>
        <w:bidi w:val="0"/>
        <w:spacing w:before="240" w:after="0"/>
        <w:jc w:val="left"/>
        <w:rPr>
          <w:rFonts w:ascii="Times New Roman" w:hAnsi="Times New Roman"/>
          <w:sz w:val="20"/>
        </w:rPr>
      </w:pPr>
      <w:r>
        <w:rPr>
          <w:rFonts w:ascii="Times New Roman" w:hAnsi="Times New Roman"/>
          <w:sz w:val="20"/>
        </w:rPr>
        <w:t xml:space="preserve">To optimize production of AVROBIOs gene therapies, AVROBIO moved cell processing to an automated, closed system using disposable supplies, believing this industrialized manufacturing process facilitated a repeatable approach through which AVROBIO could design and manufacture commercially viable HSC gene therapies to potentially treat a large variety of genetic disorders. </w:t>
      </w:r>
    </w:p>
    <w:p>
      <w:pPr>
        <w:pStyle w:val="TextBody"/>
        <w:bidi w:val="0"/>
        <w:spacing w:before="360" w:after="0"/>
        <w:jc w:val="left"/>
        <w:rPr>
          <w:rFonts w:ascii="Times New Roman" w:hAnsi="Times New Roman"/>
          <w:b/>
          <w:sz w:val="20"/>
        </w:rPr>
      </w:pPr>
      <w:bookmarkStart w:id="116" w:name="toc770053_120"/>
      <w:bookmarkEnd w:id="116"/>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AVROBIOs industry is highly competitive and subject to rapid and significant technological change. Potential competitors for AVROBIOs HSC gene therapy candidates include larger pharmaceutical, specialty pharmaceutical and biotechnology companies, as well as academic institutions, government agencies and private and public research institutions. Key competitive factors affecting the commercial success of AVROBIOs gene therapies would likely include efficacy, safety and tolerability profile, reliability, convenience, price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treatment of lysosomal disorders is especially large and competitive. The gene therapies AVROBIO was developing, if approved, would have faced competition.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pharmaceutical and biotechnology industries may result in even more resources being concentrated among a small number of AVROBIOs competitors. Accordingly, AVROBIOs competitors may be more successful than AVROBIO would have been in obtaining approval by the FDA for drugs and achieving widespread market acceptance. AVROBIOs competitors products may be more effective, or more effectively marketed and sold, than any product AVROBIO would have commercialized and may have rendered AVROBIOs gene therapies obsolete or non-competitive before AVROBIO could recover the expenses of developing and commercializing any of AVROBIOs gene therapies. AVROBIOs competitors may also obtain FDA or other regulatory approval for their products more rapidly than AVROBIO may have obtained approval for its products. AVROBIO anticipates that biotechnology companies will face intense and increasing competition as new drugs enter the market and advanced technologies become available. Finally, the development of new treatment methods for the diseases targeted by AVROBIOs gene therapies could render AVROBIOs gene therapies non-competitive or obsolete. </w:t>
      </w:r>
    </w:p>
    <w:p>
      <w:pPr>
        <w:pStyle w:val="TextBody"/>
        <w:bidi w:val="0"/>
        <w:spacing w:before="360" w:after="0"/>
        <w:jc w:val="left"/>
        <w:rPr>
          <w:rFonts w:ascii="Times New Roman" w:hAnsi="Times New Roman"/>
          <w:b/>
          <w:sz w:val="20"/>
        </w:rPr>
      </w:pPr>
      <w:bookmarkStart w:id="117" w:name="toc770053_121"/>
      <w:bookmarkEnd w:id="117"/>
      <w:r>
        <w:rPr>
          <w:rFonts w:ascii="Times New Roman" w:hAnsi="Times New Roman"/>
          <w:b/>
          <w:sz w:val="20"/>
        </w:rPr>
        <w:t xml:space="preserve">Licenses and Collaborations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 with Lund University Rights Holders </w:t>
      </w:r>
    </w:p>
    <w:p>
      <w:pPr>
        <w:pStyle w:val="TextBody"/>
        <w:bidi w:val="0"/>
        <w:spacing w:before="120" w:after="0"/>
        <w:jc w:val="left"/>
        <w:rPr>
          <w:rFonts w:ascii="Times New Roman" w:hAnsi="Times New Roman"/>
          <w:sz w:val="20"/>
        </w:rPr>
      </w:pPr>
      <w:r>
        <w:rPr>
          <w:rFonts w:ascii="Times New Roman" w:hAnsi="Times New Roman"/>
          <w:sz w:val="20"/>
        </w:rPr>
        <w:t xml:space="preserve">In January 2017, AVROBIO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AVROBIO funded with Lund University, granted to AVROBIO an exclusive worldwide license, subject to certain retained rights, under certain intellectual property rights to develop, commercialize and sell products in any and all uses relevant to Gaucher disease. Intellectual property licensed to AVROBIO under this agreement relates to AVROBIOs Gaucher program.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 AVROBIO is required to make payments in connection with the achievement of certain milestones up to an aggregate of $0.55 million. </w:t>
      </w:r>
    </w:p>
    <w:p>
      <w:pPr>
        <w:pStyle w:val="TextBody"/>
        <w:bidi w:val="0"/>
        <w:spacing w:before="240" w:after="0"/>
        <w:jc w:val="left"/>
        <w:rPr>
          <w:rFonts w:ascii="Times New Roman" w:hAnsi="Times New Roman"/>
          <w:sz w:val="20"/>
        </w:rPr>
      </w:pPr>
      <w:r>
        <w:rPr>
          <w:rFonts w:ascii="Times New Roman" w:hAnsi="Times New Roman"/>
          <w:sz w:val="20"/>
        </w:rPr>
        <w:t xml:space="preserve">AVROBIOs license agreement with the rights holders expires on the latest of (i) the twentieth anniversary of the end of a certain research project AVROBIO has funded pursuant to an agreement with Lund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the expiration of the term of any patent filed on the licensed rights that covers a licensed product, (iii) the expiration of any applicable marketing exclusivity right and (iv) such time that neither AVROBIO nor any of AVROBIOs sublicensees or partners or contractors are commercializing a licensed product. Either AVROBIO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 with BioMarin Pharmaceutical Inc. </w:t>
      </w:r>
    </w:p>
    <w:p>
      <w:pPr>
        <w:pStyle w:val="TextBody"/>
        <w:bidi w:val="0"/>
        <w:spacing w:before="120" w:after="0"/>
        <w:jc w:val="left"/>
        <w:rPr>
          <w:rFonts w:ascii="Times New Roman" w:hAnsi="Times New Roman"/>
          <w:sz w:val="20"/>
        </w:rPr>
      </w:pPr>
      <w:r>
        <w:rPr>
          <w:rFonts w:ascii="Times New Roman" w:hAnsi="Times New Roman"/>
          <w:sz w:val="20"/>
        </w:rPr>
        <w:t xml:space="preserve">In August 2017, AVROBIO entered into a license agreement with BioMarin pursuant to which BioMarin granted AVROBIO an exclusive worldwide license under certain intellectual property rights related to GILT tags owned or controlled by BioMarin to develop, commercialize and sell retroviridae-based gene therapy products for use in the treatment of Pompe disease. This agreement was amended in February 2018 and again in January 2020 to, among things, provide that BioMarin would supply AVROBIO with certain materials related to the GILT tags technology. Under the terms of the agreement, AVROBIO must use commercially reasonable efforts to develop and commercialize one or more licensed products in the United States and certain European countries. In addition, AVROBIO is required to initiate an IND-enabling pharmacology/toxicology study of a licensed product within a specified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 AVROBIO paid an initial license fee in the amount of $0.5 million and issued 233,765 shares of AVROBIOs Series B preferred stock to BioMarin at the time of AVROBIOs Series B financing. AVROBIO is also obligated to make payments to BioMarin upon achievement of certain milestones up to an aggregate of $13.0 million and pay to BioMarin a low single digit royalty percentage on net sales of licensed products covered by patent rights in a relevant country. AVROBIOs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AVROBIOs license agreement with BioMarin will expire upon the expiration of AVROBIOs royalty obligation for all licensed products throughout the world. Either AVROBIO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AVROBIO or AVROBIOs affiliates or sublicensees, or if AVROBIO, AVROBIOs affiliates or sublicensees knowingly assist a third party in challenging or otherwise opposing the licensed patent rights, except as required under a court order or subpoena. In addition, BioMarin may terminate the agreement upon AVROBIOs bankruptcy or insolvency. AVROBIO may terminate the agreement for any reason upon notice to BioMarin. </w:t>
      </w:r>
    </w:p>
    <w:p>
      <w:pPr>
        <w:pStyle w:val="TextBody"/>
        <w:bidi w:val="0"/>
        <w:spacing w:before="360" w:after="0"/>
        <w:jc w:val="left"/>
        <w:rPr>
          <w:rFonts w:ascii="Times New Roman" w:hAnsi="Times New Roman"/>
          <w:b/>
          <w:sz w:val="20"/>
        </w:rPr>
      </w:pPr>
      <w:bookmarkStart w:id="118" w:name="toc770053_122"/>
      <w:bookmarkEnd w:id="118"/>
      <w:r>
        <w:rPr>
          <w:rFonts w:ascii="Times New Roman" w:hAnsi="Times New Roman"/>
          <w:b/>
          <w:sz w:val="20"/>
        </w:rPr>
        <w:t xml:space="preserve">Governmental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biological products, including gene therapy products, are subject to regulation under the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AVROBIO may not be able to obtain the required regulatory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the FDA, the CBER regulates gene therapy products. The FDA and the NIH have published guidance documents with respect to the development and submission of gene therapy protocols. The FDA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 </w:t>
      </w:r>
    </w:p>
    <w:p>
      <w:pPr>
        <w:pStyle w:val="TextBody"/>
        <w:bidi w:val="0"/>
        <w:spacing w:before="240" w:after="0"/>
        <w:jc w:val="left"/>
        <w:rPr>
          <w:rFonts w:ascii="Times New Roman" w:hAnsi="Times New Roman"/>
          <w:sz w:val="20"/>
        </w:rPr>
      </w:pPr>
      <w:r>
        <w:rPr>
          <w:rFonts w:ascii="Times New Roman" w:hAnsi="Times New Roman"/>
          <w:sz w:val="20"/>
        </w:rPr>
        <w:t xml:space="preserve">Ethical, social and legal concerns about gene therapy, genetic testing and genetic research could result in additional regulations restricting or prohibiting the processes AVROBIO may use. Federal and state agencies, congressional committees and foreign governments have expressed interest in further regulating biotechnology. More restrictive regulations or claims that AVROBIOs products are unsafe or pose a hazard could prevent AVROBIO from commercializing any products. New government requirements may be established that could delay or prevent regulatory approval of AVROBIOs product candidates under development. It is impossible to predict whether legislative changes will be enacted, regulations, policies or guidance changed, or interpretations by agencies or courts changed, or what the impact of such changes, if any, may be.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Biological Products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The process required by the FDA before a biological product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laboratory tests and animal studies according to GLPs and applicable requirements for the humane use of laboratory animals or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application for an IND, which must become effective before human clinical studies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IRB or ethics committee at each clinical study site before each study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studies according to the FDAs regulations commonly referred to as GCPs and any additional requirements for the protection of human research subjects and their health information, to establish the safety and efficacy of the proposed biological product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 BLA for marketing approval that includes substantive evidence of safety, purity, and potency from results of nonclinical testing and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and purity and, if applicable, the FDAs current good tissue practices (GTPs) for the use of human cellular and tissue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nonclinical and clinical study sites that generated the data in support of the BLA;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for FDA review of the BLA (unless a fee waiver applies);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or licensure, of the BLA.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In addition to the submission of an IND to the FDA before initiation of a clinical trial in the United States, certain human clinical trials involving recombinant or synthetic nucleic acid molecules are subject to oversight of institutional biosafety committees (IBCs) as set forth in the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w:t>
      </w:r>
    </w:p>
    <w:p>
      <w:pPr>
        <w:pStyle w:val="TextBody"/>
        <w:bidi w:val="0"/>
        <w:spacing w:before="240" w:after="0"/>
        <w:jc w:val="left"/>
        <w:rPr>
          <w:rFonts w:ascii="Times New Roman" w:hAnsi="Times New Roman"/>
          <w:sz w:val="20"/>
        </w:rPr>
      </w:pPr>
      <w:r>
        <w:rPr>
          <w:rFonts w:ascii="Times New Roman" w:hAnsi="Times New Roman"/>
          <w:sz w:val="20"/>
        </w:rPr>
        <w:t xml:space="preserve">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AVROBIO cannot be sure that submission of an IND will result in the FDA allowing clinical studies to begin, or that, once begun, issues will not arise that suspend or terminate such studies. </w:t>
      </w:r>
    </w:p>
    <w:p>
      <w:pPr>
        <w:pStyle w:val="TextBody"/>
        <w:bidi w:val="0"/>
        <w:spacing w:before="240" w:after="0"/>
        <w:jc w:val="left"/>
        <w:rPr>
          <w:rFonts w:ascii="Times New Roman" w:hAnsi="Times New Roman"/>
          <w:sz w:val="20"/>
        </w:rPr>
      </w:pPr>
      <w:r>
        <w:rPr>
          <w:rFonts w:ascii="Times New Roman" w:hAnsi="Times New Roman"/>
          <w:sz w:val="20"/>
        </w:rPr>
        <w:t xml:space="preserve">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w:t>
      </w:r>
    </w:p>
    <w:p>
      <w:pPr>
        <w:pStyle w:val="TextBody"/>
        <w:bidi w:val="0"/>
        <w:spacing w:before="240" w:after="0"/>
        <w:jc w:val="left"/>
        <w:rPr>
          <w:rFonts w:ascii="Times New Roman" w:hAnsi="Times New Roman"/>
          <w:sz w:val="20"/>
        </w:rPr>
      </w:pPr>
      <w:r>
        <w:rPr>
          <w:rFonts w:ascii="Times New Roman" w:hAnsi="Times New Roman"/>
          <w:sz w:val="20"/>
        </w:rPr>
        <w:t xml:space="preserve">Clinical studies typically are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The biological product is evaluated in a limited patient population to identify possible adverse effects and safety risks, to preliminarily evaluate the efficacy of the product for specific targeted diseases and to determine dosage tolerance, optimal dosage and dosing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approval and product labeling.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unless otherwise agreed by the FDA, observe subjects for potential gene therapy-related delayed adverse events for a 15-year period, including a minimum of five years of annual examinations followed by ten years of annual queries, either in person or by questionnaire, of study subjects. </w:t>
      </w:r>
    </w:p>
    <w:p>
      <w:pPr>
        <w:pStyle w:val="TextBody"/>
        <w:bidi w:val="0"/>
        <w:spacing w:before="240" w:after="0"/>
        <w:jc w:val="left"/>
        <w:rPr>
          <w:rFonts w:ascii="Times New Roman" w:hAnsi="Times New Roman"/>
          <w:sz w:val="20"/>
        </w:rPr>
      </w:pPr>
      <w:r>
        <w:rPr>
          <w:rFonts w:ascii="Times New Roman" w:hAnsi="Times New Roman"/>
          <w:sz w:val="20"/>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 </w:t>
      </w:r>
    </w:p>
    <w:p>
      <w:pPr>
        <w:pStyle w:val="TextBody"/>
        <w:bidi w:val="0"/>
        <w:spacing w:before="240" w:after="0"/>
        <w:jc w:val="left"/>
        <w:rPr>
          <w:rFonts w:ascii="Times New Roman" w:hAnsi="Times New Roman"/>
          <w:sz w:val="20"/>
        </w:rPr>
      </w:pPr>
      <w:r>
        <w:rPr>
          <w:rFonts w:ascii="Times New Roman" w:hAnsi="Times New Roman"/>
          <w:sz w:val="20"/>
        </w:rPr>
        <w:t xml:space="preserve">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 </w:t>
      </w:r>
    </w:p>
    <w:p>
      <w:pPr>
        <w:pStyle w:val="TextBody"/>
        <w:bidi w:val="0"/>
        <w:spacing w:before="240" w:after="0"/>
        <w:jc w:val="left"/>
        <w:rPr>
          <w:rFonts w:ascii="Times New Roman" w:hAnsi="Times New Roman"/>
          <w:sz w:val="20"/>
        </w:rPr>
      </w:pPr>
      <w:r>
        <w:rPr>
          <w:rFonts w:ascii="Times New Roman" w:hAnsi="Times New Roman"/>
          <w:sz w:val="20"/>
        </w:rPr>
        <w:t xml:space="preserve">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AVROBIO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 </w:t>
      </w:r>
    </w:p>
    <w:p>
      <w:pPr>
        <w:pStyle w:val="TextBody"/>
        <w:bidi w:val="0"/>
        <w:spacing w:before="240" w:after="0"/>
        <w:jc w:val="left"/>
        <w:rPr>
          <w:rFonts w:ascii="Times New Roman" w:hAnsi="Times New Roman"/>
          <w:sz w:val="20"/>
        </w:rPr>
      </w:pPr>
      <w:r>
        <w:rPr>
          <w:rFonts w:ascii="Times New Roman" w:hAnsi="Times New Roman"/>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Orphan Drug Designation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AVROBIOs products for seven years if a competitor obtains approval of the same biological product as defined by the FDA or if AVROBIOs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 </w:t>
      </w:r>
    </w:p>
    <w:p>
      <w:pPr>
        <w:pStyle w:val="TextBody"/>
        <w:bidi w:val="0"/>
        <w:spacing w:before="240" w:after="0"/>
        <w:jc w:val="left"/>
        <w:rPr>
          <w:rFonts w:ascii="Times New Roman" w:hAnsi="Times New Roman"/>
          <w:sz w:val="20"/>
        </w:rPr>
      </w:pPr>
      <w:r>
        <w:rPr>
          <w:rFonts w:ascii="Times New Roman" w:hAnsi="Times New Roman"/>
          <w:sz w:val="20"/>
        </w:rPr>
        <w:t xml:space="preserve">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 </w:t>
      </w:r>
    </w:p>
    <w:p>
      <w:pPr>
        <w:pStyle w:val="TextBody"/>
        <w:bidi w:val="0"/>
        <w:spacing w:before="240" w:after="0"/>
        <w:jc w:val="left"/>
        <w:rPr>
          <w:rFonts w:ascii="Times New Roman" w:hAnsi="Times New Roman"/>
          <w:sz w:val="20"/>
        </w:rPr>
      </w:pPr>
      <w:r>
        <w:rPr>
          <w:rFonts w:ascii="Times New Roman" w:hAnsi="Times New Roman"/>
          <w:sz w:val="20"/>
        </w:rPr>
        <w:t xml:space="preserve">Under the Food and Drug Omnibus Reform Act of 2022 (FDORA), a platform technology incorporated within or utilized by a biological product is eligible for designation as a designated platform technology if (1) the platform technology is incorporated in, or utilized by, a drug approved under a BLA; (2) preliminary evidence submitted by the sponsor of the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Designated platform technology status does not ensure that a drug will be developed more quickly or receive FDA approval. In addition, the FDA may revoke a designation if the FDA determines that a designated platform technology no longer meets the criteria for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Under the Food and Drug Omnibus Reform Act of 2022 (FDORA),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of publication within 120 days of marketing approval be submitted to the agency for review during the pre-approval review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Regenerative Medicine Advanced Therapies Designation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21st Century Cures Act, enacted in December 2016, Congress amended the FD&amp;C Act to facilitate an efficient development program for, and expedite review of RMATs, which include cell and gene therapies, therapeutic tissue engineering products, human cell and tissue products, and combination products using any such therapies or products. RMATs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AVROBIO has relied, and expects to continue to rely, should it resume development of its product candidates, on third parties for the production of clinical and commercial quantities of any products that AVROBIO may commercialize. Manufacturers of AVROBIOs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AVROBIO also must, if it were to resume development of its product candidates,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AVROBIO. </w:t>
      </w:r>
    </w:p>
    <w:p>
      <w:pPr>
        <w:pStyle w:val="TextBody"/>
        <w:bidi w:val="0"/>
        <w:spacing w:before="240" w:after="0"/>
        <w:jc w:val="left"/>
        <w:rPr>
          <w:rFonts w:ascii="Times New Roman" w:hAnsi="Times New Roman"/>
          <w:sz w:val="20"/>
        </w:rPr>
      </w:pPr>
      <w:r>
        <w:rPr>
          <w:rFonts w:ascii="Times New Roman" w:hAnsi="Times New Roman"/>
          <w:sz w:val="20"/>
        </w:rPr>
        <w:t xml:space="preserve">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cGMPs and other laws. Manufacturers and other parties involved in the drug supply chain for prescription drug products must also comply with product tracking and tracing requirements and notify the FDA of counterfeit, diverted, stolen and intentionally adulterate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Patent Term Restoration and Marketing Exclusivity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the FDA approval of the use of AVROBIOs product candidates, if AVROBIO were to resume development of its product candidates, some of AVROBIOs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should AVROBIO resume development of its product candidates, AVROBIO may intend to apply for restoration of patent term for one of its patents, if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to add patent life beyond its current expiration date, depending on the expected length of the clinical studies and other factors involved in the filing of the relevant BLA.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obtain pediatric market exclusivity in the United States.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 </w:t>
      </w:r>
    </w:p>
    <w:p>
      <w:pPr>
        <w:pStyle w:val="TextBody"/>
        <w:bidi w:val="0"/>
        <w:spacing w:before="240" w:after="0"/>
        <w:jc w:val="left"/>
        <w:rPr>
          <w:rFonts w:ascii="Times New Roman" w:hAnsi="Times New Roman"/>
          <w:sz w:val="20"/>
        </w:rPr>
      </w:pPr>
      <w:r>
        <w:rPr>
          <w:rFonts w:ascii="Times New Roman" w:hAnsi="Times New Roman"/>
          <w:sz w:val="20"/>
        </w:rPr>
        <w:t xml:space="preserve">The 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 </w:t>
      </w:r>
    </w:p>
    <w:p>
      <w:pPr>
        <w:pStyle w:val="TextBody"/>
        <w:bidi w:val="0"/>
        <w:spacing w:before="240" w:after="0"/>
        <w:jc w:val="left"/>
        <w:rPr>
          <w:rFonts w:ascii="Times New Roman" w:hAnsi="Times New Roman"/>
          <w:sz w:val="20"/>
        </w:rPr>
      </w:pPr>
      <w:r>
        <w:rPr>
          <w:rFonts w:ascii="Times New Roman" w:hAnsi="Times New Roman"/>
          <w:sz w:val="20"/>
        </w:rPr>
        <w:t xml:space="preserve">A reference biological product is granted four- and 12-year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 </w:t>
      </w:r>
    </w:p>
    <w:p>
      <w:pPr>
        <w:pStyle w:val="TextBody"/>
        <w:bidi w:val="0"/>
        <w:spacing w:before="240" w:after="0"/>
        <w:jc w:val="left"/>
        <w:rPr>
          <w:rFonts w:ascii="Times New Roman" w:hAnsi="Times New Roman"/>
          <w:sz w:val="20"/>
        </w:rPr>
      </w:pPr>
      <w:r>
        <w:rPr>
          <w:rFonts w:ascii="Times New Roman" w:hAnsi="Times New Roman"/>
          <w:sz w:val="20"/>
        </w:rPr>
        <w:t xml:space="preserve">The first biological product determined to be interchangeable with a branded reference product for any condition of use is also eligible for a period of exclusivity,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state and federal laws regarding environmental protection and hazardous substances, including the Occupational Safety and Health Act, the Resource Conservancy and Recovery Act and the Toxic Substances Control Act, affect AVROBIOs business. These and other laws govern AVROBIOs use, handling and disposal of various biological, chemical and radioactive substances used in, and wastes generated by, AVROBIOs operations. If AVROBIOs operations result in contamination of the environment or expose individuals to hazardous substances, AVROBIO could be liable for damages and governmental fines. AVROBIO believes that it is in material compliance with applicable environmental laws and that continued compliance therewith will not have a material adverse effect on AVROBIOs business. AVROBIO cannot predict, however, how changes in these laws may affect its future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Foreign Corrupt Practices Act </w:t>
      </w:r>
    </w:p>
    <w:p>
      <w:pPr>
        <w:pStyle w:val="TextBody"/>
        <w:bidi w:val="0"/>
        <w:spacing w:before="120" w:after="0"/>
        <w:jc w:val="left"/>
        <w:rPr>
          <w:rFonts w:ascii="Times New Roman" w:hAnsi="Times New Roman"/>
          <w:sz w:val="20"/>
        </w:rPr>
      </w:pPr>
      <w:r>
        <w:rPr>
          <w:rFonts w:ascii="Times New Roman" w:hAnsi="Times New Roman"/>
          <w:sz w:val="20"/>
        </w:rPr>
        <w:t xml:space="preserve">The U.S. Foreign Corrupt Practices Act, to which AVROBIO is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AVROBIO obtains FDA approval for a product, AVROBIO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trial application much like the IND prior to the commencement of human clinical studies. In the European Union, for example, a CTA must be submitted for each clinical trial to each participating countrys national competent authority and an independent ethics committee, much like the FDA and an IRB, respectively. Under the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 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of a product in the European Union, AVROBIO must submit a marketing authorization application. The centralized procedure for obtaining a marketing authorization in the European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Union is mandatory for certain types of products, such as products produced by biotechnological processes,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A centralized marketing authorization is issued by the European Commission through the centralized procedure, based on the opinion of the Committee for Medicinal Products for Human Use (CHMP) of the EMA, and is valid throughout the entire territory of the European Union and in the additional Member States of the EEA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also provides opportunities for market exclusivity. For example, in the European Union, upon receiving a marketing authorization, innovative medicinal products approved on the basis of a complete and independent data package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Even if an innovative medicinal product gains the prescribed period of data exclusivity, another company could nevertheless also market another version of the product if such company obtained a marketing authorization based on an application with a complete and independent data package of pharmaceutical tests, preclinical tests and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is unlikely to generate sufficient return in the European Union to justify the necessary investment in its development;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during which a marketing authorization may not be granted in the European Union for a similar medicinal product to the authorized orphan product. A similar medicinal product is defined as a medicinal product containing a similar active substance or substances as contained in an authorized orphan medicinal product, and which is intended for the same therapeutic indication. </w:t>
      </w:r>
    </w:p>
    <w:p>
      <w:pPr>
        <w:pStyle w:val="TextBody"/>
        <w:bidi w:val="0"/>
        <w:spacing w:before="240" w:after="0"/>
        <w:jc w:val="left"/>
        <w:rPr>
          <w:rFonts w:ascii="Times New Roman" w:hAnsi="Times New Roman"/>
          <w:sz w:val="20"/>
        </w:rPr>
      </w:pPr>
      <w:r>
        <w:rPr>
          <w:rFonts w:ascii="Times New Roman" w:hAnsi="Times New Roman"/>
          <w:sz w:val="20"/>
        </w:rPr>
        <w:t xml:space="preserve">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medicinal product for the same indication as an authorized orphan product at any time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applicant can establish that its product, although similar to the authorized orphan product, is safer, more effective or otherwise clinically superior;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authorization holder for the authorized orphan product consents to a second orphan medicinal product application;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authorization holder for the authorized orphan product cannot supply enough orphan medicinal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The aforementioned European Union rules are generally applicable in the EEA. </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European Union law. </w:t>
      </w:r>
    </w:p>
    <w:p>
      <w:pPr>
        <w:pStyle w:val="TextBody"/>
        <w:bidi w:val="0"/>
        <w:spacing w:before="240" w:after="0"/>
        <w:jc w:val="left"/>
        <w:rPr>
          <w:rFonts w:ascii="Times New Roman" w:hAnsi="Times New Roman"/>
          <w:sz w:val="20"/>
        </w:rPr>
      </w:pPr>
      <w:r>
        <w:rPr>
          <w:rFonts w:ascii="Times New Roman" w:hAnsi="Times New Roman"/>
          <w:sz w:val="20"/>
        </w:rPr>
        <w:t xml:space="preserve">The UK officially withdrew from the European Union on January 31, 2020 and the European Union and the UK signed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currently continues to apply in Northern Ireland). The regulatory regime in Great Britain therefore aligns in many ways with current European Union regulations, however it is possible that these regimes will diverge more significantly in the future now that Great Britains regulatory system is independent from the European Union. For example, the UK has implemented the now repealed Clinical Trials Directive 2001/20/EC into national law through the Medicines for Human Use (Clinical Trials) Regulations 2004 (as amended). However the Medicines and Healthcare products Regulatory Agency, or MHRA, the UKs medicines regulator, published details of its legislative proposals designed to improve and strengthen the UK clinical trials legislation on March 21, 2023. The legislative proposals were published in response to a consultation which ran from January 17, 2022 to March 14, 2022. The MHRA will now work with lawyers to draft such new legislation. Great Britain is no longer covered by the European Unions procedures for the grant of marketing authorizations (Northern Ireland is covered by the centralized authorization procedure for the time being) and a separate marketing authorization is therefore required to market drugs in Great Britain. On January 1, 2024, a new international recognition framework was put in place by the MHRA, under which the MHRA may have regard to decisions on the approval of marketing authorizations made by the EMA and certain other regulators. The MHRA also has the power to have regard to marketing authorizations approved in EU Member States through decentralized or mutual recognition procedures with a view to more quickly granting a marketing authorization in the United Kingdom or Great Britain. </w:t>
      </w:r>
    </w:p>
    <w:p>
      <w:pPr>
        <w:pStyle w:val="TextBody"/>
        <w:bidi w:val="0"/>
        <w:spacing w:before="240" w:after="0"/>
        <w:jc w:val="left"/>
        <w:rPr>
          <w:rFonts w:ascii="Times New Roman" w:hAnsi="Times New Roman"/>
          <w:sz w:val="20"/>
        </w:rPr>
      </w:pPr>
      <w:r>
        <w:rPr>
          <w:rFonts w:ascii="Times New Roman" w:hAnsi="Times New Roman"/>
          <w:sz w:val="20"/>
        </w:rPr>
        <w:t xml:space="preserve">Since January 1, 2021, a separate process for orphan designation has applied in Great Britain. There is now no pre-marketing authorization orphan designation (as there is in the European Union) in Great Britain and the application for orphan designation will be reviewed by the MHRA at the time of a marketing authorization application for a UK or Great Britain marketing authorization. The criteria for orphan designation are the same as in the European Union, save that they apply to Great Britain only (e.g., there must be no satisfactory method of diagnosis, prevention or treatment of the condition concerned in Great Britain, as opposed to the European Union, and the prevalence of the condition must be no more than 5 in 10,000 persons in Great Britain).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European Union will enact legislative measures to enact it into law. On June 9, 2023, the MHRA announced that the medicines aspects of the Windsor Framework will apply from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comply with applicable foreign regulatory requirements, AVROBIO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FDA restrictions on the marketing of pharmaceutical products, AVROBIO may be subject to various federal and state laws targeting fraud and abuse in the healthcare industry. These laws may impact, among other things, AVROBIOs business or financial arrangements and relationships through which AVROBIO markets, sells and distributes the gene therapies for which AVROBIO obtains approval. In addition, AVROBIO may be subject to patient privacy regulation by both the federal government and the states in which AVROBIO conducts its business. The laws that may affect AVROBIOs ability to operate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HHS information related to payments or other transfers of value made to physicians (currently defined to include doctors, dentists, optometrists, podiatrists and chiropractors), certain other licensed health practitioners and teaching hospitals, as well as ownership and investment interests held by the physicians described above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government price reporting laws, which require Tectonic to calculate and report complex pricing metrics in an accurate and timely manner to government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AVROBIO is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state requirements and if AVROBIO fails to comply with an applicable state law requirement AVROBIO could be subject to penalties. Finally, there are state and foreign laws governing the privacy and security of health information, many of which differ from each other in significant ways and often are not preempted by HIPAA,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safe harbors available, it is possible that some of AVROBIOs business activities could be subject to challenge under one or more of such laws. </w:t>
      </w:r>
    </w:p>
    <w:p>
      <w:pPr>
        <w:pStyle w:val="TextBody"/>
        <w:bidi w:val="0"/>
        <w:spacing w:before="240" w:after="0"/>
        <w:jc w:val="left"/>
        <w:rPr>
          <w:rFonts w:ascii="Times New Roman" w:hAnsi="Times New Roman"/>
          <w:sz w:val="20"/>
        </w:rPr>
      </w:pPr>
      <w:r>
        <w:rPr>
          <w:rFonts w:ascii="Times New Roman" w:hAnsi="Times New Roman"/>
          <w:sz w:val="20"/>
        </w:rPr>
        <w:t xml:space="preserve">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 </w:t>
      </w:r>
    </w:p>
    <w:p>
      <w:pPr>
        <w:pStyle w:val="TextBody"/>
        <w:bidi w:val="0"/>
        <w:spacing w:before="240" w:after="0"/>
        <w:jc w:val="left"/>
        <w:rPr>
          <w:rFonts w:ascii="Times New Roman" w:hAnsi="Times New Roman"/>
          <w:sz w:val="20"/>
        </w:rPr>
      </w:pPr>
      <w:r>
        <w:rPr>
          <w:rFonts w:ascii="Times New Roman" w:hAnsi="Times New Roman"/>
          <w:sz w:val="20"/>
        </w:rPr>
        <w:t xml:space="preserve">Law enforcement authorities are increasingly focused on enforcing fraud and abuse laws, and it is possible that some of AVROBIOs practices may be challenged under these laws. Efforts to ensure that AVROBIOs current and future business arrangements with third parties, and AVROBIOs business generally, will comply with applicable healthcare laws and regulations will involve substantial costs. It is possible that governmental authorities will conclude that AVROBIOs business practices, including AVROBIOs arrangements with physicians and other healthcare providers, some of whom may receive stock options as compensation for services provided, may not comply with current or future statutes, regulations, agency guidance or case law involving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gene therapies outside the United States will also likely subject AVROBIO to foreign equivalents of the healthcare laws mentioned above, among other foreign laws.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physicians or other healthcare providers or entities with whom AVROBIO does business are found to be not in compliance with applicable laws, they may be subject to criminal, civil or administrative sanctions, including exclusions from government funded healthcare programs, which may also adversely affect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Regulators globally are also imposing greater monetary fines for privacy violations. For example, non-compliance with the EU GDPR may result in monetary penalties of up to 20 million or 4% of worldwide revenue, whichever is higher.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and UK Personal Data Collection </w:t>
      </w:r>
    </w:p>
    <w:p>
      <w:pPr>
        <w:pStyle w:val="TextBody"/>
        <w:bidi w:val="0"/>
        <w:spacing w:before="120" w:after="0"/>
        <w:jc w:val="left"/>
        <w:rPr>
          <w:rFonts w:ascii="Times New Roman" w:hAnsi="Times New Roman"/>
          <w:sz w:val="20"/>
        </w:rPr>
      </w:pPr>
      <w:r>
        <w:rPr>
          <w:rFonts w:ascii="Times New Roman" w:hAnsi="Times New Roman"/>
          <w:sz w:val="20"/>
        </w:rPr>
        <w:t xml:space="preserve">The collection and use of personal data (including health data) in the European Economic Area (EEA) and United Kingdom (UK) is governed by the provisions of the EU General Data Protection Regulation (EU GDPR) with respect to the EEA and the UK General Data Protection Regulation and UK Data Protection Act 2018 with respect to the UK (UK GDPR and collectively with the EU GDPR referred to as the GDPR, unless specified otherwise). The GDPR applies to any company established in the EEA and UK, as well as to those outside the EEA and UK, if they collect and use personal data in connection with the offering of goods or services to individuals in the European Union or the monitoring of their behavior. The GDPR is wide-ranging in scope and imposes numerous requirements on companies that process personal data, including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relating ensuring a legal basis or condition applies to the to processing of personal data, stricter requirements relation to the processing of sensitive data (such as health data), providing information to individuals regarding data processing activities, where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(the SCCs), and the UK IDTA has been put in place. Where relying on the SCCs /UK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Non-compliance with the GDPR may result in enforcement action, including monetary penalties of up to 20 million (£ 17.5 million for the UK), or 4% of worldwide revenue, whichever is higher, and confers a private right of action on data subjects and consumer associations to lodge complaints with supervisory authorities, seek judicial remedies, and obtain compensation for damages resulting from violations of the GDPR. The GDPR, supplemental laws/regulations supplementing the GDPR and other changes in laws or regulations associated with the enhanced protection of certain types of personal data, such as healthcare data or other sensitive information, could greatly increase AVROBIOs cost of providing AVROBIOs products and services (including with respect to conducting clinical trial in the EEA and UK) or even prevent AVROBIO from offering certain services in jurisdictions that AVROBIO may operate in,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Although the UK is regarded as a third country under the EU GDPR, the EEA and UK recognize one another as providing adequate protection under the EU GDPR and, therefore, transfers of personal data between the EEA and the UK remain unrestricted. The UK GDPR and EU GDPR are currently still closely aligned but operate independently from each other. The UK Government has introduced a Data Protection and Digital Information Bill into the UK legislative process to reform the UK data protection legal framework which may have an impact on the current alignment between the EU GDPR and UK GDPR if passed.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other third-party payors have attempted to control costs by limiting coverage and the amount of reimbursement for particular medical products. For example, in 2010, the ACA was enacted, which, among other things, increased the minimum Medicaid rebates owed by most manufacturers under the Medicaid Drug Rebate Program; extended the Medicaid Drug Rebate Program to utilization of prescriptions of individuals enrolled in Medicaid managed care plans; created a new Medicare Part D coverage gap discount program, in which manufacturers must agree to offer 70% point-of-sale discounts off negotiated prices of applicable brand drugs to eligible beneficiaries during their coverage gap period, as a condition for manufacturers outpatient drugs coverage under Medicare Part D; subjects drug manufacturers to annual fees based on pharmaceutical companies share of sales to federal healthcare programs; created a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other legislative and regulatory changes have been proposed and adopted in the United States since the ACA was enacted: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Budget Control Act of 2011 and subsequent legislation, among other things, created measures for spending reductions by Congress that include aggregate reductions of Medicare payments to providers of 2% per fiscal year, which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American Taxpayer Relief Act of 2012 further reduced Medicare payments to several types of providers and increased the statute of limitations period for the government to recover overpayment to providers from three to five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23, 2019, CMS published a final rule to allow Medicare Advantage Plans the option of using step therapy for Part B drugs beginning January 1, 2020.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IRA includes several provisions that could impact AVROBIOs business to varying degrees, should AVROBIO resume development of its product candidates,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AVROBIOs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President Biden has issued multiple executive orders that have sought to reduce prescription drug costs. In February 2023, the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0"/>
        <w:jc w:val="left"/>
        <w:rPr>
          <w:rFonts w:ascii="Times New Roman" w:hAnsi="Times New Roman"/>
          <w:sz w:val="20"/>
        </w:rPr>
      </w:pPr>
      <w:r>
        <w:rPr>
          <w:rFonts w:ascii="Times New Roman" w:hAnsi="Times New Roman"/>
          <w:sz w:val="20"/>
        </w:rPr>
        <w:t xml:space="preserve">AVROBIO expects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AVROBIOs products, if approved, or additional pricing pressures, should AVROBIO resume development of its product candidates. </w:t>
      </w:r>
    </w:p>
    <w:p>
      <w:pPr>
        <w:pStyle w:val="TextBody"/>
        <w:bidi w:val="0"/>
        <w:spacing w:before="360" w:after="0"/>
        <w:jc w:val="left"/>
        <w:rPr>
          <w:rFonts w:ascii="Times New Roman" w:hAnsi="Times New Roman"/>
          <w:b/>
          <w:sz w:val="20"/>
        </w:rPr>
      </w:pPr>
      <w:bookmarkStart w:id="119" w:name="toc770053_123"/>
      <w:bookmarkEnd w:id="119"/>
      <w:r>
        <w:rPr>
          <w:rFonts w:ascii="Times New Roman" w:hAnsi="Times New Roman"/>
          <w:b/>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While there have been some HSC gene therapies that have obtained coverage and reimbursement, significant uncertainty exists as to the coverage and reimbursement status of any gene therapies for which AVROBIO obtains regulatory approval. In the United States and markets in other countries, sales of any gene therapies for which AVROBIO receives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AVROBIOs gene therapies could reduce physician utilization of AVROBIOs products once approved and have a material adverse effect on AVROBIOs sales, results of operations and financial condition. Moreover, a payors decision to provide coverage for a product does not imply that an adequate reimbursement rate will be approved. Adequate third-party reimbursement may not be available to enable AVROBIO to maintain price levels sufficient to realize an appropriate return on AVROBIOs investment in product development.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w:t>
      </w:r>
    </w:p>
    <w:p>
      <w:pPr>
        <w:pStyle w:val="TextBody"/>
        <w:bidi w:val="0"/>
        <w:spacing w:before="240" w:after="0"/>
        <w:jc w:val="left"/>
        <w:rPr>
          <w:rFonts w:ascii="Times New Roman" w:hAnsi="Times New Roman"/>
          <w:sz w:val="20"/>
        </w:rPr>
      </w:pPr>
      <w:r>
        <w:rPr>
          <w:rFonts w:ascii="Times New Roman" w:hAnsi="Times New Roman"/>
          <w:sz w:val="20"/>
        </w:rPr>
        <w:t xml:space="preserve">As a result, should AVROBIO resume development of its product candidates, the coverage determination process will require AVROBIO to provide scientific and clinical support for the use of AVROBIOs products to each payor separately and will be a time-consuming process. In addition, many pharmaceutical manufacturers must calculate and report certain price reporting metrics to the government, such as average sales price, or ASP, and best price. Penalties may apply in some cases when such metrics are not submitted accurately and timely.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 and examining the medical necessity and cost-effectiveness of medical products and services, in addition to their safety and efficacy. In order to obtain and maintain coverage and reimbursement for any product, AVROBIO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 Factors payors consider in determining reimbursement are based on whether the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 </w:t>
      </w:r>
    </w:p>
    <w:p>
      <w:pPr>
        <w:pStyle w:val="TextBody"/>
        <w:bidi w:val="0"/>
        <w:spacing w:before="360" w:after="0"/>
        <w:jc w:val="left"/>
        <w:rPr>
          <w:rFonts w:ascii="Times New Roman" w:hAnsi="Times New Roman"/>
          <w:b/>
          <w:sz w:val="20"/>
        </w:rPr>
      </w:pPr>
      <w:bookmarkStart w:id="120" w:name="toc770053_124"/>
      <w:bookmarkEnd w:id="120"/>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March 15, 2024, AVROBIO had 13 full-time employees, two of whom have Ph.D. or M.D. degrees. Of these full-time employees, two employees are engaged in research and development activities and 11 employees are engaged in finance, legal, human resources, facilities and general management. AVROBIO has no collective bargaining agreements with AVROBIOs employees and AVROBIO has not experienced any work stoppages. AVROBIO considers its relationship with its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AVROBIOs human capital resources objectives have included, as applicable, retaining and incentivizing its existing employees. The principal purposes of AVROBIOs incentive plans and retention awards have been to retain, incentivize and motivate selected employees through the granting of stock- and cash-based awards, as well as through severance benefits. </w:t>
      </w:r>
    </w:p>
    <w:p>
      <w:pPr>
        <w:pStyle w:val="TextBody"/>
        <w:bidi w:val="0"/>
        <w:spacing w:before="360" w:after="0"/>
        <w:jc w:val="left"/>
        <w:rPr>
          <w:rFonts w:ascii="Times New Roman" w:hAnsi="Times New Roman"/>
          <w:b/>
          <w:sz w:val="20"/>
        </w:rPr>
      </w:pPr>
      <w:bookmarkStart w:id="121" w:name="toc770053_125"/>
      <w:bookmarkEnd w:id="121"/>
      <w:r>
        <w:rPr>
          <w:rFonts w:ascii="Times New Roman" w:hAnsi="Times New Roman"/>
          <w:b/>
          <w:sz w:val="20"/>
        </w:rPr>
        <w:t xml:space="preserve">AVROBIOs 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AVROBIO was incorporated under the laws of the State of Delaware in November 2015 under the name AvroBio, Inc. AVROBIOs corporate name was changed to AVROBIO, Inc. in June 2017. AVROBIO completed its IPO in June 2018. </w:t>
      </w:r>
    </w:p>
    <w:p>
      <w:pPr>
        <w:pStyle w:val="TextBody"/>
        <w:bidi w:val="0"/>
        <w:spacing w:before="240" w:after="0"/>
        <w:jc w:val="left"/>
        <w:rPr>
          <w:rFonts w:ascii="Times New Roman" w:hAnsi="Times New Roman"/>
          <w:sz w:val="20"/>
        </w:rPr>
      </w:pPr>
      <w:r>
        <w:rPr>
          <w:rFonts w:ascii="Times New Roman" w:hAnsi="Times New Roman"/>
          <w:sz w:val="20"/>
        </w:rPr>
        <w:t xml:space="preserve">AVROBIO is a smaller reporting company as defined in the Exchange Act. AVROBIO may continue to take advantage of certain of the scaled disclosures available to smaller reporting companies until the fiscal year following the determination that its voting and non-voting common stock held by non-affiliates is more than $250 million measured on the last business day of its second fiscal quarter, or its annual revenues are more than $100 million during the most recently completed fiscal year and its voting and non-voting common stock held by non-affiliates is more than $700 million measured on the last business day of its second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AVROBIOs principal executive offices are located at One Broadway, 14th Floor, Cambridge, Massachusetts 02142, and its telephone number is (617) 914-8420. AVROBIOs website address is </w:t>
      </w:r>
      <w:r>
        <w:rPr>
          <w:rFonts w:ascii="Times New Roman" w:hAnsi="Times New Roman"/>
          <w:i/>
          <w:sz w:val="20"/>
        </w:rPr>
        <w:t>www.avrobio.com</w:t>
      </w:r>
      <w:r>
        <w:rPr>
          <w:rFonts w:ascii="Times New Roman" w:hAnsi="Times New Roman"/>
          <w:sz w:val="20"/>
        </w:rPr>
        <w:t xml:space="preserve">. AVROBIOs website and the information contained on, or that can be accessed through, the website will not be deemed to be incorporated by reference in, and are not considered part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22" w:name="toc770053_126"/>
      <w:bookmarkEnd w:id="122"/>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AVROBIOs Internet address is </w:t>
      </w:r>
      <w:r>
        <w:rPr>
          <w:rFonts w:ascii="Times New Roman" w:hAnsi="Times New Roman"/>
          <w:i/>
          <w:sz w:val="20"/>
        </w:rPr>
        <w:t>www.avrobio.com</w:t>
      </w:r>
      <w:r>
        <w:rPr>
          <w:rFonts w:ascii="Times New Roman" w:hAnsi="Times New Roman"/>
          <w:sz w:val="20"/>
        </w:rPr>
        <w:t xml:space="preserve">. AVROBIOs Annual Reports on Form 10-K, Quarterly Reports on Form 10-Q, Current Reports on Form 8-K, including exhibits, proxy and information statements and amendments to those reports filed or furnished pursuant to Sections 13(a) and 15(d) of the Exchange Act are available through the Investors portion of its website free of charge as soon as reasonably practicable after AVROBIO electronically files such material with, or furnishes it to, the SEC. Information on its website is not part of this proxy statement/prospectus or any of its other securities filings unless specifically incorporated herein by reference. In addition, its filings with the SEC may be accessed through the SECs Electronic Data Gathering, Analysis and Retrieval system at </w:t>
      </w:r>
      <w:r>
        <w:rPr>
          <w:rFonts w:ascii="Times New Roman" w:hAnsi="Times New Roman"/>
          <w:i/>
          <w:sz w:val="20"/>
        </w:rPr>
        <w:t>www.sec.gov</w:t>
      </w:r>
      <w:r>
        <w:rPr>
          <w:rFonts w:ascii="Times New Roman" w:hAnsi="Times New Roman"/>
          <w:sz w:val="20"/>
        </w:rPr>
        <w:t xml:space="preserve">. All statements made in any of its securities filings, including all forward-looking statements or information, are made as of the date of the document in which the statement is included, and AVROBIO does not assume or undertake any obligation to update any of those statements or documents unless it is required to do so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3" w:name="toc770053_127"/>
      <w:bookmarkEnd w:id="123"/>
      <w:r>
        <w:rPr>
          <w:rFonts w:ascii="Times New Roman" w:hAnsi="Times New Roman"/>
          <w:b/>
          <w:sz w:val="20"/>
        </w:rPr>
        <w:t xml:space="preserve">TECTONICS BUSINESS </w:t>
      </w:r>
    </w:p>
    <w:p>
      <w:pPr>
        <w:pStyle w:val="TextBody"/>
        <w:bidi w:val="0"/>
        <w:spacing w:before="240" w:after="0"/>
        <w:jc w:val="left"/>
        <w:rPr>
          <w:rFonts w:ascii="Times New Roman" w:hAnsi="Times New Roman"/>
          <w:b/>
          <w:sz w:val="20"/>
        </w:rPr>
      </w:pPr>
      <w:bookmarkStart w:id="124" w:name="toc770053_128"/>
      <w:bookmarkEnd w:id="124"/>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rPr>
      </w:pPr>
      <w:r>
        <w:rPr>
          <w:rFonts w:ascii="Times New Roman" w:hAnsi="Times New Roman"/>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To unlock the potential for biologic therapeutics to broaden the clinical utility of GPCRs, Tectonic uses its proprietary GEODe technology platform in an attempt to overcome the known challenges of GPCR-targeted drug discovery. The initial platform components, first generation yeast library design and initial yeast selection protocols, were developed in Andrew Kruses lab at Harvard Medical School. However, over the last few years the Tectonic team has made many improvements and modifications to all aspect of the platform including second and third generation library designs, optimized GPCR engineering strategies and yeast selection protocols better suited to GPCR antibody discovery. These modifications have resulted in selection campaigns that have a higher hit rate with molecules that have higher affinity and potency compared to hits identified from initial antibody selection campaigns. The GEODe platform includes components aimed at optimizing the expression, purification, and stabilization of GPCRs and pairs these advances with Tectonics protein engineering and structural biology capabilities. While the current libraries, receptor engineering and selection strategies are producing GPCR-targeted antibodies, the Tectonic team continues to evolve and modify aspects of the platform, which the Tectonic team believes will lead to even better results. </w:t>
      </w:r>
    </w:p>
    <w:p>
      <w:pPr>
        <w:pStyle w:val="TextBody"/>
        <w:bidi w:val="0"/>
        <w:spacing w:before="240" w:after="0"/>
        <w:jc w:val="left"/>
        <w:rPr>
          <w:rFonts w:ascii="Times New Roman" w:hAnsi="Times New Roman"/>
          <w:sz w:val="20"/>
        </w:rPr>
      </w:pPr>
      <w:r>
        <w:rPr>
          <w:rFonts w:ascii="Times New Roman" w:hAnsi="Times New Roman"/>
          <w:sz w:val="20"/>
        </w:rPr>
        <w:t xml:space="preserve">Tectonics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Tectonic believes TX45s pharmacological profile, the direct result of applying Tectonics protein engineering capabilities, has the potential to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 HFpEF hereafter, as the initial disease setting. Tectonic hypothesizes that in this setting, treatment with relaxin could improve hemodynamics though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the platform may never result in the regulatory approval of a product candidate. See </w:t>
      </w:r>
      <w:r>
        <w:rPr>
          <w:rFonts w:ascii="Times New Roman" w:hAnsi="Times New Roman"/>
          <w:i/>
          <w:sz w:val="20"/>
        </w:rPr>
        <w:t>Risk Factors  Risks Related to Tectonic  Risks Related to the Discovery, Development and Regulatory Approval of Tectonics Product Candidates  Tectonic has limited experience in therapeutic discovery and development and its GEODe platform may never result in the regulatory approval of a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Group 2 PH is a subtype of PH which develops secondary to left heart disease (LHD). This is a common, chronic, life-threatening condition of complex diseases causes, or etiology, for which there are presently no FDA-approved medications. Group 2 PH / HFpEF is characterized by declining cardiac function, fibrotic tissue remodeling, in the heart, and in some patients, in the pulmonary vasculature as well. Tectonic has elected to prioritize development of TX45 in Group 2 PH / HFpEF because of the high unmet medical need in this population and the specific physiological actions of relaxin described above that suggest that it could address the key pathophysiology of the disease which involves both impairment of left ventricular function and high resistance in the pulmonary vasculature. There are no FDA approved therapies in Group 2 PH. Further, prior clinical data in patients with acute and chronic heart failure treated with a continuous infusion of a short half-life relaxin is supportive of the potential utility of relaxin administration in these patients. Clinical trials are planned to evaluate the hypothesis that relaxin could provide efficacy in patients with Group 2 PH/HFpEF. Beyond Group 2 PH / HFpEF, Tectonic believes there are additional areas where TX45 could potentially provide benefit to patients with diseases that result in the chronic deterioration of cardiac, lung and/or kidney function due to vascoconstriction and fibrotic remodeling.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18, 2024, all subjects within the first three cohorts of the single ascending dose portion of Tectonics Phase 1 clinical trial have been dosed with TX45. To date, TX45 has been generally well tolerated. Modeling of data available as of mid-January 2024 from these cohorts suggests that a single 1-2 mL injection of TX45 given once monthly (corresponding to a 150 mg and/or 300 mg dose) could be the target dose regimen. Decisions on dose and dosing frequency for the Phase 2 study will be based on a more complete dataset which will be available in mid-2024. </w:t>
      </w:r>
    </w:p>
    <w:p>
      <w:pPr>
        <w:pStyle w:val="TextBody"/>
        <w:bidi w:val="0"/>
        <w:spacing w:before="240" w:after="0"/>
        <w:jc w:val="left"/>
        <w:rPr>
          <w:rFonts w:ascii="Times New Roman" w:hAnsi="Times New Roman"/>
          <w:sz w:val="20"/>
        </w:rPr>
      </w:pPr>
      <w:r>
        <w:rPr>
          <w:rFonts w:ascii="Times New Roman" w:hAnsi="Times New Roman"/>
          <w:sz w:val="20"/>
        </w:rPr>
        <w:t xml:space="preserve">Tectonics second program is aimed at the discovery and development of a GPCR targeting biotherapeutic as a potential treatment for Hereditary Hemorrhagic Telangiectasia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 </w:t>
      </w:r>
    </w:p>
    <w:p>
      <w:pPr>
        <w:pStyle w:val="TextBody"/>
        <w:bidi w:val="0"/>
        <w:spacing w:before="240" w:after="0"/>
        <w:jc w:val="left"/>
        <w:rPr>
          <w:rFonts w:ascii="Times New Roman" w:hAnsi="Times New Roman"/>
          <w:sz w:val="20"/>
        </w:rPr>
      </w:pPr>
      <w:r>
        <w:rPr>
          <w:rFonts w:ascii="Times New Roman" w:hAnsi="Times New Roman"/>
          <w:sz w:val="20"/>
        </w:rPr>
        <w:t xml:space="preserve">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target GPCR for Tectonics HHT program is a receptor for an angiogenic factor known to be upregulated in animal models of HHT. By blocking the signaling of this receptor, Tectonic anticipates it could decrease bleeding resulting from the abnormal angiogenesis seen in HHT. </w:t>
      </w:r>
    </w:p>
    <w:p>
      <w:pPr>
        <w:pStyle w:val="TextBody"/>
        <w:bidi w:val="0"/>
        <w:spacing w:before="240" w:after="0"/>
        <w:jc w:val="left"/>
        <w:rPr>
          <w:rFonts w:ascii="Times New Roman" w:hAnsi="Times New Roman"/>
          <w:sz w:val="20"/>
        </w:rPr>
      </w:pPr>
      <w:r>
        <w:rPr>
          <w:rFonts w:ascii="Times New Roman" w:hAnsi="Times New Roman"/>
          <w:sz w:val="20"/>
        </w:rPr>
        <w:t xml:space="preserve">Tectonics third program is aimed at the discovery and development of potential therapies for fibrotic diseases and employs a bi-specific format for the construction of a molecule with a differentiated mechanism of action. The strategy leverages two targets, one with previous human proof of concept and one novel target.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targets are expressed on overlapping cell types with complementary and nonoverlapping modes of action that when inhibited simultaneously could enhance the therapeutic potential over inhibition of either target on its own. </w:t>
      </w:r>
    </w:p>
    <w:p>
      <w:pPr>
        <w:pStyle w:val="TextBody"/>
        <w:bidi w:val="0"/>
        <w:spacing w:before="240" w:after="0"/>
        <w:jc w:val="left"/>
        <w:rPr>
          <w:rFonts w:ascii="Times New Roman" w:hAnsi="Times New Roman"/>
          <w:sz w:val="20"/>
        </w:rPr>
      </w:pPr>
      <w:r>
        <w:rPr>
          <w:rFonts w:ascii="Times New Roman" w:hAnsi="Times New Roman"/>
          <w:sz w:val="20"/>
        </w:rPr>
        <w:t xml:space="preserve">Tectonic has strategically prioritized the selection of development indications for product candidates in its pipeline that it believes will offer an efficient path to Phase 2 clinical proof of concept, with outcomes measurable with 50-200 patients per indication, and which require treatment over a period of three -six months. Over the next three years, Tectonic anticipates that several significant milestones could be achieved for its lead asset TX45, including, completion of the ongoing Phase 1a dose escalation trial in mid-2024, proof of concept hemodynamic data in patients with Group 2 PH/HFpEF in 2025, and data from a randomized trial in patients with Group 2 PH/HFpEF in 2026. During this time, a development candidate from Tectonics HHT program may also advance into clinical studies in the fourth quarter of 2025 or the first quarter of 2026 and could progress into efficacy studies in patients in late 2026 or early 2027. </w:t>
      </w:r>
    </w:p>
    <w:p>
      <w:pPr>
        <w:pStyle w:val="TextBody"/>
        <w:bidi w:val="0"/>
        <w:spacing w:before="240" w:after="0"/>
        <w:jc w:val="left"/>
        <w:rPr>
          <w:rFonts w:ascii="Times New Roman" w:hAnsi="Times New Roman"/>
          <w:sz w:val="20"/>
        </w:rPr>
      </w:pPr>
      <w:r>
        <w:rPr>
          <w:rFonts w:ascii="Times New Roman" w:hAnsi="Times New Roman"/>
          <w:sz w:val="20"/>
        </w:rPr>
        <w:t xml:space="preserve">Tectonics GEODeTM platform has been optimized over the last three years and is in the early stages of being used to discover biologic drugs targeting GPCRs. Tectonic plans to deploy its GEODeTM platform to generate additional pipeline assets by identifying and optimizing new GPCR targeted biologics that have the potential to address areas of substantial unmet need. </w:t>
      </w:r>
    </w:p>
    <w:p>
      <w:pPr>
        <w:pStyle w:val="TextBody"/>
        <w:bidi w:val="0"/>
        <w:spacing w:before="360" w:after="0"/>
        <w:jc w:val="left"/>
        <w:rPr>
          <w:rFonts w:ascii="Times New Roman" w:hAnsi="Times New Roman"/>
          <w:b/>
          <w:sz w:val="20"/>
        </w:rPr>
      </w:pPr>
      <w:bookmarkStart w:id="125" w:name="toc770053_129"/>
      <w:bookmarkEnd w:id="125"/>
      <w:r>
        <w:rPr>
          <w:rFonts w:ascii="Times New Roman" w:hAnsi="Times New Roman"/>
          <w:b/>
          <w:sz w:val="20"/>
        </w:rPr>
        <w:t xml:space="preserve">Tectonics Founders and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was co-founded in June 2019 by Timothy A. Springer, Latham Family Professor, Harvard Medical School and Professor of Medicine, Childrens Hospital Boston, and Andrew Kruse, Professor of Biological Chemistry and Molecular Pharmacology, Harvard Medical School. These individuals are world-renowned scientists in their respective fields. Professor Springer has also been a founder of and/or founding investor in several successful biotechnology companies including LeukoSite, Moderna, Seismic Therapeutic, Morphic Therapeutic and Scholar Rock and remains highly active in the biotechnology sector. </w:t>
      </w:r>
    </w:p>
    <w:p>
      <w:pPr>
        <w:pStyle w:val="TextBody"/>
        <w:bidi w:val="0"/>
        <w:spacing w:before="240" w:after="0"/>
        <w:jc w:val="left"/>
        <w:rPr>
          <w:rFonts w:ascii="Times New Roman" w:hAnsi="Times New Roman"/>
          <w:sz w:val="20"/>
        </w:rPr>
      </w:pPr>
      <w:r>
        <w:rPr>
          <w:rFonts w:ascii="Times New Roman" w:hAnsi="Times New Roman"/>
          <w:sz w:val="20"/>
        </w:rPr>
        <w:t xml:space="preserve">Tectonic has assembled a highly qualified management team with broad experience in corporate strategy, drug discovery, clinical development, business development and finance to execute on its mission to develop GPCR-targeted biologic medicines. They are industry veterans who have worked at many of the largest, global Pharmaceutical Companies. The Tectonic management team and its scientific co-founders have played key roles in drug discovery or development programs that have resulted in over 20 initial drug approvals, including Keytruda® and Dupixent®. Other drugs that the founders and management team have played key roles in the discovery or development of include: Abecma®, Amevive®, Arcoxia®, Bavencio®, Braftovi®, Breyanzi®, Campath®, Camzyos®, Claritin®, Emend®, Entresto®, Entyvio®, Grastek®, Inrebic®, Mavenclad®, Mayzent®, Nasonex®, Odomzo®, Praluent®, Raptiva®, Reblozyl®, Remicade®, Simponi®, Singulair®, Tepmetko®, Velcade®, Zeposia®, and Zykadia®. </w:t>
      </w:r>
    </w:p>
    <w:p>
      <w:pPr>
        <w:pStyle w:val="TextBody"/>
        <w:bidi w:val="0"/>
        <w:spacing w:before="360" w:after="0"/>
        <w:jc w:val="left"/>
        <w:rPr>
          <w:rFonts w:ascii="Times New Roman" w:hAnsi="Times New Roman"/>
          <w:b/>
          <w:sz w:val="20"/>
        </w:rPr>
      </w:pPr>
      <w:bookmarkStart w:id="126" w:name="toc770053_130"/>
      <w:bookmarkEnd w:id="126"/>
      <w:r>
        <w:rPr>
          <w:rFonts w:ascii="Times New Roman" w:hAnsi="Times New Roman"/>
          <w:b/>
          <w:sz w:val="20"/>
        </w:rPr>
        <w:t xml:space="preserve">Background on GPCRs </w:t>
      </w:r>
    </w:p>
    <w:p>
      <w:pPr>
        <w:pStyle w:val="TextBody"/>
        <w:bidi w:val="0"/>
        <w:spacing w:before="120" w:after="0"/>
        <w:jc w:val="left"/>
        <w:rPr>
          <w:rFonts w:ascii="Times New Roman" w:hAnsi="Times New Roman"/>
          <w:sz w:val="20"/>
        </w:rPr>
      </w:pPr>
      <w:r>
        <w:rPr>
          <w:rFonts w:ascii="Times New Roman" w:hAnsi="Times New Roman"/>
          <w:sz w:val="20"/>
        </w:rPr>
        <w:t xml:space="preserve">GPCRs are a family of over 800 proteins found on the surface of cells throughout the body that mediate the bodys response to extracellular stimuli by initiating a series of enzymatic reactions on the inside of cells which result in changes to cellular physiology. The diversity, functional specificity and localization to particular cell or tissue types makes GPCRs an especially compelling class of drug targets. Over 30% of approved drugs spanning a wide range of therapeutic areas, including metabolic diseases, inflammation, respiratory diseases, neurology and cancer, exert their action by modulating GPCRs. The targets for these medicines, however, represent only approximately 12% of known GPCRs, leaving at least as many GPCRs that are considered druggable still unexploited. GPCRs have a complex topology which has made both the protein production and purification of GPCRs outside of their natural environment in the cellular lipid membrane, as well as the identification of viable drug candidates to target them, challenging.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structure of the RXFP1 GPCR activated by relaxin (also called relaxin-2) is shown below (</w:t>
      </w:r>
      <w:r>
        <w:rPr>
          <w:rFonts w:ascii="Times New Roman" w:hAnsi="Times New Roman"/>
          <w:b/>
          <w:sz w:val="20"/>
        </w:rPr>
        <w:t>Figure 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83105" cy="908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83105" cy="9080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1  Model of RXFP1 activation by Relaxin-2 </w:t>
      </w:r>
    </w:p>
    <w:p>
      <w:pPr>
        <w:pStyle w:val="TextBody"/>
        <w:bidi w:val="0"/>
        <w:spacing w:before="120" w:after="0"/>
        <w:jc w:val="left"/>
        <w:rPr>
          <w:rFonts w:ascii="Times New Roman" w:hAnsi="Times New Roman"/>
          <w:b/>
          <w:sz w:val="20"/>
        </w:rPr>
      </w:pPr>
      <w:bookmarkStart w:id="127" w:name="toc770053_131"/>
      <w:bookmarkEnd w:id="127"/>
      <w:r>
        <w:rPr>
          <w:rFonts w:ascii="Times New Roman" w:hAnsi="Times New Roman"/>
          <w:b/>
          <w:sz w:val="20"/>
        </w:rPr>
        <w:t xml:space="preserve">Background on Relaxin / RXFP1 Biology </w:t>
      </w:r>
    </w:p>
    <w:p>
      <w:pPr>
        <w:pStyle w:val="TextBody"/>
        <w:bidi w:val="0"/>
        <w:spacing w:before="120" w:after="0"/>
        <w:jc w:val="left"/>
        <w:rPr>
          <w:rFonts w:ascii="Times New Roman" w:hAnsi="Times New Roman"/>
          <w:sz w:val="20"/>
        </w:rPr>
      </w:pPr>
      <w:r>
        <w:rPr>
          <w:rFonts w:ascii="Times New Roman" w:hAnsi="Times New Roman"/>
          <w:sz w:val="20"/>
        </w:rPr>
        <w:t xml:space="preserve">Relaxin is a naturally occurring peptide hormone that was first identified in 1926 in the setting of pregnancy where it is upregulated to allow for hemodynamic adaptation and increased cardiac output in response to the increased demands to the developing fetus and to allow for loosening of the pelvic ligaments prior to delivery. Relaxin is a member of the insulin superfamily of peptide hormones, and it consists of two peptide chains linked by disulfide bonds. A representation of its structure is shown in Figure 2. Notably, activation of the RXFP1 receptor by relaxin does not result in internalization of the receptor, as is observed with many other GPCRs, which suggests there would be no receptor desensitization with chronic therapy using a relaxin-based agent.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45515" cy="7721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45515" cy="77216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2  Ribbon Diagram Representation of Relaxin-2 </w:t>
      </w:r>
    </w:p>
    <w:p>
      <w:pPr>
        <w:pStyle w:val="TextBody"/>
        <w:bidi w:val="0"/>
        <w:spacing w:before="120" w:after="0"/>
        <w:jc w:val="left"/>
        <w:rPr>
          <w:rFonts w:ascii="Times New Roman" w:hAnsi="Times New Roman"/>
          <w:sz w:val="20"/>
        </w:rPr>
      </w:pPr>
      <w:r>
        <w:rPr>
          <w:rFonts w:ascii="Times New Roman" w:hAnsi="Times New Roman"/>
          <w:sz w:val="20"/>
        </w:rPr>
        <w:t xml:space="preserve">Relaxin has long been of interest as a therapeutic agent for the treatment of cardiovascular disease because of its natural effects on hemodynamic function. The development of relaxin-based therapeutics, however, has been limited by the short half-life of the native peptide hormone, which has necessitated continuous intravenous or subcutaneous administration to establish and maintain target therapeutic levels of the compound in circulation. </w:t>
      </w:r>
    </w:p>
    <w:p>
      <w:pPr>
        <w:pStyle w:val="TextBody"/>
        <w:bidi w:val="0"/>
        <w:spacing w:before="240" w:after="0"/>
        <w:jc w:val="left"/>
        <w:rPr>
          <w:rFonts w:ascii="Times New Roman" w:hAnsi="Times New Roman"/>
          <w:sz w:val="20"/>
        </w:rPr>
      </w:pPr>
      <w:r>
        <w:rPr>
          <w:rFonts w:ascii="Times New Roman" w:hAnsi="Times New Roman"/>
          <w:sz w:val="20"/>
        </w:rPr>
        <w:t xml:space="preserve">Previous efforts to develop recombinant native human relaxin (serelaxin) to treat acute heart failure (AHF) have shown many signs of clinical benefit. For example, a meta-analysis published by Teerlink et al. in the European Journal of Heart Failure in 2019 assessed the results of six randomized, double-blind, placebo-controlled studies with greater than 11,000 patients enrolled to evaluate serelaxin in AHF. This analysis showed a highly statistically significant benefit in five-day worsening of heart failure and improved renal function (Table 1). Despite these intriguing signals, no relaxin-based therapeutic has been approved by the FDA. One of two pivotal studies, RELAX-AHF2, included a co-primary six-month cardiovascular mortality endpoint and failed. The Company believes it was ambitious to expect that a two-day infusion of the compound, with its short half-life and mechanism of action, would demonstrate clinical benefit at day 5, let alone six months after the infusion as required for the six-month cardiovascular mortality endpoint. Tectonic believes these attempts have fallen short due to the short half-life of relaxin precluding its development in chronic settings where the full benefit of its impact on both vasodilation and fibrosis can be felt over longer time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200" w:type="pct"/>
        <w:jc w:val="center"/>
        <w:tblInd w:w="0" w:type="dxa"/>
        <w:tblLayout w:type="fixed"/>
        <w:tblCellMar>
          <w:top w:w="0" w:type="dxa"/>
          <w:left w:w="0" w:type="dxa"/>
          <w:bottom w:w="0" w:type="dxa"/>
          <w:right w:w="0" w:type="dxa"/>
        </w:tblCellMar>
      </w:tblPr>
      <w:tblGrid>
        <w:gridCol w:w="2849"/>
        <w:gridCol w:w="272"/>
        <w:gridCol w:w="2973"/>
        <w:gridCol w:w="272"/>
        <w:gridCol w:w="840"/>
        <w:gridCol w:w="244"/>
        <w:gridCol w:w="1122"/>
      </w:tblGrid>
      <w:tr>
        <w:trPr/>
        <w:tc>
          <w:tcPr>
            <w:tcW w:w="2849"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9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Relative Risk [95% CI]</w:t>
            </w:r>
          </w:p>
        </w:tc>
        <w:tc>
          <w:tcPr>
            <w:tcW w:w="272" w:type="dxa"/>
            <w:tcBorders/>
            <w:vAlign w:val="bottom"/>
          </w:tcPr>
          <w:p>
            <w:pPr>
              <w:pStyle w:val="TableContents"/>
              <w:bidi w:val="0"/>
              <w:spacing w:before="0" w:after="283"/>
              <w:jc w:val="left"/>
              <w:rPr/>
            </w:pPr>
            <w:r>
              <w:rPr/>
              <w:t>  </w:t>
            </w:r>
          </w:p>
        </w:tc>
        <w:tc>
          <w:tcPr>
            <w:tcW w:w="840" w:type="dxa"/>
            <w:tcBorders>
              <w:bottom w:val="single" w:sz="8" w:space="0" w:color="000000"/>
            </w:tcBorders>
            <w:tcMar>
              <w:bottom w:w="28" w:type="dxa"/>
            </w:tcMar>
            <w:vAlign w:val="bottom"/>
          </w:tcPr>
          <w:p>
            <w:pPr>
              <w:pStyle w:val="TableContents"/>
              <w:bidi w:val="0"/>
              <w:spacing w:before="0" w:after="283"/>
              <w:jc w:val="center"/>
              <w:rPr>
                <w:b/>
              </w:rPr>
            </w:pPr>
            <w:r>
              <w:rPr>
                <w:b/>
              </w:rPr>
              <w:t>N (drug)</w:t>
            </w:r>
          </w:p>
        </w:tc>
        <w:tc>
          <w:tcPr>
            <w:tcW w:w="244" w:type="dxa"/>
            <w:tcBorders/>
            <w:vAlign w:val="bottom"/>
          </w:tcPr>
          <w:p>
            <w:pPr>
              <w:pStyle w:val="TableContents"/>
              <w:bidi w:val="0"/>
              <w:spacing w:before="0" w:after="283"/>
              <w:jc w:val="left"/>
              <w:rPr/>
            </w:pPr>
            <w:r>
              <w:rPr/>
              <w:t>  </w:t>
            </w:r>
          </w:p>
        </w:tc>
        <w:tc>
          <w:tcPr>
            <w:tcW w:w="1122" w:type="dxa"/>
            <w:tcBorders>
              <w:bottom w:val="single" w:sz="8" w:space="0" w:color="000000"/>
            </w:tcBorders>
            <w:tcMar>
              <w:bottom w:w="28" w:type="dxa"/>
            </w:tcMar>
            <w:vAlign w:val="bottom"/>
          </w:tcPr>
          <w:p>
            <w:pPr>
              <w:pStyle w:val="TableContents"/>
              <w:bidi w:val="0"/>
              <w:spacing w:before="0" w:after="283"/>
              <w:jc w:val="center"/>
              <w:rPr>
                <w:b/>
              </w:rPr>
            </w:pPr>
            <w:r>
              <w:rPr>
                <w:b/>
              </w:rPr>
              <w:t>N (placebo)</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Pre-RELAX AHF</w:t>
            </w:r>
          </w:p>
        </w:tc>
        <w:tc>
          <w:tcPr>
            <w:tcW w:w="272" w:type="dxa"/>
            <w:tcBorders/>
            <w:shd w:fill="CCEEFF" w:val="clear"/>
            <w:vAlign w:val="bottom"/>
          </w:tcPr>
          <w:p>
            <w:pPr>
              <w:pStyle w:val="TableContents"/>
              <w:bidi w:val="0"/>
              <w:spacing w:before="0" w:after="283"/>
              <w:jc w:val="left"/>
              <w:rPr/>
            </w:pPr>
            <w:r>
              <w:rPr/>
              <w:t>  </w:t>
            </w:r>
          </w:p>
        </w:tc>
        <w:tc>
          <w:tcPr>
            <w:tcW w:w="2973" w:type="dxa"/>
            <w:tcBorders/>
            <w:shd w:fill="CCEEFF" w:val="clear"/>
            <w:vAlign w:val="bottom"/>
          </w:tcPr>
          <w:p>
            <w:pPr>
              <w:pStyle w:val="TableContents"/>
              <w:bidi w:val="0"/>
              <w:spacing w:before="0" w:after="283"/>
              <w:jc w:val="center"/>
              <w:rPr/>
            </w:pPr>
            <w:r>
              <w:rPr/>
              <w:t>0.56 [0.22  1.45]</w:t>
            </w:r>
          </w:p>
        </w:tc>
        <w:tc>
          <w:tcPr>
            <w:tcW w:w="27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center"/>
              <w:rPr/>
            </w:pPr>
            <w:r>
              <w:rPr/>
              <w:t>42</w:t>
            </w:r>
          </w:p>
        </w:tc>
        <w:tc>
          <w:tcPr>
            <w:tcW w:w="244"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center"/>
              <w:rPr/>
            </w:pPr>
            <w:r>
              <w:rPr/>
              <w:t>61</w:t>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RELAX-AHF</w:t>
            </w:r>
          </w:p>
        </w:tc>
        <w:tc>
          <w:tcPr>
            <w:tcW w:w="272" w:type="dxa"/>
            <w:tcBorders/>
            <w:vAlign w:val="bottom"/>
          </w:tcPr>
          <w:p>
            <w:pPr>
              <w:pStyle w:val="TableContents"/>
              <w:bidi w:val="0"/>
              <w:spacing w:before="0" w:after="283"/>
              <w:jc w:val="left"/>
              <w:rPr/>
            </w:pPr>
            <w:r>
              <w:rPr/>
              <w:t>  </w:t>
            </w:r>
          </w:p>
        </w:tc>
        <w:tc>
          <w:tcPr>
            <w:tcW w:w="2973" w:type="dxa"/>
            <w:tcBorders/>
            <w:vAlign w:val="bottom"/>
          </w:tcPr>
          <w:p>
            <w:pPr>
              <w:pStyle w:val="TableContents"/>
              <w:bidi w:val="0"/>
              <w:spacing w:before="0" w:after="283"/>
              <w:jc w:val="center"/>
              <w:rPr/>
            </w:pPr>
            <w:r>
              <w:rPr/>
              <w:t>0.54 [0.37  0.78]</w:t>
            </w:r>
          </w:p>
        </w:tc>
        <w:tc>
          <w:tcPr>
            <w:tcW w:w="27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center"/>
              <w:rPr/>
            </w:pPr>
            <w:r>
              <w:rPr/>
              <w:t>581</w:t>
            </w:r>
          </w:p>
        </w:tc>
        <w:tc>
          <w:tcPr>
            <w:tcW w:w="244"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center"/>
              <w:rPr/>
            </w:pPr>
            <w:r>
              <w:rPr/>
              <w:t>580</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RELAX-AHF-2</w:t>
            </w:r>
          </w:p>
        </w:tc>
        <w:tc>
          <w:tcPr>
            <w:tcW w:w="272" w:type="dxa"/>
            <w:tcBorders/>
            <w:shd w:fill="CCEEFF" w:val="clear"/>
            <w:vAlign w:val="bottom"/>
          </w:tcPr>
          <w:p>
            <w:pPr>
              <w:pStyle w:val="TableContents"/>
              <w:bidi w:val="0"/>
              <w:spacing w:before="0" w:after="283"/>
              <w:jc w:val="left"/>
              <w:rPr/>
            </w:pPr>
            <w:r>
              <w:rPr/>
              <w:t>  </w:t>
            </w:r>
          </w:p>
        </w:tc>
        <w:tc>
          <w:tcPr>
            <w:tcW w:w="2973" w:type="dxa"/>
            <w:tcBorders/>
            <w:shd w:fill="CCEEFF" w:val="clear"/>
            <w:vAlign w:val="bottom"/>
          </w:tcPr>
          <w:p>
            <w:pPr>
              <w:pStyle w:val="TableContents"/>
              <w:bidi w:val="0"/>
              <w:spacing w:before="0" w:after="283"/>
              <w:jc w:val="center"/>
              <w:rPr/>
            </w:pPr>
            <w:r>
              <w:rPr/>
              <w:t>0.90 [0.76  1.07]</w:t>
            </w:r>
          </w:p>
        </w:tc>
        <w:tc>
          <w:tcPr>
            <w:tcW w:w="27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center"/>
              <w:rPr/>
            </w:pPr>
            <w:r>
              <w:rPr/>
              <w:t>3274</w:t>
            </w:r>
          </w:p>
        </w:tc>
        <w:tc>
          <w:tcPr>
            <w:tcW w:w="244"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center"/>
              <w:rPr/>
            </w:pPr>
            <w:r>
              <w:rPr/>
              <w:t>3271</w:t>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RELAX-AHF-EU</w:t>
            </w:r>
          </w:p>
        </w:tc>
        <w:tc>
          <w:tcPr>
            <w:tcW w:w="272" w:type="dxa"/>
            <w:tcBorders/>
            <w:vAlign w:val="bottom"/>
          </w:tcPr>
          <w:p>
            <w:pPr>
              <w:pStyle w:val="TableContents"/>
              <w:bidi w:val="0"/>
              <w:spacing w:before="0" w:after="283"/>
              <w:jc w:val="left"/>
              <w:rPr/>
            </w:pPr>
            <w:r>
              <w:rPr/>
              <w:t>  </w:t>
            </w:r>
          </w:p>
        </w:tc>
        <w:tc>
          <w:tcPr>
            <w:tcW w:w="2973" w:type="dxa"/>
            <w:tcBorders/>
            <w:vAlign w:val="bottom"/>
          </w:tcPr>
          <w:p>
            <w:pPr>
              <w:pStyle w:val="TableContents"/>
              <w:bidi w:val="0"/>
              <w:spacing w:before="0" w:after="283"/>
              <w:jc w:val="center"/>
              <w:rPr/>
            </w:pPr>
            <w:r>
              <w:rPr/>
              <w:t>0.71 [0.52  0.98]</w:t>
            </w:r>
          </w:p>
        </w:tc>
        <w:tc>
          <w:tcPr>
            <w:tcW w:w="27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center"/>
              <w:rPr/>
            </w:pPr>
            <w:r>
              <w:rPr/>
              <w:t>1756</w:t>
            </w:r>
          </w:p>
        </w:tc>
        <w:tc>
          <w:tcPr>
            <w:tcW w:w="244"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center"/>
              <w:rPr/>
            </w:pPr>
            <w:r>
              <w:rPr/>
              <w:t>894</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RELAX-AHF-ASIA</w:t>
            </w:r>
          </w:p>
        </w:tc>
        <w:tc>
          <w:tcPr>
            <w:tcW w:w="272" w:type="dxa"/>
            <w:tcBorders/>
            <w:shd w:fill="CCEEFF" w:val="clear"/>
            <w:vAlign w:val="bottom"/>
          </w:tcPr>
          <w:p>
            <w:pPr>
              <w:pStyle w:val="TableContents"/>
              <w:bidi w:val="0"/>
              <w:spacing w:before="0" w:after="283"/>
              <w:jc w:val="left"/>
              <w:rPr/>
            </w:pPr>
            <w:r>
              <w:rPr/>
              <w:t>  </w:t>
            </w:r>
          </w:p>
        </w:tc>
        <w:tc>
          <w:tcPr>
            <w:tcW w:w="2973" w:type="dxa"/>
            <w:tcBorders/>
            <w:shd w:fill="CCEEFF" w:val="clear"/>
            <w:vAlign w:val="bottom"/>
          </w:tcPr>
          <w:p>
            <w:pPr>
              <w:pStyle w:val="TableContents"/>
              <w:bidi w:val="0"/>
              <w:spacing w:before="0" w:after="283"/>
              <w:jc w:val="center"/>
              <w:rPr/>
            </w:pPr>
            <w:r>
              <w:rPr/>
              <w:t>0.42 [0.21  0.84]</w:t>
            </w:r>
          </w:p>
        </w:tc>
        <w:tc>
          <w:tcPr>
            <w:tcW w:w="27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center"/>
              <w:rPr/>
            </w:pPr>
            <w:r>
              <w:rPr/>
              <w:t>437</w:t>
            </w:r>
          </w:p>
        </w:tc>
        <w:tc>
          <w:tcPr>
            <w:tcW w:w="244"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center"/>
              <w:rPr/>
            </w:pPr>
            <w:r>
              <w:rPr/>
              <w:t>433</w:t>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RELAX Japan</w:t>
            </w:r>
          </w:p>
        </w:tc>
        <w:tc>
          <w:tcPr>
            <w:tcW w:w="272" w:type="dxa"/>
            <w:tcBorders/>
            <w:vAlign w:val="bottom"/>
          </w:tcPr>
          <w:p>
            <w:pPr>
              <w:pStyle w:val="TableContents"/>
              <w:bidi w:val="0"/>
              <w:spacing w:before="0" w:after="283"/>
              <w:jc w:val="left"/>
              <w:rPr/>
            </w:pPr>
            <w:r>
              <w:rPr/>
              <w:t>  </w:t>
            </w:r>
          </w:p>
        </w:tc>
        <w:tc>
          <w:tcPr>
            <w:tcW w:w="2973" w:type="dxa"/>
            <w:tcBorders/>
            <w:vAlign w:val="bottom"/>
          </w:tcPr>
          <w:p>
            <w:pPr>
              <w:pStyle w:val="TableContents"/>
              <w:bidi w:val="0"/>
              <w:spacing w:before="0" w:after="283"/>
              <w:jc w:val="center"/>
              <w:rPr/>
            </w:pPr>
            <w:r>
              <w:rPr/>
              <w:t>0.33 [0.04  2.85]</w:t>
            </w:r>
          </w:p>
        </w:tc>
        <w:tc>
          <w:tcPr>
            <w:tcW w:w="27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center"/>
              <w:rPr/>
            </w:pPr>
            <w:r>
              <w:rPr/>
              <w:t>15</w:t>
            </w:r>
          </w:p>
        </w:tc>
        <w:tc>
          <w:tcPr>
            <w:tcW w:w="244"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center"/>
              <w:rPr/>
            </w:pPr>
            <w:r>
              <w:rPr/>
              <w:t>15</w:t>
            </w:r>
          </w:p>
        </w:tc>
      </w:tr>
      <w:tr>
        <w:trPr/>
        <w:tc>
          <w:tcPr>
            <w:tcW w:w="28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Meta-Analysis</w:t>
            </w:r>
          </w:p>
        </w:tc>
        <w:tc>
          <w:tcPr>
            <w:tcW w:w="272" w:type="dxa"/>
            <w:tcBorders/>
            <w:shd w:fill="CCEEFF" w:val="clear"/>
            <w:vAlign w:val="bottom"/>
          </w:tcPr>
          <w:p>
            <w:pPr>
              <w:pStyle w:val="TableContents"/>
              <w:bidi w:val="0"/>
              <w:spacing w:before="0" w:after="283"/>
              <w:jc w:val="left"/>
              <w:rPr/>
            </w:pPr>
            <w:r>
              <w:rPr/>
              <w:t>  </w:t>
            </w:r>
          </w:p>
        </w:tc>
        <w:tc>
          <w:tcPr>
            <w:tcW w:w="2973" w:type="dxa"/>
            <w:tcBorders/>
            <w:shd w:fill="CCEEFF" w:val="clear"/>
            <w:vAlign w:val="bottom"/>
          </w:tcPr>
          <w:p>
            <w:pPr>
              <w:pStyle w:val="TableContents"/>
              <w:bidi w:val="0"/>
              <w:spacing w:before="0" w:after="283"/>
              <w:jc w:val="center"/>
              <w:rPr/>
            </w:pPr>
            <w:r>
              <w:rPr>
                <w:b/>
              </w:rPr>
              <w:t>0.77 [0.67  0.89]</w:t>
            </w:r>
            <w:r>
              <w:rPr/>
              <w:t xml:space="preserve"> </w:t>
            </w:r>
            <w:r>
              <w:rPr>
                <w:b/>
              </w:rPr>
              <w:t>p = 0.0002</w:t>
            </w:r>
          </w:p>
        </w:tc>
        <w:tc>
          <w:tcPr>
            <w:tcW w:w="27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center"/>
              <w:rPr/>
            </w:pPr>
            <w:r>
              <w:rPr/>
              <w:t>6090*</w:t>
            </w:r>
          </w:p>
        </w:tc>
        <w:tc>
          <w:tcPr>
            <w:tcW w:w="244"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center"/>
              <w:rPr/>
            </w:pPr>
            <w:r>
              <w:rPr/>
              <w:t>5239</w:t>
            </w:r>
          </w:p>
        </w:tc>
      </w:tr>
    </w:tbl>
    <w:p>
      <w:pPr>
        <w:pStyle w:val="TextBody"/>
        <w:bidi w:val="0"/>
        <w:spacing w:before="360" w:after="0"/>
        <w:jc w:val="left"/>
        <w:rPr>
          <w:rFonts w:ascii="Times New Roman" w:hAnsi="Times New Roman"/>
          <w:sz w:val="20"/>
        </w:rPr>
      </w:pPr>
      <w:r>
        <w:rPr>
          <w:rFonts w:ascii="Times New Roman" w:hAnsi="Times New Roman"/>
          <w:b/>
          <w:sz w:val="20"/>
        </w:rPr>
        <w:t xml:space="preserve">Table 1  Effects of serelaxin on worsening heart failure (WHF)  fixed-effect (FE) meta-analysis; serelaxin 30 </w:t>
      </w:r>
      <w:r>
        <w:rPr>
          <w:rFonts w:ascii="SYMBOL" w:hAnsi="SYMBOL"/>
          <w:sz w:val="20"/>
        </w:rPr>
        <w:t>m</w:t>
      </w:r>
      <w:r>
        <w:rPr>
          <w:rFonts w:ascii="Times New Roman" w:hAnsi="Times New Roman"/>
          <w:b/>
          <w:sz w:val="20"/>
        </w:rPr>
        <w:t xml:space="preserve">g/kg/day vs. placebo; CI, confidence interval </w:t>
      </w:r>
    </w:p>
    <w:p>
      <w:pPr>
        <w:pStyle w:val="TextBody"/>
        <w:bidi w:val="0"/>
        <w:spacing w:before="120" w:after="0"/>
        <w:jc w:val="left"/>
        <w:rPr>
          <w:rFonts w:ascii="Times New Roman" w:hAnsi="Times New Roman"/>
          <w:sz w:val="20"/>
        </w:rPr>
      </w:pPr>
      <w:r>
        <w:rPr>
          <w:rFonts w:ascii="Times New Roman" w:hAnsi="Times New Roman"/>
          <w:sz w:val="20"/>
        </w:rPr>
        <w:t xml:space="preserve">To address the pharmacological limitations of the native relaxin hormone and enable its development beyond AHF, Tectonic has engineered a single-chain relaxin-Fc fusion protein, TX45, that features differentiated pharmacokinetic and biophysical properties to enhance key pharmacodynamic properties. TX45 was developed in a subcutaneous formulation with the goal of chronic administration via intermittent subcutaneous injection. As noted above, to interrogate the therapeutic potential of relaxin, Tectonic has identified Group 2 PH / HFpEF as the initial indication. Tectonic believes that in this setting, treatment with relaxin could improve hemodynamics and result in beneficial remodeling in both the pulmonary vessels and the heart, making it potentially ideally suited for this indication. Clinical trials are needed to confirm this hypothesis. </w:t>
      </w:r>
    </w:p>
    <w:p>
      <w:pPr>
        <w:pStyle w:val="TextBody"/>
        <w:bidi w:val="0"/>
        <w:spacing w:before="360" w:after="0"/>
        <w:jc w:val="left"/>
        <w:rPr>
          <w:rFonts w:ascii="Times New Roman" w:hAnsi="Times New Roman"/>
          <w:b/>
          <w:sz w:val="20"/>
        </w:rPr>
      </w:pPr>
      <w:bookmarkStart w:id="128" w:name="toc770053_132"/>
      <w:bookmarkEnd w:id="128"/>
      <w:r>
        <w:rPr>
          <w:rFonts w:ascii="Times New Roman" w:hAnsi="Times New Roman"/>
          <w:b/>
          <w:sz w:val="20"/>
        </w:rPr>
        <w:t xml:space="preserve">Background on Group 2 PH </w:t>
      </w:r>
    </w:p>
    <w:p>
      <w:pPr>
        <w:pStyle w:val="TextBody"/>
        <w:bidi w:val="0"/>
        <w:spacing w:before="120" w:after="0"/>
        <w:jc w:val="left"/>
        <w:rPr>
          <w:rFonts w:ascii="Times New Roman" w:hAnsi="Times New Roman"/>
          <w:sz w:val="20"/>
        </w:rPr>
      </w:pPr>
      <w:r>
        <w:rPr>
          <w:rFonts w:ascii="Times New Roman" w:hAnsi="Times New Roman"/>
          <w:sz w:val="20"/>
        </w:rPr>
        <w:t xml:space="preserve">PH is a serious, life-threatening condition that affects hundreds of thousands of patients in the United States. In PH, the blood pressure in the pulmonary arteries is increased, exerting severe strain on the right side of the heart, which adapts poorly to the increased pressure. PH gradually causes worsening exercise capacity, shortness of breath and right-sided heart failure which can lead to death. </w:t>
      </w:r>
    </w:p>
    <w:p>
      <w:pPr>
        <w:pStyle w:val="TextBody"/>
        <w:bidi w:val="0"/>
        <w:spacing w:before="240" w:after="0"/>
        <w:jc w:val="left"/>
        <w:rPr>
          <w:rFonts w:ascii="Times New Roman" w:hAnsi="Times New Roman"/>
          <w:sz w:val="20"/>
        </w:rPr>
      </w:pPr>
      <w:r>
        <w:rPr>
          <w:rFonts w:ascii="Times New Roman" w:hAnsi="Times New Roman"/>
          <w:sz w:val="20"/>
        </w:rPr>
        <w:t xml:space="preserve">The World Health Organization has specified 5 different groups of PH (Table 2). Group 1 PH is also known as pulmonary arterial hypertension (PAH) and is caused by spontaneous thickening and fibrosis of the pulmonary arteries and arterioles without underlying significant cardiac, lung parenchymal, or chronic thromboembolic disease. Group 2 PH is due to left-sided heart disease (PH-LHD). Although several Group 1 PH medications have been explored in Group 2 PH, no medications have yet been approved by the FDA for its treatment. </w:t>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 xml:space="preserve">Table 2  WHO Classification of Pulmonary Hypertension </w:t>
      </w:r>
    </w:p>
    <w:p>
      <w:pPr>
        <w:pStyle w:val="TextBody"/>
        <w:bidi w:val="0"/>
        <w:spacing w:before="120" w:after="0"/>
        <w:jc w:val="center"/>
        <w:rPr>
          <w:rFonts w:ascii="Times New Roman" w:hAnsi="Times New Roman"/>
          <w:sz w:val="20"/>
        </w:rPr>
      </w:pPr>
      <w:r>
        <w:rPr>
          <w:rFonts w:ascii="Times New Roman" w:hAnsi="Times New Roman"/>
          <w:sz w:val="20"/>
        </w:rPr>
        <w:t xml:space="preserve">Consists of 5 Distinct Diseases; Group 2 PH is of Greatest Interest for Fc-relaxin First Indication </w:t>
      </w:r>
    </w:p>
    <w:p>
      <w:pPr>
        <w:pStyle w:val="TextBody"/>
        <w:bidi w:val="0"/>
        <w:spacing w:before="0" w:after="0"/>
        <w:jc w:val="left"/>
        <w:rPr/>
      </w:pPr>
      <w:r>
        <w:rPr/>
        <w:t> </w:t>
      </w:r>
    </w:p>
    <w:tbl>
      <w:tblPr>
        <w:tblW w:w="27490" w:type="dxa"/>
        <w:jc w:val="center"/>
        <w:tblInd w:w="0" w:type="dxa"/>
        <w:tblLayout w:type="fixed"/>
        <w:tblCellMar>
          <w:top w:w="0" w:type="dxa"/>
          <w:left w:w="0" w:type="dxa"/>
          <w:bottom w:w="0" w:type="dxa"/>
          <w:right w:w="0" w:type="dxa"/>
        </w:tblCellMar>
      </w:tblPr>
      <w:tblGrid>
        <w:gridCol w:w="1505"/>
        <w:gridCol w:w="60"/>
        <w:gridCol w:w="5525"/>
        <w:gridCol w:w="60"/>
        <w:gridCol w:w="6860"/>
        <w:gridCol w:w="60"/>
        <w:gridCol w:w="7325"/>
        <w:gridCol w:w="60"/>
        <w:gridCol w:w="603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3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1(PAH)</w:t>
            </w:r>
          </w:p>
        </w:tc>
        <w:tc>
          <w:tcPr>
            <w:tcW w:w="60" w:type="dxa"/>
            <w:tcBorders/>
            <w:vAlign w:val="bottom"/>
          </w:tcPr>
          <w:p>
            <w:pPr>
              <w:pStyle w:val="TableContents"/>
              <w:bidi w:val="0"/>
              <w:spacing w:before="0" w:after="283"/>
              <w:jc w:val="left"/>
              <w:rPr/>
            </w:pPr>
            <w:r>
              <w:rPr/>
              <w:t> </w:t>
            </w:r>
          </w:p>
        </w:tc>
        <w:tc>
          <w:tcPr>
            <w:tcW w:w="55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2 (PH-LHD)</w:t>
            </w:r>
          </w:p>
        </w:tc>
        <w:tc>
          <w:tcPr>
            <w:tcW w:w="60" w:type="dxa"/>
            <w:tcBorders/>
            <w:vAlign w:val="bottom"/>
          </w:tcPr>
          <w:p>
            <w:pPr>
              <w:pStyle w:val="TableContents"/>
              <w:bidi w:val="0"/>
              <w:spacing w:before="0" w:after="283"/>
              <w:jc w:val="left"/>
              <w:rPr/>
            </w:pPr>
            <w:r>
              <w:rPr/>
              <w:t> </w:t>
            </w:r>
          </w:p>
        </w:tc>
        <w:tc>
          <w:tcPr>
            <w:tcW w:w="686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3 (PH-LD)</w:t>
            </w:r>
          </w:p>
        </w:tc>
        <w:tc>
          <w:tcPr>
            <w:tcW w:w="60" w:type="dxa"/>
            <w:tcBorders/>
            <w:vAlign w:val="bottom"/>
          </w:tcPr>
          <w:p>
            <w:pPr>
              <w:pStyle w:val="TableContents"/>
              <w:bidi w:val="0"/>
              <w:spacing w:before="0" w:after="283"/>
              <w:jc w:val="left"/>
              <w:rPr/>
            </w:pPr>
            <w:r>
              <w:rPr/>
              <w:t> </w:t>
            </w:r>
          </w:p>
        </w:tc>
        <w:tc>
          <w:tcPr>
            <w:tcW w:w="73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4 (CTEPH)</w:t>
            </w:r>
          </w:p>
        </w:tc>
        <w:tc>
          <w:tcPr>
            <w:tcW w:w="60" w:type="dxa"/>
            <w:tcBorders/>
            <w:vAlign w:val="bottom"/>
          </w:tcPr>
          <w:p>
            <w:pPr>
              <w:pStyle w:val="TableContents"/>
              <w:bidi w:val="0"/>
              <w:spacing w:before="0" w:after="283"/>
              <w:jc w:val="left"/>
              <w:rPr/>
            </w:pPr>
            <w:r>
              <w:rPr/>
              <w:t> </w:t>
            </w:r>
          </w:p>
        </w:tc>
        <w:tc>
          <w:tcPr>
            <w:tcW w:w="603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5 (Misc.)</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  Idiopathic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  Hereditary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  Connective tissue disease-associated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  Congenital heart disease-associated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  Drug-induced</w:t>
            </w:r>
          </w:p>
        </w:tc>
        <w:tc>
          <w:tcPr>
            <w:tcW w:w="60" w:type="dxa"/>
            <w:tcBorders/>
            <w:vAlign w:val="bottom"/>
          </w:tcPr>
          <w:p>
            <w:pPr>
              <w:pStyle w:val="TableContents"/>
              <w:bidi w:val="0"/>
              <w:spacing w:before="0" w:after="283"/>
              <w:jc w:val="left"/>
              <w:rPr/>
            </w:pPr>
            <w:r>
              <w:rPr/>
              <w:t> </w:t>
            </w:r>
          </w:p>
        </w:tc>
        <w:tc>
          <w:tcPr>
            <w:tcW w:w="5525" w:type="dxa"/>
            <w:tcBorders/>
          </w:tcPr>
          <w:p>
            <w:pPr>
              <w:pStyle w:val="TableContents"/>
              <w:bidi w:val="0"/>
              <w:spacing w:before="0" w:after="0"/>
              <w:jc w:val="left"/>
              <w:rPr>
                <w:rFonts w:ascii="Times New Roman" w:hAnsi="Times New Roman"/>
                <w:sz w:val="20"/>
              </w:rPr>
            </w:pPr>
            <w:r>
              <w:rPr>
                <w:rFonts w:ascii="Times New Roman" w:hAnsi="Times New Roman"/>
                <w:sz w:val="20"/>
              </w:rPr>
              <w:t>  Due to left heart disease (HFpEF, HFrEF) or valvular heart disease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  CAD, HTN, T2DM, high cholesterol are risk factors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  Two Subtypes: CpcPH / IpcPH</w:t>
            </w:r>
          </w:p>
        </w:tc>
        <w:tc>
          <w:tcPr>
            <w:tcW w:w="60" w:type="dxa"/>
            <w:tcBorders/>
            <w:vAlign w:val="bottom"/>
          </w:tcPr>
          <w:p>
            <w:pPr>
              <w:pStyle w:val="TableContents"/>
              <w:bidi w:val="0"/>
              <w:spacing w:before="0" w:after="283"/>
              <w:jc w:val="left"/>
              <w:rPr/>
            </w:pPr>
            <w:r>
              <w:rPr/>
              <w:t> </w:t>
            </w:r>
          </w:p>
        </w:tc>
        <w:tc>
          <w:tcPr>
            <w:tcW w:w="6860" w:type="dxa"/>
            <w:tcBorders/>
          </w:tcPr>
          <w:p>
            <w:pPr>
              <w:pStyle w:val="TableContents"/>
              <w:bidi w:val="0"/>
              <w:spacing w:before="0" w:after="0"/>
              <w:jc w:val="left"/>
              <w:rPr>
                <w:rFonts w:ascii="Times New Roman" w:hAnsi="Times New Roman"/>
                <w:sz w:val="20"/>
              </w:rPr>
            </w:pPr>
            <w:r>
              <w:rPr>
                <w:rFonts w:ascii="Times New Roman" w:hAnsi="Times New Roman"/>
                <w:sz w:val="20"/>
              </w:rPr>
              <w:t>  Due to lung disease or hypoxia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  May be due to COPD, interstitial lung disease (i.e., IPF) or obstructive sleep apnea</w:t>
            </w:r>
          </w:p>
        </w:tc>
        <w:tc>
          <w:tcPr>
            <w:tcW w:w="60" w:type="dxa"/>
            <w:tcBorders/>
            <w:vAlign w:val="bottom"/>
          </w:tcPr>
          <w:p>
            <w:pPr>
              <w:pStyle w:val="TableContents"/>
              <w:bidi w:val="0"/>
              <w:spacing w:before="0" w:after="283"/>
              <w:jc w:val="left"/>
              <w:rPr/>
            </w:pPr>
            <w:r>
              <w:rPr/>
              <w:t> </w:t>
            </w:r>
          </w:p>
        </w:tc>
        <w:tc>
          <w:tcPr>
            <w:tcW w:w="7325" w:type="dxa"/>
            <w:tcBorders/>
          </w:tcPr>
          <w:p>
            <w:pPr>
              <w:pStyle w:val="TableContents"/>
              <w:bidi w:val="0"/>
              <w:spacing w:before="0" w:after="0"/>
              <w:jc w:val="left"/>
              <w:rPr>
                <w:rFonts w:ascii="Times New Roman" w:hAnsi="Times New Roman"/>
                <w:sz w:val="20"/>
              </w:rPr>
            </w:pPr>
            <w:r>
              <w:rPr>
                <w:rFonts w:ascii="Times New Roman" w:hAnsi="Times New Roman"/>
                <w:sz w:val="20"/>
              </w:rPr>
              <w:t>  Chronic thrombo-embolic pulmonary hypertension i.e., as a consequence of blood clots</w:t>
            </w:r>
          </w:p>
        </w:tc>
        <w:tc>
          <w:tcPr>
            <w:tcW w:w="60" w:type="dxa"/>
            <w:tcBorders/>
            <w:vAlign w:val="bottom"/>
          </w:tcPr>
          <w:p>
            <w:pPr>
              <w:pStyle w:val="TableContents"/>
              <w:bidi w:val="0"/>
              <w:spacing w:before="0" w:after="283"/>
              <w:jc w:val="left"/>
              <w:rPr/>
            </w:pPr>
            <w:r>
              <w:rPr/>
              <w:t> </w:t>
            </w:r>
          </w:p>
        </w:tc>
        <w:tc>
          <w:tcPr>
            <w:tcW w:w="6035" w:type="dxa"/>
            <w:tcBorders/>
          </w:tcPr>
          <w:p>
            <w:pPr>
              <w:pStyle w:val="TableContents"/>
              <w:bidi w:val="0"/>
              <w:spacing w:before="0" w:after="0"/>
              <w:jc w:val="left"/>
              <w:rPr>
                <w:rFonts w:ascii="Times New Roman" w:hAnsi="Times New Roman"/>
                <w:sz w:val="20"/>
              </w:rPr>
            </w:pPr>
            <w:r>
              <w:rPr>
                <w:rFonts w:ascii="Times New Roman" w:hAnsi="Times New Roman"/>
                <w:sz w:val="20"/>
              </w:rPr>
              <w:t>  Miscellaneous group with causes unclear or multiple underlying factors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29" w:name="toc770053_133"/>
      <w:bookmarkEnd w:id="129"/>
      <w:r>
        <w:rPr>
          <w:rFonts w:ascii="Times New Roman" w:hAnsi="Times New Roman"/>
          <w:b/>
          <w:sz w:val="20"/>
        </w:rPr>
        <w:t xml:space="preserve">Group 2 PH Pathophysiology and Epidemiology </w:t>
      </w:r>
    </w:p>
    <w:p>
      <w:pPr>
        <w:pStyle w:val="TextBody"/>
        <w:bidi w:val="0"/>
        <w:spacing w:before="120" w:after="0"/>
        <w:jc w:val="left"/>
        <w:rPr>
          <w:rFonts w:ascii="Times New Roman" w:hAnsi="Times New Roman"/>
          <w:sz w:val="20"/>
        </w:rPr>
      </w:pPr>
      <w:r>
        <w:rPr>
          <w:rFonts w:ascii="Times New Roman" w:hAnsi="Times New Roman"/>
          <w:sz w:val="20"/>
        </w:rPr>
        <w:t xml:space="preserve">Group 2 PH is caused by left-sided heart disease, including heart failure with preserved ejection fraction (HFpEF), heart failure with reduced ejection fraction (HFrEF), and valvular heart disease (VHD). Group 2 PH itself consists of 2 disease subtypes, isolated post capillary PH (IpcPH) or combined pre- and post- capillary PH (CpcPH). </w:t>
      </w:r>
    </w:p>
    <w:p>
      <w:pPr>
        <w:pStyle w:val="TextBody"/>
        <w:bidi w:val="0"/>
        <w:spacing w:before="240" w:after="0"/>
        <w:jc w:val="left"/>
        <w:rPr>
          <w:rFonts w:ascii="Times New Roman" w:hAnsi="Times New Roman"/>
          <w:sz w:val="20"/>
        </w:rPr>
      </w:pPr>
      <w:r>
        <w:rPr>
          <w:rFonts w:ascii="Times New Roman" w:hAnsi="Times New Roman"/>
          <w:sz w:val="20"/>
        </w:rPr>
        <w:t xml:space="preserve">In patients with left-sided heart disease, the development of pulmonary hypertension is associated with a much worse prognosis. In various forms of heart failure, the heart fails to pump sufficient blood throughout the body to meet the metabolic demands of the individual. To compensate for inadequate cardiac output, the kidneys retain excess fluid to help increase the filling of the heart (priming the pump) during the relaxation phase of the cardiac cycle. This attempt to increase the filling of the heart leads to increased pressure during the relaxation phase. Pulmonary hypertension can develop in this setting when the pressure is transmitted backwards from the left atrium of the heart into the pulmonary veins and pulmonary arteries. This passive backflow of high pressure leads initially to post-capillary hypertension. These patients have a subtype of Group 2 PH called Isolated post-capillary Pulmonary Hypertension (IpcPH). Over time this increased pressure can lead to the thickening and fibrosis of the pulmonary arteries and arterioles resulting in disease of the precapillary vasculature of the lung and this is demonstrated by increased pulmonary vascular resistance (PVR). When Group 2 PH results in both increased pulmonary artery pressures from the passive backflow of pressure from the left atrium along with intrinsic changes, such as thickening, fibrosis, and narrowing of the lumen of the pulmonary arteries, it is called Combined pre-and post-capillary Pulmonary Hypertension (CpcPH). To differentiate patients with IpcPH and CpcPH, a right heart catheterization is performed. Patients with elevated PVR, elevated pulmonary artery pressure (PAP) and an elevated Pulmonary Capillary Wedge Pressure (PCWP) have CpcPH, while those with just elevated PAP and PCWP and normal PVR have IpcPH. Pulmonary hypertension places a great strain on the right ventricle which is unable to compensate for this increased workload. Eventually, pulmonary hypertension causes the right ventricle to dilate and fail, ultimately leading to death. </w:t>
      </w:r>
    </w:p>
    <w:p>
      <w:pPr>
        <w:pStyle w:val="TextBody"/>
        <w:bidi w:val="0"/>
        <w:spacing w:before="220" w:after="0"/>
        <w:jc w:val="left"/>
        <w:rPr>
          <w:rFonts w:ascii="Times New Roman" w:hAnsi="Times New Roman"/>
          <w:sz w:val="20"/>
        </w:rPr>
      </w:pPr>
      <w:r>
        <w:rPr>
          <w:rFonts w:ascii="Times New Roman" w:hAnsi="Times New Roman"/>
          <w:sz w:val="20"/>
        </w:rPr>
        <w:t xml:space="preserve">There are an estimated 6 million patients with heart failure in the United States, with HFpEF representing up to ~50%, of heart failure cases. Tectonic estimates the combined Group 2 PH population with HFpEF at more than 600,000 and the respective prevalences of IpcPH and CpcPH in the HFpEF population are believed to be approximately 20% and 4%. </w:t>
      </w:r>
    </w:p>
    <w:p>
      <w:pPr>
        <w:pStyle w:val="TextBody"/>
        <w:bidi w:val="0"/>
        <w:spacing w:before="320" w:after="0"/>
        <w:jc w:val="left"/>
        <w:rPr>
          <w:rFonts w:ascii="Times New Roman" w:hAnsi="Times New Roman"/>
          <w:b/>
          <w:sz w:val="20"/>
        </w:rPr>
      </w:pPr>
      <w:r>
        <w:rPr>
          <w:rFonts w:ascii="Times New Roman" w:hAnsi="Times New Roman"/>
          <w:b/>
          <w:sz w:val="20"/>
        </w:rPr>
        <w:t xml:space="preserve">Testing of Group 1 PH (PAH) Drugs as Treatments for Group 2 PH  Implications of PDE5i Results </w:t>
      </w:r>
    </w:p>
    <w:p>
      <w:pPr>
        <w:pStyle w:val="TextBody"/>
        <w:bidi w:val="0"/>
        <w:spacing w:before="120" w:after="0"/>
        <w:jc w:val="left"/>
        <w:rPr>
          <w:rFonts w:ascii="Times New Roman" w:hAnsi="Times New Roman"/>
          <w:sz w:val="20"/>
        </w:rPr>
      </w:pPr>
      <w:r>
        <w:rPr>
          <w:rFonts w:ascii="Times New Roman" w:hAnsi="Times New Roman"/>
          <w:sz w:val="20"/>
        </w:rPr>
        <w:t xml:space="preserve">Patients suffering from CpcPH typically face worse outcomes than those with IpcPH (23% survival at five years vs. 40%-50%, respectively). Optimal treatment of heart failure may improve isolated post-capillary pulmonary hypertension to some extent. However, because of the specific pulmonary vascular pathology in CpcPH, treatment of heart failure alone is often insufficient to have a meaningful impact on this form of the disease. PDE5 inhibitors which activate the nitric oxide (NO) pathway were evaluated in three separate studies in CpCPH patients with HFpEF. In those studies, PDE5 inhibitors demonstrated improvements in hemodynamics, exercise tolerance, and a reduction in hospitalizations for heart failure. These improvements were not seen in a study with the broader group of Group 2 PH/HFpEF patients which were mainly composed of patients with IpcPH. Despite these findings, PDE5 inhibitors are not FDA approved for use in Group2 PH. </w:t>
      </w:r>
    </w:p>
    <w:p>
      <w:pPr>
        <w:pStyle w:val="TextBody"/>
        <w:bidi w:val="0"/>
        <w:spacing w:before="220" w:after="0"/>
        <w:jc w:val="left"/>
        <w:rPr>
          <w:rFonts w:ascii="Times New Roman" w:hAnsi="Times New Roman"/>
          <w:sz w:val="20"/>
        </w:rPr>
      </w:pPr>
      <w:r>
        <w:rPr>
          <w:rFonts w:ascii="Times New Roman" w:hAnsi="Times New Roman"/>
          <w:sz w:val="20"/>
        </w:rPr>
        <w:t xml:space="preserve">Several of the drugs used to treat Pulmonary Arterial Hypertension (Group 1 PH) have failed to demonstrate benefits in Group 2 PH/HFpEF. Most of these agents act as vasodilators in the lung, thereby increasing blood flow to the left side of the heart. However, pulmonary vasodilators have limited effect on the systemic circulation, and therefore, do not increase the ability of the left side of the heart to pump blood. This could worsen heart failure without improving exercise function. In contrast, PDE5 inhibitors also have a small effect on cardiac output, which may explain why they have shown the improvement in hemodynamics, exercise tolerance and hospitalizations in CpcPH as noted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PDE5 inhibitors activate the nitric oxide pathway which results in its hemodynamic effects including pulmonary vasodilation. Relaxins hemodynamic effects are mediated both by inhibition of endothelan-1 as well as activation of the same nitric oxide signaling pathway by which PDE5 inhibitors exert their action. In addition, relaxin exerts anti-fibrotic and anti-inflammatory effects via the mechanisms shown in Figure 3. Therefore, although unproven at this time, based on its multimodal mechanism of action, Tectonic believes that TX45 has the potential to demonstrate statistically and clinically meaningful benefits in both CpcPH and IpcPH.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4643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737610" cy="146431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3  PDE5 Inhibitors Affect Only One of Several Pathways Implicated in Relaxin Signaling </w:t>
      </w:r>
    </w:p>
    <w:p>
      <w:pPr>
        <w:pStyle w:val="TextBody"/>
        <w:bidi w:val="0"/>
        <w:spacing w:before="120" w:after="0"/>
        <w:jc w:val="left"/>
        <w:rPr>
          <w:rFonts w:ascii="Times New Roman" w:hAnsi="Times New Roman"/>
          <w:sz w:val="20"/>
        </w:rPr>
      </w:pPr>
      <w:r>
        <w:rPr>
          <w:rFonts w:ascii="Times New Roman" w:hAnsi="Times New Roman"/>
          <w:sz w:val="20"/>
        </w:rPr>
        <w:t xml:space="preserve">Tectonics support of TX45 is based upon its hypothesis that relaxins activities, through its remodeling and anti-fibrotic effects, may reverse the deleterious changes in the pulmonary vasculature present in CpcPH. Furthermore, relaxins pulmonary and systemic vasodilatory activity could unload the left ventricle, while relaxins anti-fibrotic and anti-inflammatory activities could promote reverse remodeling of the left ventricle in HFpEF. Last, relaxins ability to relax the heart muscle could improve diastolic filling in HFpEF where cardiac hypertrophy and fibrosis lead to diastolic dysfunction and heart failure. These benefits could also extend to IpcPH patients and thus to the entire Group 2 PH/HFpEF population. </w:t>
      </w:r>
    </w:p>
    <w:p>
      <w:pPr>
        <w:pStyle w:val="TextBody"/>
        <w:bidi w:val="0"/>
        <w:spacing w:before="240" w:after="0"/>
        <w:jc w:val="left"/>
        <w:rPr>
          <w:rFonts w:ascii="Times New Roman" w:hAnsi="Times New Roman"/>
          <w:sz w:val="20"/>
        </w:rPr>
      </w:pPr>
      <w:r>
        <w:rPr>
          <w:rFonts w:ascii="Times New Roman" w:hAnsi="Times New Roman"/>
          <w:sz w:val="20"/>
        </w:rPr>
        <w:t xml:space="preserve">In summary, depicted in Table 3 below, Tectonic hypothesizes that the inherent vasodilatory, anti-fibrotic, and anti-inflammatory activities of relaxin could be suited to address the key pathologies of Group 2 PH/HFpEF. </w:t>
      </w:r>
    </w:p>
    <w:p>
      <w:pPr>
        <w:pStyle w:val="TextBody"/>
        <w:bidi w:val="0"/>
        <w:spacing w:before="240" w:after="0"/>
        <w:jc w:val="left"/>
        <w:rPr>
          <w:rFonts w:ascii="Times New Roman" w:hAnsi="Times New Roman"/>
          <w:b/>
          <w:sz w:val="20"/>
        </w:rPr>
      </w:pPr>
      <w:r>
        <w:rPr>
          <w:rFonts w:ascii="Times New Roman" w:hAnsi="Times New Roman"/>
          <w:b/>
          <w:sz w:val="20"/>
        </w:rPr>
        <w:t xml:space="preserve">Table 3 </w:t>
      </w:r>
    </w:p>
    <w:p>
      <w:pPr>
        <w:pStyle w:val="TextBody"/>
        <w:bidi w:val="0"/>
        <w:spacing w:before="0" w:after="0"/>
        <w:jc w:val="left"/>
        <w:rPr/>
      </w:pPr>
      <w:r>
        <w:rPr/>
        <w:t> </w:t>
      </w:r>
    </w:p>
    <w:tbl>
      <w:tblPr>
        <w:tblW w:w="11825" w:type="dxa"/>
        <w:jc w:val="center"/>
        <w:tblInd w:w="0" w:type="dxa"/>
        <w:tblLayout w:type="fixed"/>
        <w:tblCellMar>
          <w:top w:w="0" w:type="dxa"/>
          <w:left w:w="0" w:type="dxa"/>
          <w:bottom w:w="0" w:type="dxa"/>
          <w:right w:w="0" w:type="dxa"/>
        </w:tblCellMar>
      </w:tblPr>
      <w:tblGrid>
        <w:gridCol w:w="3860"/>
        <w:gridCol w:w="120"/>
        <w:gridCol w:w="485"/>
        <w:gridCol w:w="120"/>
        <w:gridCol w:w="545"/>
        <w:gridCol w:w="120"/>
        <w:gridCol w:w="6575"/>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75"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Characteristics of Group 2 PH</w:t>
            </w:r>
          </w:p>
        </w:tc>
        <w:tc>
          <w:tcPr>
            <w:tcW w:w="120" w:type="dxa"/>
            <w:tcBorders/>
            <w:vAlign w:val="bottom"/>
          </w:tcPr>
          <w:p>
            <w:pPr>
              <w:pStyle w:val="TableContents"/>
              <w:bidi w:val="0"/>
              <w:spacing w:before="0" w:after="283"/>
              <w:jc w:val="left"/>
              <w:rPr/>
            </w:pPr>
            <w:r>
              <w:rPr/>
              <w:t>  </w:t>
            </w:r>
          </w:p>
        </w:tc>
        <w:tc>
          <w:tcPr>
            <w:tcW w:w="4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IpcPH</w:t>
            </w:r>
          </w:p>
        </w:tc>
        <w:tc>
          <w:tcPr>
            <w:tcW w:w="120" w:type="dxa"/>
            <w:tcBorders/>
            <w:vAlign w:val="bottom"/>
          </w:tcPr>
          <w:p>
            <w:pPr>
              <w:pStyle w:val="TableContents"/>
              <w:bidi w:val="0"/>
              <w:spacing w:before="0" w:after="283"/>
              <w:jc w:val="left"/>
              <w:rPr/>
            </w:pPr>
            <w:r>
              <w:rPr/>
              <w:t>  </w:t>
            </w:r>
          </w:p>
        </w:tc>
        <w:tc>
          <w:tcPr>
            <w:tcW w:w="5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CpcPH</w:t>
            </w:r>
          </w:p>
        </w:tc>
        <w:tc>
          <w:tcPr>
            <w:tcW w:w="120" w:type="dxa"/>
            <w:tcBorders/>
            <w:vAlign w:val="bottom"/>
          </w:tcPr>
          <w:p>
            <w:pPr>
              <w:pStyle w:val="TableContents"/>
              <w:bidi w:val="0"/>
              <w:spacing w:before="0" w:after="283"/>
              <w:jc w:val="left"/>
              <w:rPr/>
            </w:pPr>
            <w:r>
              <w:rPr/>
              <w:t>  </w:t>
            </w:r>
          </w:p>
        </w:tc>
        <w:tc>
          <w:tcPr>
            <w:tcW w:w="65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Anticipated Relaxin Effects</w:t>
            </w:r>
          </w:p>
        </w:tc>
      </w:tr>
      <w:tr>
        <w:trPr/>
        <w:tc>
          <w:tcPr>
            <w:tcW w:w="3860" w:type="dxa"/>
            <w:tcBorders/>
          </w:tcPr>
          <w:p>
            <w:pPr>
              <w:pStyle w:val="TableContents"/>
              <w:bidi w:val="0"/>
              <w:spacing w:before="0" w:after="283"/>
              <w:jc w:val="left"/>
              <w:rPr/>
            </w:pPr>
            <w:r>
              <w:rPr/>
              <w:t>Pulmonary artery narrowing, thickening, stiffening, fibrotic remodeling</w:t>
            </w:r>
          </w:p>
        </w:tc>
        <w:tc>
          <w:tcPr>
            <w:tcW w:w="12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Pulmonary vasodilation</w:t>
            </w:r>
          </w:p>
          <w:p>
            <w:pPr>
              <w:pStyle w:val="TableContents"/>
              <w:bidi w:val="0"/>
              <w:spacing w:before="0" w:after="20"/>
              <w:jc w:val="left"/>
              <w:rPr>
                <w:rFonts w:ascii="Times New Roman" w:hAnsi="Times New Roman"/>
                <w:sz w:val="20"/>
              </w:rPr>
            </w:pPr>
            <w:r>
              <w:rPr>
                <w:rFonts w:ascii="Times New Roman" w:hAnsi="Times New Roman"/>
                <w:sz w:val="20"/>
              </w:rPr>
              <w:t>anti-inflammatory, anti-fibrotic</w:t>
            </w:r>
          </w:p>
        </w:tc>
      </w:tr>
      <w:tr>
        <w:trPr>
          <w:trHeight w:val="120" w:hRule="atLeast"/>
        </w:trPr>
        <w:tc>
          <w:tcPr>
            <w:tcW w:w="3860"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6695"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tcPr>
          <w:p>
            <w:pPr>
              <w:pStyle w:val="TableContents"/>
              <w:bidi w:val="0"/>
              <w:spacing w:before="0" w:after="283"/>
              <w:jc w:val="left"/>
              <w:rPr/>
            </w:pPr>
            <w:r>
              <w:rPr/>
              <w:t>Right ventricular dysfunction</w:t>
            </w:r>
          </w:p>
        </w:tc>
        <w:tc>
          <w:tcPr>
            <w:tcW w:w="12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283"/>
              <w:jc w:val="left"/>
              <w:rPr/>
            </w:pPr>
            <w:r>
              <w:rPr/>
              <w:t>Right ventricular remodeling</w:t>
            </w:r>
          </w:p>
        </w:tc>
      </w:tr>
      <w:tr>
        <w:trPr>
          <w:trHeight w:val="120" w:hRule="atLeast"/>
        </w:trPr>
        <w:tc>
          <w:tcPr>
            <w:tcW w:w="3860"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6695"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tcPr>
          <w:p>
            <w:pPr>
              <w:pStyle w:val="TableContents"/>
              <w:bidi w:val="0"/>
              <w:spacing w:before="0" w:after="283"/>
              <w:jc w:val="left"/>
              <w:rPr/>
            </w:pPr>
            <w:r>
              <w:rPr/>
              <w:t>Thickening and stiffening of left ventricle</w:t>
            </w:r>
          </w:p>
        </w:tc>
        <w:tc>
          <w:tcPr>
            <w:tcW w:w="12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283"/>
              <w:jc w:val="left"/>
              <w:rPr/>
            </w:pPr>
            <w:r>
              <w:rPr/>
              <w:t>Peripheral vasodilation, cardiac relaxation, left ventricular remodeling</w:t>
            </w:r>
          </w:p>
        </w:tc>
      </w:tr>
      <w:tr>
        <w:trPr>
          <w:trHeight w:val="120" w:hRule="atLeast"/>
        </w:trPr>
        <w:tc>
          <w:tcPr>
            <w:tcW w:w="3860"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6695"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tcPr>
          <w:p>
            <w:pPr>
              <w:pStyle w:val="TableContents"/>
              <w:bidi w:val="0"/>
              <w:spacing w:before="0" w:after="283"/>
              <w:jc w:val="left"/>
              <w:rPr/>
            </w:pPr>
            <w:r>
              <w:rPr/>
              <w:t>Compromised kidney function</w:t>
            </w:r>
          </w:p>
        </w:tc>
        <w:tc>
          <w:tcPr>
            <w:tcW w:w="12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575" w:type="dxa"/>
            <w:tcBorders/>
            <w:vAlign w:val="bottom"/>
          </w:tcPr>
          <w:p>
            <w:pPr>
              <w:pStyle w:val="TableContents"/>
              <w:bidi w:val="0"/>
              <w:spacing w:before="0" w:after="283"/>
              <w:jc w:val="left"/>
              <w:rPr/>
            </w:pPr>
            <w:r>
              <w:rPr/>
              <w:t>Improvement in kidney function</w:t>
            </w:r>
          </w:p>
        </w:tc>
      </w:tr>
    </w:tbl>
    <w:p>
      <w:pPr>
        <w:pStyle w:val="TextBody"/>
        <w:bidi w:val="0"/>
        <w:spacing w:before="200" w:after="0"/>
        <w:jc w:val="left"/>
        <w:rPr>
          <w:rFonts w:ascii="Times New Roman" w:hAnsi="Times New Roman"/>
          <w:sz w:val="20"/>
        </w:rPr>
      </w:pPr>
      <w:r>
        <w:rPr>
          <w:rFonts w:ascii="Times New Roman" w:hAnsi="Times New Roman"/>
          <w:sz w:val="20"/>
        </w:rPr>
        <w:t xml:space="preserve">Relaxins numerous physiologic activities promote vasodilation in both the systemic and pulmonary vasculature, increasing cardiac output and decreasing pulmonary vascular wedge pressure (PCWP, a measure of heart failure) have previously been demonstrated with serelaxin (recombinant native human relaxin-2). As reported by Ponikowski P. et al in </w:t>
      </w:r>
      <w:r>
        <w:rPr>
          <w:rFonts w:ascii="Times New Roman" w:hAnsi="Times New Roman"/>
          <w:i/>
          <w:sz w:val="20"/>
        </w:rPr>
        <w:t>European Heart Journal</w:t>
      </w:r>
      <w:r>
        <w:rPr>
          <w:rFonts w:ascii="Times New Roman" w:hAnsi="Times New Roman"/>
          <w:sz w:val="20"/>
        </w:rPr>
        <w:t xml:space="preserve"> in 2014, patients with acute heart failure who had a right heart catheterization exhibited improved hemodynamics with relaxin treatment. These observations included a reduction of mean pulmonary artery pressure (mPAP), pulmonary vascular resistance (PVR), systemic vascular resistance (SVR) and pulmonary capillary wedge pressure (PCWP). The ability of the relaxin mechanism to reduce the right ventricular strain by reducing PVR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along with improving left ventricular function, as demonstrated by lowering PCWP, is fundamental to the potential of relaxin to treat PH-HFpEF. In a similar study of patients with chronic CHF reported by Dschietzig T. et al. in the </w:t>
      </w:r>
      <w:r>
        <w:rPr>
          <w:rFonts w:ascii="Times New Roman" w:hAnsi="Times New Roman"/>
          <w:i/>
          <w:sz w:val="20"/>
        </w:rPr>
        <w:t>Annals of the New York Academy of Sciences</w:t>
      </w:r>
      <w:r>
        <w:rPr>
          <w:rFonts w:ascii="Times New Roman" w:hAnsi="Times New Roman"/>
          <w:sz w:val="20"/>
        </w:rPr>
        <w:t xml:space="preserve"> in 2009, a reduction in PCWP and an increase in cardiac output was demonstrated in response to relaxin treatment.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43960" cy="242824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743960" cy="2428240"/>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Figure 4  Relaxin Improves Hemodynamics in Acute Heart Failure Patients Through Reduction of Pulmonary Capillary Wedge Pressure, Mean Pulmonary Artery Pressure, Pulmonary Vascular Resistance and Systemic Vascular Resistance. </w:t>
      </w:r>
    </w:p>
    <w:p>
      <w:pPr>
        <w:pStyle w:val="TextBody"/>
        <w:bidi w:val="0"/>
        <w:spacing w:before="120" w:after="0"/>
        <w:jc w:val="left"/>
        <w:rPr>
          <w:rFonts w:ascii="Times New Roman" w:hAnsi="Times New Roman"/>
          <w:b/>
          <w:sz w:val="20"/>
        </w:rPr>
      </w:pPr>
      <w:r>
        <w:rPr>
          <w:rFonts w:ascii="Times New Roman" w:hAnsi="Times New Roman"/>
          <w:b/>
          <w:sz w:val="20"/>
        </w:rPr>
        <w:t xml:space="preserve">Orange, serelaxin treatment for 20 hours (continuous infusion); Blue, placebo treatment. </w:t>
      </w:r>
    </w:p>
    <w:p>
      <w:pPr>
        <w:pStyle w:val="TextBody"/>
        <w:bidi w:val="0"/>
        <w:spacing w:before="120" w:after="0"/>
        <w:jc w:val="left"/>
        <w:rPr>
          <w:rFonts w:ascii="Times New Roman" w:hAnsi="Times New Roman"/>
          <w:b/>
          <w:sz w:val="20"/>
        </w:rPr>
      </w:pPr>
      <w:r>
        <w:rPr>
          <w:rFonts w:ascii="Times New Roman" w:hAnsi="Times New Roman"/>
          <w:b/>
          <w:sz w:val="20"/>
        </w:rPr>
        <w:t xml:space="preserve">Note: improvements in some measures of placebo after 8 hours can be attributed to allowance of diuretics at that time </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the study reported by Ponikowski P. et al in </w:t>
      </w:r>
      <w:r>
        <w:rPr>
          <w:rFonts w:ascii="Times New Roman" w:hAnsi="Times New Roman"/>
          <w:i/>
          <w:sz w:val="20"/>
        </w:rPr>
        <w:t>European Heart Journal</w:t>
      </w:r>
      <w:r>
        <w:rPr>
          <w:rFonts w:ascii="Times New Roman" w:hAnsi="Times New Roman"/>
          <w:sz w:val="20"/>
        </w:rPr>
        <w:t xml:space="preserve"> in 2014, it was also reported that treatment with relaxin showed a beneficial impact on improvement in renal function in heart failure patients. This may stem from renal vasodilation with increased renal blood flow observed with treatment with relaxin. Since Group 2 / HFpEF patients also frequently present with compromised renal function, relaxin may also improve related clinical factors in Tectonics target population. Tectonic views these hemodynamic and renal function data as further evidence of relaxins potential utility as a therapeutic for Group 2 PH. </w:t>
      </w:r>
    </w:p>
    <w:p>
      <w:pPr>
        <w:pStyle w:val="TextBody"/>
        <w:bidi w:val="0"/>
        <w:spacing w:before="360" w:after="0"/>
        <w:jc w:val="left"/>
        <w:rPr>
          <w:rFonts w:ascii="Times New Roman" w:hAnsi="Times New Roman"/>
          <w:b/>
          <w:sz w:val="20"/>
        </w:rPr>
      </w:pPr>
      <w:bookmarkStart w:id="130" w:name="toc770053_134"/>
      <w:bookmarkEnd w:id="130"/>
      <w:r>
        <w:rPr>
          <w:rFonts w:ascii="Times New Roman" w:hAnsi="Times New Roman"/>
          <w:b/>
          <w:sz w:val="20"/>
        </w:rPr>
        <w:t xml:space="preserve">Background on TX45 </w:t>
      </w:r>
    </w:p>
    <w:p>
      <w:pPr>
        <w:pStyle w:val="TextBody"/>
        <w:bidi w:val="0"/>
        <w:spacing w:before="120" w:after="0"/>
        <w:jc w:val="left"/>
        <w:rPr>
          <w:rFonts w:ascii="Times New Roman" w:hAnsi="Times New Roman"/>
          <w:sz w:val="20"/>
        </w:rPr>
      </w:pPr>
      <w:r>
        <w:rPr>
          <w:rFonts w:ascii="Times New Roman" w:hAnsi="Times New Roman"/>
          <w:sz w:val="20"/>
        </w:rPr>
        <w:t>TX45 is a recombinant protein consisting of an engineered single chain human relaxin domain fused to the Fc domain of human immuno-globulin 1 (IgG1) using a peptide chain linker. The Fc portion of TX45 was modified to reduce Fc</w:t>
      </w:r>
      <w:r>
        <w:rPr>
          <w:rFonts w:ascii="SYMBOL" w:hAnsi="SYMBOL"/>
          <w:sz w:val="20"/>
        </w:rPr>
        <w:t>g</w:t>
      </w:r>
      <w:r>
        <w:rPr>
          <w:rFonts w:ascii="Times New Roman" w:hAnsi="Times New Roman"/>
          <w:sz w:val="20"/>
        </w:rPr>
        <w:t xml:space="preserve"> receptor activation, and to increase binding to the neonatal Fc receptor (FcRn) with the goal of significantly increasing the half-life of the molecule in circulation, relative to the half-life of native human relaxin. TX45 was further engineered to reduce the isoelectric point (pI) of the molecule to enhance its pharmacokinetic properties and improve its biophysical profile. Reduction of the molecules pI was deemed necessary to avoid the non-specific clearance of high pI molecules from the circulation that takes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following administration as a result of binding to negatively charged heparin proteoglycans on the blood vessel wall. This effect can dramatically reduce the amount of bioavailable drug to exert pharmacologic action. Of note, native relaxin and most long-acting relaxin therapeutics have a high pI. Figure 5 compares the pharmacokinetic profile of TX45 which has a reduced pI with earlier candidates in Tectonics program, and a different Fc-relaxin fusion described in the literature (comparator) (Sun et al. J Am Heart Assoc. 2019 Dec 17; 8(24): e013465). Pharmacokinetic studies in rats were run with an early Tectonic relaxin compound (TX early), the comparator compound and TX-45 in consecutive studies at the same site and analyzed in the same way. Both of the latter are high pI molecules. No head-to-head studies have been conducted between TX-45 and the comparator compound or TX early.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72360" cy="17735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72360" cy="17735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5  The pharmacokinetic profile of TX45 in rats showed an 11 to 15-fold reduction in the alpha phase decline at 6 hours post-dose which resulted in a 4.1 to 5.5 -fold increase in AUC (0-100 hrs) compared to a comparator molecule and an earlier TX molecule which have higher isoelectric points compared to TX45. Rats (n= 3 / group) were administered 5 mg/kg of drug intravenously in all cases.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31" w:name="toc770053_135"/>
      <w:bookmarkEnd w:id="131"/>
      <w:r>
        <w:rPr>
          <w:rFonts w:ascii="Times New Roman" w:hAnsi="Times New Roman"/>
          <w:b/>
          <w:sz w:val="20"/>
        </w:rPr>
        <w:t xml:space="preserve">TX45 Pharmacology Studies </w:t>
      </w:r>
    </w:p>
    <w:p>
      <w:pPr>
        <w:pStyle w:val="TextBody"/>
        <w:bidi w:val="0"/>
        <w:spacing w:before="120" w:after="0"/>
        <w:jc w:val="left"/>
        <w:rPr>
          <w:rFonts w:ascii="Times New Roman" w:hAnsi="Times New Roman"/>
          <w:sz w:val="20"/>
        </w:rPr>
      </w:pPr>
      <w:r>
        <w:rPr>
          <w:rFonts w:ascii="Times New Roman" w:hAnsi="Times New Roman"/>
          <w:sz w:val="20"/>
        </w:rPr>
        <w:t xml:space="preserve">TX45 has been tested in several non-clinical </w:t>
      </w:r>
      <w:r>
        <w:rPr>
          <w:rFonts w:ascii="Times New Roman" w:hAnsi="Times New Roman"/>
          <w:i/>
          <w:sz w:val="20"/>
        </w:rPr>
        <w:t>in vivo</w:t>
      </w:r>
      <w:r>
        <w:rPr>
          <w:rFonts w:ascii="Times New Roman" w:hAnsi="Times New Roman"/>
          <w:sz w:val="20"/>
        </w:rPr>
        <w:t xml:space="preserve"> pharmacokinetic (PK) and pharmacology studies. These include a rat renal blood flow model that is used as a pharmacodynamic (PD) endpoint that demonstrates the vasodilatory effects of relaxin. TX45 administration shows a dose-response and exposure-response relationship on increasing rat renal blood flow (Figure 6). Renal arterial blood flow was measured with a perivascular flowmeter in anesthetized instrumented naïve rats. This study had 6-10 rats per group. </w:t>
      </w:r>
    </w:p>
    <w:p>
      <w:pPr>
        <w:pStyle w:val="TextBody"/>
        <w:bidi w:val="0"/>
        <w:spacing w:before="0" w:after="0"/>
        <w:jc w:val="left"/>
        <w:rPr/>
      </w:pPr>
      <w:r>
        <w:rPr/>
        <w:t> </w:t>
      </w:r>
    </w:p>
    <w:p>
      <w:pPr>
        <w:pStyle w:val="TextBody"/>
        <w:bidi w:val="0"/>
        <w:spacing w:before="0" w:after="0"/>
        <w:jc w:val="center"/>
        <w:rPr/>
      </w:pPr>
      <w:r>
        <w:rPr/>
        <w:drawing>
          <wp:inline distT="0" distB="0" distL="0" distR="0">
            <wp:extent cx="2372360" cy="147066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72360" cy="14706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4650" cy="2368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74650" cy="2368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Figure 6  Dose-Dependent Effect of TX45 on Rat Renal Arterial Blood Flow (RABF) (left panel) and Associated Pharmacokinetic Exposures (right panel) </w:t>
      </w:r>
    </w:p>
    <w:p>
      <w:pPr>
        <w:pStyle w:val="TextBody"/>
        <w:bidi w:val="0"/>
        <w:spacing w:before="120" w:after="0"/>
        <w:jc w:val="left"/>
        <w:rPr>
          <w:rFonts w:ascii="Times New Roman" w:hAnsi="Times New Roman"/>
          <w:sz w:val="20"/>
        </w:rPr>
      </w:pPr>
      <w:r>
        <w:rPr>
          <w:rFonts w:ascii="Times New Roman" w:hAnsi="Times New Roman"/>
          <w:sz w:val="20"/>
        </w:rPr>
        <w:t xml:space="preserve">To test the impact of improvements from protein engineering efforts, and particularly the effect of reducing the pI of the molecule, Tectonic conducted a comparative assessment of TX45 and a high pI comparator Fc-Relaxin fusion protein in the same rat renal blood flow model (n = 6-10 per group). In these experiments, a dose of 0.03 mg/kg of TX45 produced a comparable pharmacodynamic effect to 0.3 mg/kg of the comparator high pI molecule, despite being 10x less potent in vitro. In these studies, TX45 is ~10x more potent by dose in vivo than the comparator molecule, which may be consistent with a differentiated clinical profile for TX45 (Figure 7).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9255" cy="2343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89255" cy="2343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7  The improved biophysical Profile of TX45 results in a comparable AUC at a 10-fold lower dose (0.03 mg/kg) compared to the high pI comparator (0.3 mg/kg). </w:t>
      </w:r>
    </w:p>
    <w:p>
      <w:pPr>
        <w:pStyle w:val="TextBody"/>
        <w:bidi w:val="0"/>
        <w:spacing w:before="120" w:after="0"/>
        <w:jc w:val="left"/>
        <w:rPr>
          <w:rFonts w:ascii="Times New Roman" w:hAnsi="Times New Roman"/>
          <w:sz w:val="20"/>
        </w:rPr>
      </w:pPr>
      <w:r>
        <w:rPr>
          <w:rFonts w:ascii="Times New Roman" w:hAnsi="Times New Roman"/>
          <w:sz w:val="20"/>
        </w:rPr>
        <w:t xml:space="preserve">The use of human relaxin or human relaxin-mimetics in chronic in vivo pharmacology experiments in rats and mice has been limited by the development of anti-human relaxin antibodies that reduce relaxin levels and activity. This is because human relaxin is only ~50% homologous to rat relaxin so the rat immune system perceives human relaxin as being a foreign antigen. The development of anti-human relaxin antibodies in rodents is triggered in inflammatory disease models. To address this problem, Tectonic developed a method to administer anti-CD20 antibodies to deplete B lymphocytes and reduce antibody production. Using this approach, TX45 demonstrated a significant effect on a number of clinically relevant parameters in the rat monocrotaline-induced (MCT) model of pulmonary hypertension. The MCT model was run in the therapeutic mode, which is more stringent than the prophylactic mode. There were 10-12 rats per group and TX45 was tested in three independent experiments where it showed comparable effects. In this model, significant reductions (p&lt;0.05) in pulmonary artery pressure, right ventricular hypertrophy, NT-proBNP, and pulmonary artery muscularization were demonstrated along with 100% survival at 4 weeks compared with 75% for control animals (Figure 8, Figure 9, Figure 10). The determination of significance was done by a one-way anova test followed by Tukeys multiple comparison test. The p values are shown in the figures. Pulmonary hemodynamics were measured using a French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pressure catheter inserted into the right ventricle and pulmonary artery in anesthetized animals. Histopathology analysis was used to evaluate lung inflammation and pulmonary artery muscularization.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82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7850" cy="282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8  TX45 had a significant effect on Right Ventricular Systolic Pressure (p=0.006) (a) and Fultons Index (p=0.01) (b) in the MCT-PH Rat Model. Statistical significance was determined by a one-way anova test followed by Tukeys multiple comparison test.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6733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850" cy="26733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9  Following Histopathological Analysis TX45 had a significant effect on Lung Inflammation (p=0.01) (a) and Muscularization of Small Pulmonary Arteries (p=0.007) (b) in MCT-PH Rats Treated with TX45 or Vehicle. Statistical significance was determined by a one-way anova test followed by Tukeys multiple comparison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11150" cy="36004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11150" cy="3600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10  TX45 Treated Animals had a 25% improvment on survival vs. Controls in MCT-PH Rats. </w:t>
      </w:r>
    </w:p>
    <w:p>
      <w:pPr>
        <w:pStyle w:val="TextBody"/>
        <w:bidi w:val="0"/>
        <w:spacing w:before="120" w:after="0"/>
        <w:jc w:val="center"/>
        <w:rPr>
          <w:rFonts w:ascii="Times New Roman" w:hAnsi="Times New Roman"/>
          <w:sz w:val="20"/>
        </w:rPr>
      </w:pPr>
      <w:r>
        <w:rPr>
          <w:rFonts w:ascii="Times New Roman" w:hAnsi="Times New Roman"/>
          <w:sz w:val="20"/>
        </w:rPr>
        <w:t xml:space="preserve">TX45 Achieves 100% Survival in Experiment </w:t>
      </w:r>
    </w:p>
    <w:p>
      <w:pPr>
        <w:pStyle w:val="TextBody"/>
        <w:bidi w:val="0"/>
        <w:spacing w:before="240" w:after="0"/>
        <w:jc w:val="left"/>
        <w:rPr>
          <w:rFonts w:ascii="Times New Roman" w:hAnsi="Times New Roman"/>
          <w:sz w:val="20"/>
        </w:rPr>
      </w:pPr>
      <w:r>
        <w:rPr>
          <w:rFonts w:ascii="Times New Roman" w:hAnsi="Times New Roman"/>
          <w:sz w:val="20"/>
        </w:rPr>
        <w:t xml:space="preserve">TX45 or earlier Tectonic compounds also demonstrated a significant effect on clinically relevant parameters such as improved pulmonary hemodynamics and a reduction in kidney and cardiac fibrosis in three other preclinical models where anti-CD20 was not administered; the mouse isoproterenol model of HFpEF, the rat Sugen-hypoxia model of pulmonary hypertension as well as in the mouse unilateral ureteral obstruction model of kidney fibrosis. All of these studies had an n-6 to 10 animals per group and statistical significance was determined by a one-way anova test followed by Tukeys multiple comparison test. These preclinical data for TX45 have not yet been published. </w:t>
      </w:r>
    </w:p>
    <w:p>
      <w:pPr>
        <w:pStyle w:val="TextBody"/>
        <w:bidi w:val="0"/>
        <w:spacing w:before="360" w:after="0"/>
        <w:jc w:val="left"/>
        <w:rPr>
          <w:rFonts w:ascii="Times New Roman" w:hAnsi="Times New Roman"/>
          <w:b/>
          <w:sz w:val="20"/>
        </w:rPr>
      </w:pPr>
      <w:bookmarkStart w:id="132" w:name="toc770053_136"/>
      <w:bookmarkEnd w:id="132"/>
      <w:r>
        <w:rPr>
          <w:rFonts w:ascii="Times New Roman" w:hAnsi="Times New Roman"/>
          <w:b/>
          <w:sz w:val="20"/>
        </w:rPr>
        <w:t xml:space="preserve">TX45 Non-clinical Toxicology Studies </w:t>
      </w:r>
    </w:p>
    <w:p>
      <w:pPr>
        <w:pStyle w:val="TextBody"/>
        <w:bidi w:val="0"/>
        <w:spacing w:before="120" w:after="0"/>
        <w:jc w:val="left"/>
        <w:rPr>
          <w:rFonts w:ascii="Times New Roman" w:hAnsi="Times New Roman"/>
          <w:sz w:val="20"/>
        </w:rPr>
      </w:pPr>
      <w:r>
        <w:rPr>
          <w:rFonts w:ascii="Times New Roman" w:hAnsi="Times New Roman"/>
          <w:sz w:val="20"/>
        </w:rPr>
        <w:t xml:space="preserve">TX45 has been tested in rat and non-human primate (NHP) 1-month GLP toxicology and 6-month GLP toxicology studies at ITR in Canada. There is imperfect sequence homology between the active portion of TX45 and rat relaxin (~50%) or NHP relaxin (~73%). In the 1-month GLP toxicology studies, there were no specific toxicities identified and no observable adverse effect level (NOAEL), which is the greatest dose of a drug at which no detectable adverse effects occur in an exposed population, was 100 mg/kg for both species. Administration of TX45 resulted in the development of anti-drug antibodies (ADAs) in some rats and monkeys, but the ADA response was most prevalent in rats receiving TX45 by subcutaneous injection. </w:t>
      </w:r>
    </w:p>
    <w:p>
      <w:pPr>
        <w:pStyle w:val="TextBody"/>
        <w:bidi w:val="0"/>
        <w:spacing w:before="240" w:after="0"/>
        <w:jc w:val="left"/>
        <w:rPr>
          <w:rFonts w:ascii="Times New Roman" w:hAnsi="Times New Roman"/>
          <w:sz w:val="20"/>
        </w:rPr>
      </w:pPr>
      <w:r>
        <w:rPr>
          <w:rFonts w:ascii="Times New Roman" w:hAnsi="Times New Roman"/>
          <w:sz w:val="20"/>
        </w:rPr>
        <w:t xml:space="preserve">During weeks 6-9 of the 26-week GLP chronic toxicology study in NHPs, 5/32 monkeys treated with TX45 developed monkey anti-human anti-drug antibodies. ADAs formed in these 5 animals while they were recovering from an upper respiratory infection (URI) during weeks 5-9 of the study. Three animals were terminated prematurely due to severe immune related reactions, two of which had measured ADAs at the time of termination. Tectonic believes the URI acted as an adjuvant to heighten the immunologic response to TX45. Only animals that had URI symptoms developed ADAs and no additional animals developed ADAs as of week 25 (out of 26) of the study. The development of ADAs was not unexpected since there is only 75% homology between human and monkey relaxin, and ADAs were previously reported in serelaxin chronic toxicology studies. There is no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correlation between the development of ADAs against a substantially human protein administered to NHPs and the immunogenicity profile of the same protein in humans. The absence of high sequence homology between non-clinical species and human protein therapeutics is a common cause of immunogenicity in toxicology studies, particularly in longer-term studies, and does not predict immunogenicity in human clinical studies. </w:t>
      </w:r>
    </w:p>
    <w:p>
      <w:pPr>
        <w:pStyle w:val="TextBody"/>
        <w:bidi w:val="0"/>
        <w:spacing w:before="360" w:after="0"/>
        <w:jc w:val="left"/>
        <w:rPr>
          <w:rFonts w:ascii="Times New Roman" w:hAnsi="Times New Roman"/>
          <w:b/>
          <w:sz w:val="20"/>
        </w:rPr>
      </w:pPr>
      <w:bookmarkStart w:id="133" w:name="toc770053_137"/>
      <w:bookmarkEnd w:id="133"/>
      <w:r>
        <w:rPr>
          <w:rFonts w:ascii="Times New Roman" w:hAnsi="Times New Roman"/>
          <w:b/>
          <w:sz w:val="20"/>
        </w:rPr>
        <w:t xml:space="preserve">TX45 Clinical Development Studies and Plans </w:t>
      </w:r>
    </w:p>
    <w:p>
      <w:pPr>
        <w:pStyle w:val="TextBody"/>
        <w:bidi w:val="0"/>
        <w:spacing w:before="120" w:after="0"/>
        <w:jc w:val="left"/>
        <w:rPr>
          <w:rFonts w:ascii="Times New Roman" w:hAnsi="Times New Roman"/>
          <w:sz w:val="20"/>
        </w:rPr>
      </w:pPr>
      <w:r>
        <w:rPr>
          <w:rFonts w:ascii="Times New Roman" w:hAnsi="Times New Roman"/>
          <w:sz w:val="20"/>
        </w:rPr>
        <w:t xml:space="preserve">The TX45 clinical development program is designed to provide data supporting key inflection points. TX000045-001, a first in human, single ascending dose study is designed to provide data on safety and tolerability, and pharmacokinetic and pharmacodynamic and immunogenicity data after single doses in healthy volunteers in mid-2024. Additionally, Tectonic anticipates that Phase 1b single dose hemodynamic data in Group 2 PH patients could be available in 2025, and that Phase 2 proof-of-concept efficacy data in Group 2 PH patients could be available in 2026. </w:t>
      </w:r>
    </w:p>
    <w:p>
      <w:pPr>
        <w:pStyle w:val="TextBody"/>
        <w:bidi w:val="0"/>
        <w:spacing w:before="240" w:after="0"/>
        <w:jc w:val="left"/>
        <w:rPr>
          <w:rFonts w:ascii="Times New Roman" w:hAnsi="Times New Roman"/>
          <w:sz w:val="20"/>
        </w:rPr>
      </w:pPr>
      <w:r>
        <w:rPr>
          <w:rFonts w:ascii="Times New Roman" w:hAnsi="Times New Roman"/>
          <w:sz w:val="20"/>
        </w:rPr>
        <w:t xml:space="preserve">Tectonics Phase 1a study is being conducted in Australia and the Phase 1b study will be conducted in Moldova and the Netherlands. These studies are being conducted under ICH and GCP guidelines. Tectonic plans to conduct Phase 2 studies in the U.S., Australia, Europe and Eastern Europe. Prior to initiating the Phase 2 study in the U.S., the Phase 1 study being conducted in Australia will need to have confirmed the safety profile of the drug and data from the study will determine the selected doses in the Phase 2 study. A pre-IND meeting with the FDA is planned in the first half of 2024 followed by submission of the IND. Acceptance of the IND by the FDA and of the supporting preclinical data and Phase 1a data is required before Phase 2 can be initiated in the U.S. </w:t>
      </w:r>
    </w:p>
    <w:p>
      <w:pPr>
        <w:pStyle w:val="TextBody"/>
        <w:bidi w:val="0"/>
        <w:spacing w:before="240" w:after="0"/>
        <w:jc w:val="left"/>
        <w:rPr>
          <w:rFonts w:ascii="Times New Roman" w:hAnsi="Times New Roman"/>
          <w:sz w:val="20"/>
        </w:rPr>
      </w:pPr>
      <w:r>
        <w:rPr>
          <w:rFonts w:ascii="Times New Roman" w:hAnsi="Times New Roman"/>
          <w:sz w:val="20"/>
        </w:rPr>
        <w:t xml:space="preserve">Provided the Phase 1 and 2 studies obtain sufficient safety and efficacy data to justify proceeding to Phase 3, the conduct of Global Phase 3 pivotal studies including sites in the U.S., and additional non-clinical development work including scale-up of GMP manufacturing to commercial scale would also be needed to generate the data package necessary to support regulatory approval for marketing authorization in the U.S. through the submission of a Biologic License Application (BLA) to the FDA. Tectonic would also seek similar regulatory approvals through equivalent submissions to regulatory bodies in territories outside of the U.S. </w:t>
      </w:r>
    </w:p>
    <w:p>
      <w:pPr>
        <w:pStyle w:val="TextBody"/>
        <w:bidi w:val="0"/>
        <w:spacing w:before="0" w:after="0"/>
        <w:jc w:val="left"/>
        <w:rPr/>
      </w:pPr>
      <w:r>
        <w:rPr/>
        <w:t> </w:t>
      </w:r>
    </w:p>
    <w:tbl>
      <w:tblPr>
        <w:tblW w:w="27080" w:type="dxa"/>
        <w:jc w:val="center"/>
        <w:tblInd w:w="0" w:type="dxa"/>
        <w:tblLayout w:type="fixed"/>
        <w:tblCellMar>
          <w:top w:w="0" w:type="dxa"/>
          <w:left w:w="0" w:type="dxa"/>
          <w:bottom w:w="0" w:type="dxa"/>
          <w:right w:w="0" w:type="dxa"/>
        </w:tblCellMar>
      </w:tblPr>
      <w:tblGrid>
        <w:gridCol w:w="1715"/>
        <w:gridCol w:w="60"/>
        <w:gridCol w:w="5645"/>
        <w:gridCol w:w="120"/>
        <w:gridCol w:w="10520"/>
        <w:gridCol w:w="120"/>
        <w:gridCol w:w="8900"/>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00"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Study, Status, Location</w:t>
            </w:r>
          </w:p>
        </w:tc>
        <w:tc>
          <w:tcPr>
            <w:tcW w:w="60" w:type="dxa"/>
            <w:tcBorders/>
            <w:vAlign w:val="bottom"/>
          </w:tcPr>
          <w:p>
            <w:pPr>
              <w:pStyle w:val="TableContents"/>
              <w:bidi w:val="0"/>
              <w:spacing w:before="0" w:after="283"/>
              <w:jc w:val="left"/>
              <w:rPr/>
            </w:pPr>
            <w:r>
              <w:rPr/>
              <w:t> </w:t>
            </w:r>
          </w:p>
        </w:tc>
        <w:tc>
          <w:tcPr>
            <w:tcW w:w="56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Study Design</w:t>
            </w:r>
          </w:p>
        </w:tc>
        <w:tc>
          <w:tcPr>
            <w:tcW w:w="120" w:type="dxa"/>
            <w:tcBorders/>
            <w:vAlign w:val="bottom"/>
          </w:tcPr>
          <w:p>
            <w:pPr>
              <w:pStyle w:val="TableContents"/>
              <w:bidi w:val="0"/>
              <w:spacing w:before="0" w:after="283"/>
              <w:jc w:val="left"/>
              <w:rPr/>
            </w:pPr>
            <w:r>
              <w:rPr/>
              <w:t>  </w:t>
            </w:r>
          </w:p>
        </w:tc>
        <w:tc>
          <w:tcPr>
            <w:tcW w:w="105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Treatments</w:t>
            </w:r>
          </w:p>
        </w:tc>
        <w:tc>
          <w:tcPr>
            <w:tcW w:w="120" w:type="dxa"/>
            <w:tcBorders/>
            <w:vAlign w:val="bottom"/>
          </w:tcPr>
          <w:p>
            <w:pPr>
              <w:pStyle w:val="TableContents"/>
              <w:bidi w:val="0"/>
              <w:spacing w:before="0" w:after="283"/>
              <w:jc w:val="left"/>
              <w:rPr/>
            </w:pPr>
            <w:r>
              <w:rPr/>
              <w:t>  </w:t>
            </w:r>
          </w:p>
        </w:tc>
        <w:tc>
          <w:tcPr>
            <w:tcW w:w="89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Subject Population and</w:t>
              <w:br/>
              <w:t>Number</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TX000045-001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Phase 1a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(Ongoing)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Australia</w:t>
            </w:r>
          </w:p>
        </w:tc>
        <w:tc>
          <w:tcPr>
            <w:tcW w:w="60" w:type="dxa"/>
            <w:tcBorders/>
            <w:shd w:fill="CCEEFF" w:val="clear"/>
            <w:vAlign w:val="bottom"/>
          </w:tcPr>
          <w:p>
            <w:pPr>
              <w:pStyle w:val="TableContents"/>
              <w:bidi w:val="0"/>
              <w:spacing w:before="0" w:after="283"/>
              <w:jc w:val="left"/>
              <w:rPr/>
            </w:pPr>
            <w:r>
              <w:rPr/>
              <w:t> </w:t>
            </w:r>
          </w:p>
        </w:tc>
        <w:tc>
          <w:tcPr>
            <w:tcW w:w="5645" w:type="dxa"/>
            <w:tcBorders/>
            <w:shd w:fill="CCEEFF" w:val="clear"/>
          </w:tcPr>
          <w:p>
            <w:pPr>
              <w:pStyle w:val="TableContents"/>
              <w:bidi w:val="0"/>
              <w:spacing w:before="0" w:after="283"/>
              <w:jc w:val="left"/>
              <w:rPr/>
            </w:pPr>
            <w:r>
              <w:rPr/>
              <w:t>Randomized, double-blind, SAD (Part A) and MD (Part B)</w:t>
            </w:r>
          </w:p>
        </w:tc>
        <w:tc>
          <w:tcPr>
            <w:tcW w:w="120" w:type="dxa"/>
            <w:tcBorders/>
            <w:shd w:fill="CCEEFF" w:val="clear"/>
            <w:vAlign w:val="bottom"/>
          </w:tcPr>
          <w:p>
            <w:pPr>
              <w:pStyle w:val="TableContents"/>
              <w:bidi w:val="0"/>
              <w:spacing w:before="0" w:after="283"/>
              <w:jc w:val="left"/>
              <w:rPr/>
            </w:pPr>
            <w:r>
              <w:rPr/>
              <w:t>  </w:t>
            </w:r>
          </w:p>
        </w:tc>
        <w:tc>
          <w:tcPr>
            <w:tcW w:w="105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TX000045 or placebo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Part A: Single ascending IV and SC doses per clinical study protocol: IV : 0.3mg/kg, 1mg/kg, 3mg/kg SC: 150mg, 300mg, 600mg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Part B: Multiple dose, 150mg SC every other week for 3 doses</w:t>
            </w:r>
          </w:p>
        </w:tc>
        <w:tc>
          <w:tcPr>
            <w:tcW w:w="120" w:type="dxa"/>
            <w:tcBorders/>
            <w:shd w:fill="CCEEFF" w:val="clear"/>
            <w:vAlign w:val="bottom"/>
          </w:tcPr>
          <w:p>
            <w:pPr>
              <w:pStyle w:val="TableContents"/>
              <w:bidi w:val="0"/>
              <w:spacing w:before="0" w:after="283"/>
              <w:jc w:val="left"/>
              <w:rPr/>
            </w:pPr>
            <w:r>
              <w:rPr/>
              <w:t>  </w:t>
            </w:r>
          </w:p>
        </w:tc>
        <w:tc>
          <w:tcPr>
            <w:tcW w:w="8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Healthy male and female subjects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cohort will have 8 subjects, 6 on TX45 and 2 on placebo</w:t>
            </w:r>
          </w:p>
        </w:tc>
      </w:tr>
      <w:tr>
        <w:trPr>
          <w:trHeight w:val="240" w:hRule="atLeast"/>
        </w:trPr>
        <w:tc>
          <w:tcPr>
            <w:tcW w:w="1715" w:type="dxa"/>
            <w:tcBorders/>
            <w:vAlign w:val="center"/>
          </w:tcPr>
          <w:p>
            <w:pPr>
              <w:pStyle w:val="TableContents"/>
              <w:bidi w:val="0"/>
              <w:spacing w:before="0" w:after="283"/>
              <w:jc w:val="left"/>
              <w:rPr>
                <w:sz w:val="4"/>
                <w:szCs w:val="4"/>
              </w:rPr>
            </w:pPr>
            <w:r>
              <w:rPr>
                <w:sz w:val="4"/>
                <w:szCs w:val="4"/>
              </w:rPr>
            </w:r>
          </w:p>
        </w:tc>
        <w:tc>
          <w:tcPr>
            <w:tcW w:w="5705" w:type="dxa"/>
            <w:gridSpan w:val="2"/>
            <w:tcBorders/>
            <w:vAlign w:val="center"/>
          </w:tcPr>
          <w:p>
            <w:pPr>
              <w:pStyle w:val="TableContents"/>
              <w:bidi w:val="0"/>
              <w:spacing w:before="0" w:after="283"/>
              <w:jc w:val="left"/>
              <w:rPr>
                <w:sz w:val="4"/>
                <w:szCs w:val="4"/>
              </w:rPr>
            </w:pPr>
            <w:r>
              <w:rPr>
                <w:sz w:val="4"/>
                <w:szCs w:val="4"/>
              </w:rPr>
            </w:r>
          </w:p>
        </w:tc>
        <w:tc>
          <w:tcPr>
            <w:tcW w:w="10640" w:type="dxa"/>
            <w:gridSpan w:val="2"/>
            <w:tcBorders/>
            <w:vAlign w:val="center"/>
          </w:tcPr>
          <w:p>
            <w:pPr>
              <w:pStyle w:val="TableContents"/>
              <w:bidi w:val="0"/>
              <w:spacing w:before="0" w:after="283"/>
              <w:jc w:val="left"/>
              <w:rPr>
                <w:sz w:val="4"/>
                <w:szCs w:val="4"/>
              </w:rPr>
            </w:pPr>
            <w:r>
              <w:rPr>
                <w:sz w:val="4"/>
                <w:szCs w:val="4"/>
              </w:rPr>
            </w:r>
          </w:p>
        </w:tc>
        <w:tc>
          <w:tcPr>
            <w:tcW w:w="902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TX000045-002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Phase 1b</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(Ongoing)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Moldova,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Netherlands</w:t>
            </w:r>
          </w:p>
        </w:tc>
        <w:tc>
          <w:tcPr>
            <w:tcW w:w="60" w:type="dxa"/>
            <w:tcBorders/>
            <w:vAlign w:val="bottom"/>
          </w:tcPr>
          <w:p>
            <w:pPr>
              <w:pStyle w:val="TableContents"/>
              <w:bidi w:val="0"/>
              <w:spacing w:before="0" w:after="283"/>
              <w:jc w:val="left"/>
              <w:rPr/>
            </w:pPr>
            <w:r>
              <w:rPr/>
              <w:t> </w:t>
            </w:r>
          </w:p>
        </w:tc>
        <w:tc>
          <w:tcPr>
            <w:tcW w:w="5645" w:type="dxa"/>
            <w:tcBorders/>
          </w:tcPr>
          <w:p>
            <w:pPr>
              <w:pStyle w:val="TableContents"/>
              <w:bidi w:val="0"/>
              <w:spacing w:before="0" w:after="283"/>
              <w:jc w:val="left"/>
              <w:rPr/>
            </w:pPr>
            <w:r>
              <w:rPr/>
              <w:t>Open-label single dose</w:t>
            </w:r>
          </w:p>
        </w:tc>
        <w:tc>
          <w:tcPr>
            <w:tcW w:w="120" w:type="dxa"/>
            <w:tcBorders/>
            <w:vAlign w:val="bottom"/>
          </w:tcPr>
          <w:p>
            <w:pPr>
              <w:pStyle w:val="TableContents"/>
              <w:bidi w:val="0"/>
              <w:spacing w:before="0" w:after="283"/>
              <w:jc w:val="left"/>
              <w:rPr/>
            </w:pPr>
            <w:r>
              <w:rPr/>
              <w:t>  </w:t>
            </w:r>
          </w:p>
        </w:tc>
        <w:tc>
          <w:tcPr>
            <w:tcW w:w="10520" w:type="dxa"/>
            <w:tcBorders/>
          </w:tcPr>
          <w:p>
            <w:pPr>
              <w:pStyle w:val="TableContents"/>
              <w:bidi w:val="0"/>
              <w:spacing w:before="0" w:after="0"/>
              <w:jc w:val="left"/>
              <w:rPr>
                <w:rFonts w:ascii="Times New Roman" w:hAnsi="Times New Roman"/>
                <w:sz w:val="20"/>
              </w:rPr>
            </w:pPr>
            <w:r>
              <w:rPr>
                <w:rFonts w:ascii="Times New Roman" w:hAnsi="Times New Roman"/>
                <w:sz w:val="20"/>
              </w:rPr>
              <w:t>TX000045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0.3, 1, or 3 mg/kg IV</w:t>
            </w:r>
          </w:p>
        </w:tc>
        <w:tc>
          <w:tcPr>
            <w:tcW w:w="120" w:type="dxa"/>
            <w:tcBorders/>
            <w:vAlign w:val="bottom"/>
          </w:tcPr>
          <w:p>
            <w:pPr>
              <w:pStyle w:val="TableContents"/>
              <w:bidi w:val="0"/>
              <w:spacing w:before="0" w:after="283"/>
              <w:jc w:val="left"/>
              <w:rPr/>
            </w:pPr>
            <w:r>
              <w:rPr/>
              <w:t>  </w:t>
            </w:r>
          </w:p>
        </w:tc>
        <w:tc>
          <w:tcPr>
            <w:tcW w:w="8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Up to 25 patients with PH-HFpEF, including at least 14 patients with PVR&gt;3 WU</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0.3 mg cohort will have 2 patients enrolled followed by up to 12 patients in the 1 and 3 mg/kg IV cohorts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34" w:name="toc770053_138"/>
      <w:bookmarkEnd w:id="134"/>
      <w:r>
        <w:rPr>
          <w:rFonts w:ascii="Times New Roman" w:hAnsi="Times New Roman"/>
          <w:b/>
          <w:sz w:val="20"/>
        </w:rPr>
        <w:t xml:space="preserve">Ongoing Phase 1a Trial </w:t>
      </w:r>
    </w:p>
    <w:p>
      <w:pPr>
        <w:pStyle w:val="TextBody"/>
        <w:bidi w:val="0"/>
        <w:spacing w:before="120" w:after="0"/>
        <w:jc w:val="left"/>
        <w:rPr>
          <w:rFonts w:ascii="Times New Roman" w:hAnsi="Times New Roman"/>
          <w:sz w:val="20"/>
        </w:rPr>
      </w:pPr>
      <w:r>
        <w:rPr>
          <w:rFonts w:ascii="Times New Roman" w:hAnsi="Times New Roman"/>
          <w:sz w:val="20"/>
        </w:rPr>
        <w:t xml:space="preserve">A Phase 1 randomized, placebo-controlled, double-blind study in healthy volunteers with TX45 is currently ongoing in Australia, and includes single ascending dose (SAD) and multiple dose cohorts. In the SAD portion of the trial, TX45 is being administered by intravenous (IV) or subcutaneous (SC) injection, and in the multiple dose portion TX45 is being administered subcutaneously. The primary objective of the Phase 1 study is to determine the safety and tolerability of TX45 after single doses in ascending dose levels. The number of patients in each dose cohort is eight, six on TX45 and two on placebo. Secondary objectives include the evaluation of the pharmacokinetic (PK) and pharmacodynamic (PD) properties of TX45 to determine a PK/PD relationship. The PD endpoint in this study is the percent change from baseline renal plasma flow (RPF).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18, 2024, the first three cohorts (0.3 mg/kg IV, 1 mg/kg IV, 150 mg SC) of the single ascending dose portion of the Phase 1 study have been dosed with TX45. No drug-related SAEs have been observed thus far. Modeling of data available as of January 15, 2024 from these cohorts suggests that a single 1-2 mL injection of TX45 given once monthly (corresponding to a 150 mg and/or 300 mg dose) could be the target dose regimen. The bioavailability of TX45 after SC administration is approximately 50%. Evaluation of renal plasma flow on Day 2 after the initial starting dose administration of 0.3 mg/kg TX45 IV showed approximately 30% increase in RPF compared to baseline that was maintained on Day 8. There has been no evidence of immune-mediated clearance in subjects dosed with TX45. </w:t>
      </w:r>
    </w:p>
    <w:p>
      <w:pPr>
        <w:pStyle w:val="TextBody"/>
        <w:bidi w:val="0"/>
        <w:spacing w:before="360" w:after="0"/>
        <w:jc w:val="left"/>
        <w:rPr>
          <w:rFonts w:ascii="Times New Roman" w:hAnsi="Times New Roman"/>
          <w:b/>
          <w:sz w:val="20"/>
        </w:rPr>
      </w:pPr>
      <w:bookmarkStart w:id="135" w:name="toc770053_139"/>
      <w:bookmarkEnd w:id="135"/>
      <w:r>
        <w:rPr>
          <w:rFonts w:ascii="Times New Roman" w:hAnsi="Times New Roman"/>
          <w:b/>
          <w:sz w:val="20"/>
        </w:rPr>
        <w:t xml:space="preserve">Planned Phase 1b Trial </w:t>
      </w:r>
    </w:p>
    <w:p>
      <w:pPr>
        <w:pStyle w:val="TextBody"/>
        <w:bidi w:val="0"/>
        <w:spacing w:before="120" w:after="0"/>
        <w:jc w:val="left"/>
        <w:rPr>
          <w:rFonts w:ascii="Times New Roman" w:hAnsi="Times New Roman"/>
          <w:sz w:val="20"/>
        </w:rPr>
      </w:pPr>
      <w:r>
        <w:rPr>
          <w:rFonts w:ascii="Times New Roman" w:hAnsi="Times New Roman"/>
          <w:sz w:val="20"/>
        </w:rPr>
        <w:t xml:space="preserve">A Phase 1b study with TX45 in patients with Group 2 PH and HFpEF has been initiated in Moldova and will be conducted in both the Netherlands and Moldova. The study will enroll up to 25 patients with PH-HFpEF and up to 14 patients will have elevated PVR (CpcPH). This study is a single dose, open-label study with intravenous administration of TX45 to evaluate the safety, tolerability and acute hemodynamic effects in patients. The doses of TX45 administered in this study will be 0.3 mg/kg IV, 1 mg/kg, and 3 mg/kg. The study will evaluate the change from baseline in pulmonary vascular resistance (PVR) as determined by right heart catheterization, as well as improvement in mean pulmonary artery pressure, pulmonary wedge pressure, cardiac output, systemic vascular resistance. Tectonic will explore change in NT-proBNP and several echocardiology endpoints. </w:t>
      </w:r>
    </w:p>
    <w:p>
      <w:pPr>
        <w:pStyle w:val="TextBody"/>
        <w:bidi w:val="0"/>
        <w:spacing w:before="360" w:after="0"/>
        <w:jc w:val="left"/>
        <w:rPr>
          <w:rFonts w:ascii="Times New Roman" w:hAnsi="Times New Roman"/>
          <w:b/>
          <w:sz w:val="20"/>
        </w:rPr>
      </w:pPr>
      <w:bookmarkStart w:id="136" w:name="toc770053_140"/>
      <w:bookmarkEnd w:id="136"/>
      <w:r>
        <w:rPr>
          <w:rFonts w:ascii="Times New Roman" w:hAnsi="Times New Roman"/>
          <w:b/>
          <w:sz w:val="20"/>
        </w:rPr>
        <w:t xml:space="preserve">Phase 2 Proof of Concept Study in Group 2 PH and HFpEF after 24 weeks of treatment. </w:t>
      </w:r>
    </w:p>
    <w:p>
      <w:pPr>
        <w:pStyle w:val="TextBody"/>
        <w:bidi w:val="0"/>
        <w:spacing w:before="120" w:after="0"/>
        <w:jc w:val="left"/>
        <w:rPr>
          <w:rFonts w:ascii="Times New Roman" w:hAnsi="Times New Roman"/>
          <w:sz w:val="20"/>
        </w:rPr>
      </w:pPr>
      <w:r>
        <w:rPr>
          <w:rFonts w:ascii="Times New Roman" w:hAnsi="Times New Roman"/>
          <w:sz w:val="20"/>
        </w:rPr>
        <w:t xml:space="preserve">Tectonics TX45 Phase 2 randomized, placebo-controlled, double-blind proof-of-concept (POC) clinical trial in patients with Group 2 PH and HFpEF is expected to begin in the second half of 2024 and will be conducted globally, including the U.S., Europe, Eastern Europe and Australia. Initiation of this study is contingent on data from the Phase 1 study demonstrating adequate safety and sufficient data to select doses and dose intervals for the Phase 2 study. This study is designed to enrich for patients with a PVR of &gt;3 on baseline right heart catheterization with the goal of evaluating efficacy in both CpcPH as well as the whole Group 2 PH population with HFpEF. In this study, TX45 or placebo would be administered by subcutaneous injection for 6 months. Endpoints may include the change from baseline in PVR, stroke volume index, cardiac output, and additional hemodynamic measures as determined by right heart catheterization, 6-minute walk distance, Kansas City Cardiomyopathy Questionnaire-12 score, NT-proBNP blood level, and relevant echocardiography endpoints. </w:t>
      </w:r>
    </w:p>
    <w:p>
      <w:pPr>
        <w:pStyle w:val="TextBody"/>
        <w:bidi w:val="0"/>
        <w:spacing w:before="360" w:after="0"/>
        <w:jc w:val="left"/>
        <w:rPr>
          <w:rFonts w:ascii="Times New Roman" w:hAnsi="Times New Roman"/>
          <w:b/>
          <w:sz w:val="20"/>
        </w:rPr>
      </w:pPr>
      <w:bookmarkStart w:id="137" w:name="toc770053_141"/>
      <w:bookmarkEnd w:id="137"/>
      <w:r>
        <w:rPr>
          <w:rFonts w:ascii="Times New Roman" w:hAnsi="Times New Roman"/>
          <w:b/>
          <w:sz w:val="20"/>
        </w:rPr>
        <w:t xml:space="preserve">Type 2 PH Anticipated Pivotal Development Pathway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results of Tectonics Phase 2 trials and feedback received during the End of Phase 2 meeting with the FDA, Tectonic expects to initiate a randomized, placebo-controlled, double-blind Phase 3 clinical trial in Group 2 PH patients with HFpEF, as well as long term extension study for safety evaluation. In addition, Tectonic will design a long-term study for the evaluation of safety. Based on historical precedent across multiple PH subtypes and recent FDA public comments regarding the specific requirements for approval in Type 2 PH, Tectonic believes that the achievement of a clinically significant change in a functional endpoint, such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6-minute walk distance or actigraphy, may be sufficient for approval. The secondary endpoints may also include change from baseline to week 24 in: KCCQ-12 score, NT-proBNP level, and the percentage who improve in WHO functional class. An additional secondary endpoint may be the time to the first occurrence of a clinical worsening event or death. At this time, Tectonic does not anticipate that an assessment of TX45s impact on long term cardiovascular outcomes will be a requirement for approval. Commercialization in the U.S. and other countries will be contingent on approval by the regulatory authorities (the FDA in the U.S.) and an assessment by the regulators that the studies were conducted in accordance with accepted guidance and the data demonstrated that there was a positive benefit risk for patients. </w:t>
      </w:r>
    </w:p>
    <w:p>
      <w:pPr>
        <w:pStyle w:val="TextBody"/>
        <w:bidi w:val="0"/>
        <w:spacing w:before="360" w:after="0"/>
        <w:jc w:val="left"/>
        <w:rPr>
          <w:rFonts w:ascii="Times New Roman" w:hAnsi="Times New Roman"/>
          <w:b/>
          <w:sz w:val="20"/>
        </w:rPr>
      </w:pPr>
      <w:bookmarkStart w:id="138" w:name="toc770053_142"/>
      <w:bookmarkEnd w:id="138"/>
      <w:r>
        <w:rPr>
          <w:rFonts w:ascii="Times New Roman" w:hAnsi="Times New Roman"/>
          <w:b/>
          <w:sz w:val="20"/>
        </w:rPr>
        <w:t xml:space="preserve">Background on HHT Opportunity </w:t>
      </w:r>
    </w:p>
    <w:p>
      <w:pPr>
        <w:pStyle w:val="TextBody"/>
        <w:bidi w:val="0"/>
        <w:spacing w:before="120" w:after="0"/>
        <w:jc w:val="left"/>
        <w:rPr>
          <w:rFonts w:ascii="Times New Roman" w:hAnsi="Times New Roman"/>
          <w:sz w:val="20"/>
        </w:rPr>
      </w:pPr>
      <w:r>
        <w:rPr>
          <w:rFonts w:ascii="Times New Roman" w:hAnsi="Times New Roman"/>
          <w:sz w:val="20"/>
        </w:rPr>
        <w:t xml:space="preserve">Hereditary Hemorrhagic Telangiectasia (HHT), also known as Osler-Weber-Rendu syndrome, is the second most common genetic bleeding disorder. It has been estimated that there are up to 70,000 HHT patients in the USA and it has also been estimated that up to 10-20% of them have severe disease. Symptoms of this disorder typically arise in late teenage years or older, and the most common manifestation is recurrent epistaxis (nosebleeds), or gastrointestinal bleeding, that can be severe in some patients, requiring iron infusions or blood transfusions, Epistaxis is typically due to abnormal small blood vessels (telangiectasias) in the nasal mucosa. Patients with HHT can also develop large arterio-venous malformations (AVMs) in various organs, such as the brain, liver and lung. The presence of liver AVMs can lead to high output heart failure. AVMs can spontaneously bleed on occasion with potentially devastating results. While some AVMs can be treated by radiologic embolization, such as AVMs in the lung, others cannot, especially in the liver. Indeed, for patients with prominent liver AVMs, the only therapeutic option may be transplantation. </w:t>
      </w:r>
    </w:p>
    <w:p>
      <w:pPr>
        <w:pStyle w:val="TextBody"/>
        <w:bidi w:val="0"/>
        <w:spacing w:before="240" w:after="0"/>
        <w:jc w:val="left"/>
        <w:rPr>
          <w:rFonts w:ascii="Times New Roman" w:hAnsi="Times New Roman"/>
          <w:sz w:val="20"/>
        </w:rPr>
      </w:pPr>
      <w:r>
        <w:rPr>
          <w:rFonts w:ascii="Times New Roman" w:hAnsi="Times New Roman"/>
          <w:sz w:val="20"/>
        </w:rPr>
        <w:t xml:space="preserve">While there are no approved medical therapies for HHT, anti-VEGF therapies including bevacizumab have been used on an </w:t>
      </w:r>
      <w:r>
        <w:rPr>
          <w:rFonts w:ascii="Times New Roman" w:hAnsi="Times New Roman"/>
          <w:i/>
          <w:sz w:val="20"/>
        </w:rPr>
        <w:t>ad hoc</w:t>
      </w:r>
      <w:r>
        <w:rPr>
          <w:rFonts w:ascii="Times New Roman" w:hAnsi="Times New Roman"/>
          <w:sz w:val="20"/>
        </w:rPr>
        <w:t xml:space="preserve"> basis with results demonstrating that an anti-angiogenic therapy has the potential to be an efficacious treatment. These therapies have been shown to reduce angiogenesis and bleeding in mouse models of HHT. Importantly, these data have translated to the clinic, as small investigator-sponsored trials in HHT patients have demonstrated reduced epistaxis episodes and reduced transfusion dependence. The effects of anti-VEGF therapy suggest that targeting an alternative pathway, similar to the VEGF-VEGFR pathway in its ability to more specifically regulate angiogenesis, could be a productive strategy to address HHT. In addition to bevacizumab, pazopanib, a tyrosine kinase inhibitor, has been explored in small investigator-initiated studies with early suggestion of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HHT is a genetic disorder due to loss-of-function mutations in proteins in the BMP9/10-Endoglin-ALK1-SMAD4 signaling pathway. BMP9 is a member of the TGF-beta family of growth factors that regulate blood vessel development. GPCR3 (the specific GPCR target is not disclosed at this stage) and its ligand (L3) have been described to play a role in angiogenesis and AVM formation. Expression of L3 is also upregulated in HHT disease models and likely contributes to the development of abnormal blood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 Candidate for the Treatment of HHT </w:t>
      </w:r>
    </w:p>
    <w:p>
      <w:pPr>
        <w:pStyle w:val="TextBody"/>
        <w:bidi w:val="0"/>
        <w:spacing w:before="120" w:after="0"/>
        <w:jc w:val="left"/>
        <w:rPr>
          <w:rFonts w:ascii="Times New Roman" w:hAnsi="Times New Roman"/>
          <w:sz w:val="20"/>
        </w:rPr>
      </w:pPr>
      <w:r>
        <w:rPr>
          <w:rFonts w:ascii="Times New Roman" w:hAnsi="Times New Roman"/>
          <w:sz w:val="20"/>
        </w:rPr>
        <w:t xml:space="preserve">Tectonic has identified potential development candidates, from which one could be selected for further development as a potential treatment for HHT. These comprise a potent inhibitory anti-GPCR3 antibody (VHH) linked to the Fc portion of IgG1. The Fc portion of these molecules was modified to reduce Fcg receptor activation and to increase binding to FcRn, in order to enhance the half-life of the molecules.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Pharmacology Studies </w:t>
      </w:r>
    </w:p>
    <w:p>
      <w:pPr>
        <w:pStyle w:val="TextBody"/>
        <w:bidi w:val="0"/>
        <w:spacing w:before="120" w:after="0"/>
        <w:jc w:val="left"/>
        <w:rPr>
          <w:rFonts w:ascii="Times New Roman" w:hAnsi="Times New Roman"/>
          <w:sz w:val="20"/>
        </w:rPr>
      </w:pPr>
      <w:r>
        <w:rPr>
          <w:rFonts w:ascii="Times New Roman" w:hAnsi="Times New Roman"/>
          <w:sz w:val="20"/>
        </w:rPr>
        <w:t xml:space="preserve">Several murine models of HHT have been established. These include both genetic loss-of-function models that disrupt the BMP9/10-Endoglin-ALK1-SMAD4 signaling pathway at different points, and the BMP9/10 immunoblocked model. In several of these murine models of HHT, anti-VEGF or anti-VEGF receptor agents reduce AVM formation and spontaneous bleeding. As referenced above, since bevacizumab, an anti-VEGF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monoclonal antibody, has been shown to have a clinical impact in HHT patients at reducing epistaxis, the mouse models appear to be predictive of these human impacts. Despite these signs of clinical utility, neither bevacizumab nor small molecule VEGF receptor inhibitors have been approved for the treatment of HHT and they are not widely used likely because of the lack of approval, concerns about toxicity and lack of adequate information about dose. Tectonic has established a pharmacodynamic model of spontaneous murine neonatal retinal angiogenesis. In this model, treatment with a potent mouse GPCR3 Nb-Fc antagonist reduces neo-angiogenesis and vascularized area in the neonatal mouse retina. Tectonic has also established the BMP9/10-immunoblocked mouse model of HHT. This model reliably leads to the development of telangiectasias, AVMs and bleeding in organs including the GI tract and brain. In this model, Tectonics GPCR3 antagonist significantly reduces both arteriovenous malformations (AVMs), retinal vascular density induced by BMP9/BMP10 blockade to a similar degree as a VEGF antagonist (Figure 11), a N=7 retinas were used for AVM number determination. This demonstrates that pharmacologic inhibition of GPCR3 provides significant effects on endpoints relevant to HHT patients. Additional </w:t>
      </w:r>
      <w:r>
        <w:rPr>
          <w:rFonts w:ascii="Times New Roman" w:hAnsi="Times New Roman"/>
          <w:i/>
          <w:sz w:val="20"/>
        </w:rPr>
        <w:t>in vivo</w:t>
      </w:r>
      <w:r>
        <w:rPr>
          <w:rFonts w:ascii="Times New Roman" w:hAnsi="Times New Roman"/>
          <w:sz w:val="20"/>
        </w:rPr>
        <w:t xml:space="preserve"> studies characterizing the effects of GPCR3 antagonism on additional HHT relevant vascular pathology endpoints in mice are planned.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460115" cy="161861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460115" cy="16186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11  Anti-GPCR3 Antibody Treatment Significantly Reduces AVMs and Lessens Retinal Vascular Density Induced by BMP9/10 Blockade Compared to Treatment with Inactive Control Antibody (IgG2a/2b). Left Panel: Determination of AVM number and right panel; determination of vascular density in the retinal plexus in neonatal mice at P6 comparing GPCR3 antagonist, isotope control antibody and a VEGF-A antibody antagonist. In all cases, data analysis was blinded. Data are mean ± SEM and analyzed using one-way ANOVA. * p&lt;0.05; **** p&lt;0.0001. Data represents N=7 mice per group. The vascular density values were generated by collecting five 200 x 200 mm2 from different fields per retina and analyzed using the ImageJ, measure particles tool software. AVM and vascular density analysis was carried out in a blinded fashion.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Clinical Development Plans </w:t>
      </w:r>
    </w:p>
    <w:p>
      <w:pPr>
        <w:pStyle w:val="TextBody"/>
        <w:bidi w:val="0"/>
        <w:spacing w:before="120" w:after="0"/>
        <w:jc w:val="left"/>
        <w:rPr>
          <w:rFonts w:ascii="Times New Roman" w:hAnsi="Times New Roman"/>
          <w:sz w:val="20"/>
        </w:rPr>
      </w:pPr>
      <w:r>
        <w:rPr>
          <w:rFonts w:ascii="Times New Roman" w:hAnsi="Times New Roman"/>
          <w:sz w:val="20"/>
        </w:rPr>
        <w:t xml:space="preserve">Provided that it meets acceptable safety, tolerability and developability criteria in upcoming studies, a development candidate (DC) could be selected for further progression into clinical studies, which could begin sometime in Q4/2025-Q1/2026. </w:t>
      </w:r>
    </w:p>
    <w:p>
      <w:pPr>
        <w:pStyle w:val="TextBody"/>
        <w:bidi w:val="0"/>
        <w:spacing w:before="240" w:after="0"/>
        <w:jc w:val="left"/>
        <w:rPr>
          <w:rFonts w:ascii="Times New Roman" w:hAnsi="Times New Roman"/>
          <w:sz w:val="20"/>
        </w:rPr>
      </w:pPr>
      <w:r>
        <w:rPr>
          <w:rFonts w:ascii="Times New Roman" w:hAnsi="Times New Roman"/>
          <w:sz w:val="20"/>
        </w:rPr>
        <w:t xml:space="preserve">The Phase 1 program for this DC would consist of a randomized, placebo-controlled, double-blind single ascending-dose and multiple dose study that would be performed in healthy volunteers or mild HHT patients. Likely primary endpoints would be the safety and tolerability of the DC in these subjects, and likely secondary endpoints would be the pharmacokinetic properties of the DC and potentially PD endpoints in patients with HHT.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Assuming adequate PK and safety are established in Phase 1, efficacy stud(ies) including a Phase 2 randomized, placebo-controlled, double-blind 3-month proof of concept (POC) study in HHT patients with frequent epistaxis and anemia would be conducted. </w:t>
      </w:r>
    </w:p>
    <w:p>
      <w:pPr>
        <w:pStyle w:val="TextBody"/>
        <w:bidi w:val="0"/>
        <w:spacing w:before="360" w:after="0"/>
        <w:jc w:val="left"/>
        <w:rPr>
          <w:rFonts w:ascii="Times New Roman" w:hAnsi="Times New Roman"/>
          <w:b/>
          <w:sz w:val="20"/>
        </w:rPr>
      </w:pPr>
      <w:bookmarkStart w:id="139" w:name="toc770053_143"/>
      <w:bookmarkEnd w:id="139"/>
      <w:r>
        <w:rPr>
          <w:rFonts w:ascii="Times New Roman" w:hAnsi="Times New Roman"/>
          <w:b/>
          <w:sz w:val="20"/>
        </w:rPr>
        <w:t xml:space="preserve">Background on GEODeTM Platform </w:t>
      </w:r>
    </w:p>
    <w:p>
      <w:pPr>
        <w:pStyle w:val="TextBody"/>
        <w:bidi w:val="0"/>
        <w:spacing w:before="120" w:after="0"/>
        <w:jc w:val="left"/>
        <w:rPr>
          <w:rFonts w:ascii="Times New Roman" w:hAnsi="Times New Roman"/>
          <w:sz w:val="20"/>
        </w:rPr>
      </w:pPr>
      <w:r>
        <w:rPr>
          <w:rFonts w:ascii="Times New Roman" w:hAnsi="Times New Roman"/>
          <w:sz w:val="20"/>
        </w:rPr>
        <w:t xml:space="preserve">Tectonic believes that its GEODeTM platform has the potential to advance the field of biologic drugs targeted to GPCRs. To date, only 12% of the more than 800 GPCRs in the human body have been successfully translated into targets for approved therapeutics with biologics representing only three of those approvals. GPCRs have proven to be elusive targets for biologics largely due to their dynamic structure and expression levels in the plasma membrane and the difficulty of translating them in a functional form outside of their native lipid microenvironment.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successful GPCR targeted therapeutics to date are small molecules, however, the success of this modality has been largely confined to just 6 GPCR subfamilies, many of which have a natural ligand that is also a small molecule. Establishing and maintaining target engagement and selectivity, therefore, for small molecules has proven challenging for receptors of increased size and complexity, greater sequence homology in ligand binding sites, or where subfamilies have overlapping ligands. </w:t>
      </w:r>
    </w:p>
    <w:p>
      <w:pPr>
        <w:pStyle w:val="TextBody"/>
        <w:bidi w:val="0"/>
        <w:spacing w:before="240" w:after="0"/>
        <w:jc w:val="left"/>
        <w:rPr>
          <w:rFonts w:ascii="Times New Roman" w:hAnsi="Times New Roman"/>
          <w:sz w:val="20"/>
        </w:rPr>
      </w:pPr>
      <w:r>
        <w:rPr>
          <w:rFonts w:ascii="Times New Roman" w:hAnsi="Times New Roman"/>
          <w:sz w:val="20"/>
        </w:rPr>
        <w:t xml:space="preserve">GEODeTM was developed with the aim of addressing the challenges of GPCR targeted biologics via a combination of (1) GPCR protein engineering strategies that stabilize the pharmacologically relevant form of the receptor and increase the cell surface receptor expression, enabling purification and formulation of the receptor at scale and in the correct conformation for naïve antibody selection campaigns; (2) using an optimized cell free yeast display platform with proprietary, highly diverse Fab and VHH antibody libraries designed to target GPCRs; and (3) structure-guided protein engineering strategies to identify optimal GPCR targeted biologics. The original platform technology was developed in Dr. Andrew Kruses lab at Harvard. This platform technology included yeast display selection protocols, first generation Fab and VHH library designs and protocols to detergent solubilize GPCRs. The Tectonic team has made significant changes and modifications to the original platform to optimize the quality of the molecules emerging from its naïve selections and affinity maturations including optimization of its receptor design strategy, the design of its naive and affinity maturation libraries and of the yeast display selection protocols. </w:t>
      </w:r>
    </w:p>
    <w:p>
      <w:pPr>
        <w:pStyle w:val="TextBody"/>
        <w:bidi w:val="0"/>
        <w:spacing w:before="360" w:after="0"/>
        <w:jc w:val="left"/>
        <w:rPr>
          <w:rFonts w:ascii="Times New Roman" w:hAnsi="Times New Roman"/>
          <w:b/>
          <w:sz w:val="20"/>
        </w:rPr>
      </w:pPr>
      <w:bookmarkStart w:id="140" w:name="toc770053_144"/>
      <w:bookmarkEnd w:id="140"/>
      <w:r>
        <w:rPr>
          <w:rFonts w:ascii="Times New Roman" w:hAnsi="Times New Roman"/>
          <w:b/>
          <w:sz w:val="20"/>
        </w:rPr>
        <w:t xml:space="preserve">Summary of Tectonics Expertise in GPCRs and mAb Discovery </w:t>
      </w:r>
    </w:p>
    <w:p>
      <w:pPr>
        <w:pStyle w:val="TextBody"/>
        <w:bidi w:val="0"/>
        <w:spacing w:before="120" w:after="0"/>
        <w:jc w:val="left"/>
        <w:rPr>
          <w:rFonts w:ascii="Times New Roman" w:hAnsi="Times New Roman"/>
          <w:sz w:val="20"/>
        </w:rPr>
      </w:pPr>
      <w:r>
        <w:rPr>
          <w:rFonts w:ascii="Times New Roman" w:hAnsi="Times New Roman"/>
          <w:sz w:val="20"/>
        </w:rPr>
        <w:t xml:space="preserve">Tectonics optimized GPCR-targeted antibody discovery process comprises the following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Optimization, stabilization, and formulation of GPCRs </w:t>
            </w:r>
            <w:r>
              <w:rPr>
                <w:rFonts w:ascii="Times New Roman" w:hAnsi="Times New Roman"/>
                <w:sz w:val="20"/>
              </w:rPr>
              <w:t xml:space="preserve">using proprietary protein engineering and biochemistry techniques, to produce sufficient target material in the correct conformation, as a reagent for discovery campaigns. Tectonic uses structure-based homology modeling and prediction to engineer changes into the receptor that can bias it into an active or inactive state. These changes can also increase receptor cell surface expression and stability. Also, because the lipid bilayer surrounding a receptor can strongly affect its activation, Tectonic has developed techniques to present its targets in a variety of different membrane mimetics that recapitulate the lipid bilayer environment that the receptor is embedded in. Tectonic has also taken a machine learning guided protein engineering approach to generate G-protein mimetics that can stabilize GPCRs in their active state conformation. This stabilized protein complex can be used to discover agonist antibodies during yeast display selection campaigns.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Optimized and streamlined yeast display antibody selection protocols</w:t>
            </w:r>
            <w:r>
              <w:rPr>
                <w:rFonts w:ascii="Times New Roman" w:hAnsi="Times New Roman"/>
                <w:sz w:val="20"/>
              </w:rPr>
              <w:t xml:space="preserve"> that minimize false positive hits from non-specific binders and can productively pull initial hits from discovery campaign. Tectonic employs antibody libraries designed and optimized for targeting GPCRs, novel tagging strategies, and make extensive use of automation in its protocols. In some circumstances Tectonic compares multiple approaches, including animal immunization for generating initial hits against targets of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High throughput GPCR binding assessment </w:t>
            </w:r>
            <w:r>
              <w:rPr>
                <w:rFonts w:ascii="Times New Roman" w:hAnsi="Times New Roman"/>
                <w:sz w:val="20"/>
              </w:rPr>
              <w:t xml:space="preserve">to confirm binding of purified antibodies to target of interest. This step enables rapid narrowing of the set of initial hits to focus on the most productive options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GPCR signaling assays </w:t>
            </w:r>
            <w:r>
              <w:rPr>
                <w:rFonts w:ascii="Times New Roman" w:hAnsi="Times New Roman"/>
                <w:sz w:val="20"/>
              </w:rPr>
              <w:t xml:space="preserve">to confirm that hits which were identified in the selection campaign and confirmed as target binders, are also functionally active to modulate signaling through the target of interest. Tectonic has implemented a wide range of signaling assays that can support characterization of hits against different GPCR targets.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Antibody Lead optimization </w:t>
            </w:r>
            <w:r>
              <w:rPr>
                <w:rFonts w:ascii="Times New Roman" w:hAnsi="Times New Roman"/>
                <w:sz w:val="20"/>
              </w:rPr>
              <w:t xml:space="preserve">via affinity maturation to further improve either potency, selectivity, cross-species reactivity, developability characteristics or any combination of the above. </w:t>
            </w:r>
          </w:p>
        </w:tc>
      </w:tr>
    </w:tbl>
    <w:p>
      <w:pPr>
        <w:pStyle w:val="TextBody"/>
        <w:bidi w:val="0"/>
        <w:spacing w:before="360" w:after="0"/>
        <w:jc w:val="left"/>
        <w:rPr>
          <w:rFonts w:ascii="Times New Roman" w:hAnsi="Times New Roman"/>
          <w:b/>
          <w:sz w:val="20"/>
        </w:rPr>
      </w:pPr>
      <w:bookmarkStart w:id="141" w:name="toc770053_145"/>
      <w:bookmarkEnd w:id="141"/>
      <w:r>
        <w:rPr>
          <w:rFonts w:ascii="Times New Roman" w:hAnsi="Times New Roman"/>
          <w:b/>
          <w:sz w:val="20"/>
        </w:rPr>
        <w:t xml:space="preserve">Collaboration, License and Services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Harvard Option and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Tectonic exercised the option and in February 2022 entered into a license agreement with Harvard (the Harvard License Agreement). Under the Harvard License Agreement, Tectonic obtained (i) an exclusive, worldwide, royalty-bearing license under Harvards interests in the Patent Rights, and (ii) a non-exclusive, worldwide, royalty-bearing license to use Harvards interest in certain know-how to develop, manufacture and commercialize licensed products and know-how enabled products, and (iii) a non-exclusive, worldwide, royalty-bearing license to use discovery materials to develop, manufacture and commercialize discovered products. Harvard retained the right for itself and for other not-for-profit research organizations and government agencies to practice the Patent Rights and to use Harvards know-how and discovery materials within the scope of the license granted for research, educational and scholarly purposes.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use commercially reasonable efforts to develop royalty-bearing products and, once regulatory approval is received, to introduce and market such products into the commercial market and to make such products available at locally-affordable prices in certain countries outside the United States and Europe. Tectonic is also required to meet certain development and commercialization diligence milestones within specified time periods. </w:t>
      </w:r>
    </w:p>
    <w:p>
      <w:pPr>
        <w:pStyle w:val="TextBody"/>
        <w:bidi w:val="0"/>
        <w:spacing w:before="240" w:after="0"/>
        <w:jc w:val="left"/>
        <w:rPr>
          <w:rFonts w:ascii="Times New Roman" w:hAnsi="Times New Roman"/>
          <w:sz w:val="20"/>
        </w:rPr>
      </w:pPr>
      <w:r>
        <w:rPr>
          <w:rFonts w:ascii="Times New Roman" w:hAnsi="Times New Roman"/>
          <w:sz w:val="20"/>
        </w:rPr>
        <w:t xml:space="preserve">As partial consideration for the Harvard License Agreement, Tectonic agreed to pay Harvard a one-time license fee of $170,000, with such fee to be paid in equal installments over three years. In July 2022, Tectonic paid Harvard $56,666 and in July 2023 Tectonic paid Harvard $56,667. The final installment of $56,667 under the Harvard License Agreement is due in July 2024. As partial consideration for the Harvard License Agreement, Tectonic entered into a subscription agreement with Harvard in July 2022, pursuant to which Harvard was granted 227,486 shares of common stock of the Company with a fair market value in the mid six digits.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Tectonic is required to pay a one-time milestone payment of $100,000 for each discovered product granted FDA marketing authorization as well as for the first licensed product or know-how enabled product to reach certain clinical development milestones, up to $8.5 million and for the first licensed product or know-how enabled product to reach certain commercial milestones, up to $2.0 million. Tectonic is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Tectonic receives in connection with a sublicense, strategic partnership or know-how enabled license. With respect to any net sales of licensed products and know-how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enabled products sold in certain countries outside of the United States and Europe, Tectonic and Harvard will negotiate a royalty percentage on a country-by-country basis. </w:t>
      </w:r>
    </w:p>
    <w:p>
      <w:pPr>
        <w:pStyle w:val="TextBody"/>
        <w:bidi w:val="0"/>
        <w:spacing w:before="240" w:after="0"/>
        <w:jc w:val="left"/>
        <w:rPr>
          <w:rFonts w:ascii="Times New Roman" w:hAnsi="Times New Roman"/>
          <w:sz w:val="20"/>
        </w:rPr>
      </w:pPr>
      <w:r>
        <w:rPr>
          <w:rFonts w:ascii="Times New Roman" w:hAnsi="Times New Roman"/>
          <w:sz w:val="20"/>
        </w:rPr>
        <w:t xml:space="preserve">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Harvard may terminate the Harvard License Agreement if Tectonic fails to maintain insurance at specified levels or fails to comply with the notice requirements therein, upon Tectonics uncured material breach or insolvency. Tectonic may terminate the Harvard License Agreement at any time with or without cause upon a specified notice period and upon an uncured material breach by Harvard.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WuXi Master Development and Manufacturing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6, 2022, Tectonic entered into a development and manufacturing agreement (the WuXi Biologics Manufacturing Agreement) with WuXi Biologics. The WuXi Biologics Manufacturing Agreement governs the general terms under which WuXi Biologics, or one of its affiliates, will provide biologics development and manufacturing services as specified by Tectonic on a project-by-project basis. Such services are performed under agreed-upon work orders. Under the terms of the WuXi Biologics Manufacturing Agreement, Tectonic has agreed to pay fees for WuXi Biologics performance of services in addition to reimbursing WuXi Biologics for reasonable expenses authorized by Tectonic and as provided in each applicable work order.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WuXi Biologics Manufacturing Agreement will expire on the later of May 6, 2025 or the completion of the services under all work orders executed by the parties prior to May 6, 2025, provided that the term may be extended by Tectonic for additional periods. Tectonic will have the right to terminate the WuXi Biologics Manufacturing Agreement or any work order upon thirty days prior written notice or immediately if, in Tectonics reasonable judgment, WuXi Biologics is or will be unable to perform the Services or WuXi Biologics fails to obtain or maintain any necessary licenses or approvals. Either party may terminate the WuXi Biologics Manufacturing Agreement or any work order if the other party files for bankruptcy, fails to cure a material breach during the cure period or a force majeure event that has lasted for the time period specified within the WuXi Biologics Manufacturing Agreement. WuXi Biologics has the right to terminate if the parties are unable to reach an agreement on an amendment to the services if such services become impossible due solely to changes in applicable law. The term of each work order terminates upon completion of the services under such work order, unless terminated earlier. </w:t>
      </w:r>
    </w:p>
    <w:p>
      <w:pPr>
        <w:pStyle w:val="TextBody"/>
        <w:bidi w:val="0"/>
        <w:spacing w:before="240" w:after="0"/>
        <w:jc w:val="left"/>
        <w:rPr>
          <w:rFonts w:ascii="Times New Roman" w:hAnsi="Times New Roman"/>
          <w:sz w:val="20"/>
        </w:rPr>
      </w:pPr>
      <w:r>
        <w:rPr>
          <w:rFonts w:ascii="Times New Roman" w:hAnsi="Times New Roman"/>
          <w:sz w:val="20"/>
        </w:rPr>
        <w:t xml:space="preserve">The WuXi Biologics Manufacturing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Novotech Master Clinical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2023, Tectonic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Tectonic on a project-by-project basis. Such services are performed under agreed statements of work. Under the terms of the Novotech CSA, Tectonic has agreed to pay fees for Novotechs performance of services in addition to reimbursing Novotech for reasonably incurred, pass through costs agreed to by Tectonic and as provided in each applicable statement of work. Additionally, under the terms of the Novotech CSA, all documentation, information, and biological, chemical or other materials controlled by Tectonic and furnished to Novotech by or on behalf of Tectonic shall remain the exclusive property of Tectonic, and Tectonic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Novotechs service, except for Novotechs background intellectual property rights as defined under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Tectonic may terminate the Novotech CSA or any statement of work thereunder immediately if Novotech has committed an uncurable breach or has failed to cure a breach after thirty days written notice. Tectonic may also terminate the Novotech CSA or any statement of work thereunder for any reason upon thirty days prior written notice to Novotech. Novotech may terminate the Novotech CSA or any statement of work thereunder immediately if Tectonic has failed to cure a material breach after thirty days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The Novotech CSA includes customary terms relating to, among others, indemnification, intellectual property protection, confidentiality, non-solicitation,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ARENSIA Master Agreement for Early Phase Clinical Services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Tectonic entered into a master agreement for early phase clinical services (the Arensia CSA) with ARENSIA Exploratory Medicine GmbH (Arensia). The Arensia CSA governs the general terms under which Arensia, or one of its affiliates, will provide early phase clinical research services in connection with clinical research programs as specified by Tectonic on a project-by-project basis. Such services are performed under agreed work orders. Under the terms of the Arensia CSA, Tectonic has agreed to pay fees for Arensias performance of services in addition to reimbursing Arensia for pre-approved, reasonable expenses actually and necessarily incurred by Arensia as specified in each applicable work order.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Arensia CSA will expire on the later of: (i) five years from the effective date of the Arensia CSA, or October 2028, or (ii) the completion of the services under all work orders executed prior to the fifth anniversary of the effective date of the Arensia CSA, or October 2028. Work orders shall expire upon the completion of the services specified thereunder, provided that Tectonic may terminate a work order if the study governed by such work order is suspended for more than thirty days and either party may terminate a work order for reasonable scientific safety reasons. Tectonic may terminate the Arensia CSA in its entirety for any reason upon thirty days prior written notice to Arensia. Either party may terminate the Arensia CSA or any statement of work thereunder immediately if the other party has failed to cure a material breach after thirty days written notice or for the other partys insolvency. </w:t>
      </w:r>
    </w:p>
    <w:p>
      <w:pPr>
        <w:pStyle w:val="TextBody"/>
        <w:bidi w:val="0"/>
        <w:spacing w:before="240" w:after="0"/>
        <w:jc w:val="left"/>
        <w:rPr>
          <w:rFonts w:ascii="Times New Roman" w:hAnsi="Times New Roman"/>
          <w:sz w:val="20"/>
        </w:rPr>
      </w:pPr>
      <w:r>
        <w:rPr>
          <w:rFonts w:ascii="Times New Roman" w:hAnsi="Times New Roman"/>
          <w:sz w:val="20"/>
        </w:rPr>
        <w:t xml:space="preserve">The Arensia CSA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QPS Holdings Master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Tectonic entered into a master contract services agreement (the QPS Agreement) with QPS Holdings, LLC (QPS). The QPS Agreement governs the general terms under which QPS, or one of its affiliates, will provide services (excluding GMP manufacturing and clinical development related services) as specified by Tectonic on a project-by-project basis. Such services are performed under agreed statements of work. Under the terms of the QPS Agreement, Tectonic has agreed to pay for QPSs performance of the services as specified in the applicable statement of work. Additionally, under the terms of the QPS Agreement, all documentation, information, and biological, chemical or other materials controlled by Tectonic and furnished to QPS by or on behalf of Tectonic shall remain the exclusive property of Tectonic, and Tectonic shall own all rights to, and QPS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QPSs services.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QPS Agreement will expire on the later of: (i) two years from the effective date of the QPS Agreement, or October 2025, or (ii) the completion of the services under all work orders executed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 anniversary of the effective date of the QPS Agreement, or October 2025. Tectonic may terminate the QPS Agreement or any statement of work thereunder for any reason upon thirty days prior written notice or immediately if QPS commits an uncurable breach of the QPS Agreement. QPS may terminate the QPS Agreement or any statement of work thereunder if Tectonic has failed to cure a material breach after thirty days written notice or may terminate the QPS Agreement for any reason upon sixty days prior written notice provided there are no active statements of work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QPS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ITR LABORATORIES Master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Tectonic entered into a master contract services agreement (the ITR Agreement) with ITR Laboratories Canada Inc. (ITR). The ITR Agreement governs the general terms under which ITR, or one of its affiliates, will provide services (excluding GMP manufacturing and clinical development related services) as specified by Tectonic on a project-by-project basis. Such services are performed under agreed statements of work. Under the terms of the ITR Agreement, Tectonic has agreed to pay for ITRs performance of the services as specified in the applicable statement of work. Additionally, under the terms of the ITR Agreement, all documentation, information, and biological, chemical or other materials controlled by Tectonic and furnished to ITR by or on behalf of Tectonic shall remain the exclusive property of Tectonic, and Tectonic shall own all rights to, and ITR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ITRs services.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ITR Agreement will expire on the later of (i) two years from the effective date of the ITR Agreement, or February 2024; or (ii) the completion of the services under all work orders executed prior to the second anniversary of the effective date of the ITR Agreement, or February 2024. Tectonic may terminate the ITR Agreement or any statement of work thereunder for any reason upon thirty days prior written notice or immediately if ITR commits an uncurable breach of the ITR Agreement. ITR may terminate the ITR Agreement or any statement of work thereunder if Tectonic has failed to cure a material breach after thirty days written notice or may terminate the ITR Agreement for any reason upon sixty days prior written notice provided there are no active statements of work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ITR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sz w:val="20"/>
        </w:rPr>
      </w:pPr>
      <w:bookmarkStart w:id="142" w:name="toc770053_146"/>
      <w:bookmarkEnd w:id="142"/>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Tectonic strives to protect and enhance the proprietary technologies, inventions and improvements that it believe are important to Tectonics business, including seeking, maintaining and defending patent rights, whether developed internally or licensed from third parties. Tectonics policy is to seek to protect its proprietary position by, among other methods, pursuing and obtaining patent protection in the United States and in jurisdictions outside of the United States related to Tectonics proprietary technology, inventions, improvements, platforms and Tectonic product candidates that are important to the development and implementation of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9, 2024, Tectonics patent portfolio includes two pending U.S. non-provisional applications, two pending international (Patent Cooperation Treaty) applications, and nine pending foreign applications relating to Fc-relaxin fusion protein compositions (including TX45) and methods of use thereof. Specifically, Tectonic has exclusively in-licensed one patent family from the President and Fellows of Harvard College that consists of one pending U.S. non-provisional patent application and nine pending foreign applications in Australia, Canada, China, Europe, Israel, Japan, Korea, Mexico, and Singapore, with any patent issuing from these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having an expected 20-year expiry date of not earlier than May 2041. Tectonic also wholly owns one patent family that consists of one pending U.S. non-provisional patent application and one pending Patent Cooperation Treaty application, with any patent issuing from these applications having an expected 20-year expiry date of not earlier than November 2042. Tectonic also co-owns one patent family with ModernaTX, Inc., which consists of one pending Patent Cooperation Treaty application relating to constitutively active modified G protein-coupled receptors and methods of use thereof, with any patent issuing from this application having an expected 20-year expiry date of not earlier than August 2043. 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w:t>
      </w:r>
    </w:p>
    <w:p>
      <w:pPr>
        <w:pStyle w:val="TextBody"/>
        <w:bidi w:val="0"/>
        <w:spacing w:before="240" w:after="0"/>
        <w:jc w:val="left"/>
        <w:rPr>
          <w:rFonts w:ascii="Times New Roman" w:hAnsi="Times New Roman"/>
          <w:sz w:val="20"/>
        </w:rPr>
      </w:pPr>
      <w:r>
        <w:rPr>
          <w:rFonts w:ascii="Times New Roman" w:hAnsi="Times New Roman"/>
          <w:sz w:val="20"/>
        </w:rPr>
        <w:t xml:space="preserve">Furthermore, Tectonics relies upon trade secrets and know-how and continuing technological innovation to develop and maintain its competitive position. Tectonic seeks to protect its proprietary information, in part, using confidentiality agreements with Tectonic collaborators, employees and consultants and invention assignment agreements with Tectonic employees. Tectonic also has confidentiality agreements or invention assignment agreements with Tectonic collaborators and selected consultants. These agreements are designed to protect Tectonic proprietary information and, in the case of the invention assignment agreements, to grant Tectonic ownership of technologies that are developed through a relationship with a third party. These agreements may be breached, and Tectonic may not have adequate remedies for any breach. In addition, Tectonics trade secrets may otherwise become known or be independently discovered by competitors. To the extent that Tectonics collaborators, employees and consultants use intellectual property owned by others in their work for Tectonic, disputes may arise as to the rights in related or resulting know-how and inventions. </w:t>
      </w:r>
    </w:p>
    <w:p>
      <w:pPr>
        <w:pStyle w:val="TextBody"/>
        <w:bidi w:val="0"/>
        <w:spacing w:before="240" w:after="0"/>
        <w:jc w:val="left"/>
        <w:rPr>
          <w:rFonts w:ascii="Times New Roman" w:hAnsi="Times New Roman"/>
          <w:sz w:val="20"/>
        </w:rPr>
      </w:pPr>
      <w:r>
        <w:rPr>
          <w:rFonts w:ascii="Times New Roman" w:hAnsi="Times New Roman"/>
          <w:sz w:val="20"/>
        </w:rPr>
        <w:t>Tectonics commercial success will also depend in part on not infringing upon the proprietary rights of third parties. It is uncertain whether the issuance of any third-party patent would require Tectonic to alter its development or commercial strategies, or its product candidates or processes, obtain licenses or cease certain activities. Tectonics breach of any license agreements or failure to obtain a license to proprietary rights that Tectonic may require to develop or commercialize Tectonics future product candidates may have an adverse impact on Tectonic. If third parties have prepared and filed patent applications prior to March 16, 2013 in the United States that also claim technology to which Tectonic has rights, Tectonic may have to participate in interference proceedings in the USPTO, to determine priority of invention. For more information, please see </w:t>
      </w:r>
      <w:r>
        <w:rPr>
          <w:rFonts w:ascii="Times New Roman" w:hAnsi="Times New Roman"/>
          <w:i/>
          <w:sz w:val="20"/>
        </w:rPr>
        <w:t>Risk Factors  Risks Related to Intellectual Property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Given Tectonics stage of development, it has not yet established a commercial organization or distribution capabilities. </w:t>
      </w:r>
    </w:p>
    <w:p>
      <w:pPr>
        <w:pStyle w:val="TextBody"/>
        <w:bidi w:val="0"/>
        <w:spacing w:before="360" w:after="0"/>
        <w:jc w:val="left"/>
        <w:rPr>
          <w:rFonts w:ascii="Times New Roman" w:hAnsi="Times New Roman"/>
          <w:b/>
          <w:sz w:val="20"/>
        </w:rPr>
      </w:pPr>
      <w:bookmarkStart w:id="143" w:name="toc770053_147"/>
      <w:bookmarkEnd w:id="143"/>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Tectonic does not currently own or operate manufacturing facilities for the production of clinical or commercial quantities of its lead product candidate TX45. Tectonic currently relies, and expects to continue to rely for the foreseeable future, on third-party contract manufacturing organizations, or CMOs, to produce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for preclinical and clinical testing, as well as for future commercial manufacture of any products that it may commercialize. </w:t>
      </w:r>
    </w:p>
    <w:p>
      <w:pPr>
        <w:pStyle w:val="TextBody"/>
        <w:bidi w:val="0"/>
        <w:spacing w:before="240" w:after="0"/>
        <w:jc w:val="left"/>
        <w:rPr>
          <w:rFonts w:ascii="Times New Roman" w:hAnsi="Times New Roman"/>
          <w:sz w:val="20"/>
        </w:rPr>
      </w:pPr>
      <w:r>
        <w:rPr>
          <w:rFonts w:ascii="Times New Roman" w:hAnsi="Times New Roman"/>
          <w:sz w:val="20"/>
        </w:rPr>
        <w:t xml:space="preserve">Tectonic requires its CMOs to conduct manufacturing activities in compliance with current good manufacturing practice, or cGMP, requirements. It has assembled a team of experienced employees and consultants to provide the necessary technical, quality and regulatory oversight over its CMOs. Currently, Tectonic contracts with one third-party manufacturer, WuXi Biologics, to provide biologics development and manufacturing services. In the future, Tectonic may engage additional third-party manufacturers to support any clinical trials for TX45 as well as commercialization of TX45, if approved, in the United States or other jurisdictions or the clinical development and potential commercialization of additional programs from its pipeline. </w:t>
      </w:r>
    </w:p>
    <w:p>
      <w:pPr>
        <w:pStyle w:val="TextBody"/>
        <w:bidi w:val="0"/>
        <w:spacing w:before="240" w:after="0"/>
        <w:jc w:val="left"/>
        <w:rPr>
          <w:rFonts w:ascii="Times New Roman" w:hAnsi="Times New Roman"/>
          <w:sz w:val="20"/>
        </w:rPr>
      </w:pPr>
      <w:r>
        <w:rPr>
          <w:rFonts w:ascii="Times New Roman" w:hAnsi="Times New Roman"/>
          <w:sz w:val="20"/>
        </w:rPr>
        <w:t xml:space="preserve">Tectonic relies on WuXi Biologics to perform all chemistry, manufacturing, and controls (CMC) activities related to its TX45 program. Tectonic requires that WuXi Biologics produces bulk drug substances and finished drug products in accordance with current Good Manufacturing Practices (cGMPs), and all other applicable laws and regulations. In addition, Tectonic relies on WuXi Biologics to operate facilities that meet regulatory requirements for production and testing of clinical and commercial products and to work closely with Tectonic to validate manufacturing processes prior to commercial launch. Tectonic oversees WuXi Biologics by performing technical and quality assurance review and/or approval of cGMP documentation, establishing quality agreements to define responsibilities and expectations for goods and services, and observing production and testing activities, among other activities. </w:t>
      </w:r>
    </w:p>
    <w:p>
      <w:pPr>
        <w:pStyle w:val="TextBody"/>
        <w:bidi w:val="0"/>
        <w:spacing w:before="360" w:after="0"/>
        <w:jc w:val="left"/>
        <w:rPr>
          <w:rFonts w:ascii="Times New Roman" w:hAnsi="Times New Roman"/>
          <w:b/>
          <w:sz w:val="20"/>
        </w:rPr>
      </w:pPr>
      <w:bookmarkStart w:id="144" w:name="toc770053_148"/>
      <w:bookmarkEnd w:id="144"/>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the rapid evolution of technologies and understanding of disease etiology, intense competition and a strong emphasis on intellectual property. Tectonic believe that its approach, strategy, scientific capabilities, know-how and experience provide it with competitive advantages. However, Tectonic expects substantial competition from multiple sources, including major pharmaceutical, specialty pharmaceutical, and existing or emerging biotechnology companies, academic research institutions and governmental agencies and public and private research institutions worldwide. Many of Tectonics competitors, either alone or with their collaborations, have significantly greater financial resources and expertise in research and development, manufacturing, preclinical testing, conducting clinical trials, obtaining regulatory approvals and marketing approved products than Tectonic does. Smaller or early-stage companies may also prove to be significant competitors, particularly through collaborative arrangements with large and established companies. These competitors also compete with Tectonic in recruiting and retaining qualified scientific and management personnel and establishing clinical trial sites and patient enrollment in clinical trials, as well as in acquiring technologies complementary to, or necessary for, Tectonics programs. As a result, Tectonics competitors may discover, develop, license or commercialize products before or more successfully than it does. </w:t>
      </w:r>
    </w:p>
    <w:p>
      <w:pPr>
        <w:pStyle w:val="TextBody"/>
        <w:bidi w:val="0"/>
        <w:spacing w:before="240" w:after="0"/>
        <w:jc w:val="left"/>
        <w:rPr>
          <w:rFonts w:ascii="Times New Roman" w:hAnsi="Times New Roman"/>
          <w:sz w:val="20"/>
        </w:rPr>
      </w:pPr>
      <w:r>
        <w:rPr>
          <w:rFonts w:ascii="Times New Roman" w:hAnsi="Times New Roman"/>
          <w:sz w:val="20"/>
        </w:rPr>
        <w:t xml:space="preserve">Tectonic faces competition from companies that are pursuing development of engineered proteins based on human relaxin including Lilly and AstraZeneca, both of whom are currently conducting Phase 2 trials. To Tectonics knowledge, neither of these companies have a specific focus on the Group 2 PH / HFpEF population, and, instead, are pursuing either the broader HFpEF population (Lilly) or Group 2 PH in the setting of either HFpEF or hFrEF (AstraZeneca). AstraZeneca has also reported efforts with a small molecule agonist of the RXFP1 receptor and initiated clinical studies; however, the status of its development is unclear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the HHT space, Vaderis has been pursuing development of an oral AKT inhibitor for the treatment of this condition. Investigator-initiated studies of nintendanib (Boehringer Ingelheim) and pazopanib (Novartis) are also ongoing to explore the potential utility of these kinase inhibitors to treat this condition. </w:t>
      </w:r>
    </w:p>
    <w:p>
      <w:pPr>
        <w:pStyle w:val="TextBody"/>
        <w:bidi w:val="0"/>
        <w:spacing w:before="240" w:after="0"/>
        <w:jc w:val="left"/>
        <w:rPr>
          <w:rFonts w:ascii="Times New Roman" w:hAnsi="Times New Roman"/>
          <w:sz w:val="20"/>
        </w:rPr>
      </w:pPr>
      <w:r>
        <w:rPr>
          <w:rFonts w:ascii="Times New Roman" w:hAnsi="Times New Roman"/>
          <w:sz w:val="20"/>
        </w:rPr>
        <w:t xml:space="preserve">Tectonics focus on biologic drugs differentiates it from many competitor GPCR companies whose primary focus is on small molecule drug discovery. Additionally, Tectonics GPCR membrane protein biochemistry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experience, which is key for generating optimally stabilized and formulated receptors for antibody selection campaigns, combined with its experience using novel antigen formats differentiates it from in vitro display based antibody discovery. Specifically, Tectonics use of membrane mimetics that help maintain native receptor extra-cellular domain conformations combined with the membrane protein biochemistry expertise that Tectonic has built over the last three years is a key point of potential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 </w:t>
      </w:r>
    </w:p>
    <w:p>
      <w:pPr>
        <w:pStyle w:val="TextBody"/>
        <w:bidi w:val="0"/>
        <w:spacing w:before="360" w:after="0"/>
        <w:jc w:val="left"/>
        <w:rPr>
          <w:rFonts w:ascii="Times New Roman" w:hAnsi="Times New Roman"/>
          <w:b/>
          <w:sz w:val="20"/>
        </w:rPr>
      </w:pPr>
      <w:bookmarkStart w:id="145" w:name="toc770053_149"/>
      <w:bookmarkEnd w:id="145"/>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Licensure and regulation of biologics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any product candidates Tectonic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w:t>
      </w:r>
    </w:p>
    <w:p>
      <w:pPr>
        <w:pStyle w:val="TextBody"/>
        <w:bidi w:val="0"/>
        <w:spacing w:before="240" w:after="0"/>
        <w:jc w:val="left"/>
        <w:rPr>
          <w:rFonts w:ascii="Times New Roman" w:hAnsi="Times New Roman"/>
          <w:sz w:val="20"/>
        </w:rPr>
      </w:pPr>
      <w:r>
        <w:rPr>
          <w:rFonts w:ascii="Times New Roman" w:hAnsi="Times New Roman"/>
          <w:sz w:val="20"/>
        </w:rPr>
        <w:t xml:space="preserve">An applicant seeking approval to market and distribute a new biologic in the United States generally must satisfactorily complete each of the following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laboratory tests, animal studies and formulation studies performed in accordance with the FDAs applicable Good Laboratory Practices (GLP)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manufacture, under current good manufacturing practices (cGMP) conditions, of the drug substance and drug product that the sponsor intends to use in human clinical trials along with required analytical and stability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application for human clinical testing,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representing each clinical site before each clinical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to establish the safety, potency and purity of the product candidate for each proposed indication, in accordance with current good clinical practices (GCP)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 BLA for a biological product requesting marketing for one or more proposed indications, including submission of detailed information on the manufacture and composition of the product in clinical development and proposed labelling;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of the product by an FDA advisory committee, where appropriate or if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any FDA audits of the preclinical studies and clinical trial sites to assure compliance with GLP, as applicable, and GCP, and the integrity of clinical data in support of the BLA;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Prescription Drug User Fee Act (PDUFA) fees, securing FDA approval of the BLA and licensure of the new biological product;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Risk Evaluation and Mitigation Strategy (REMS) and any post-approval studies or other post-marketing commitments required by the FDA.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Preclinical studies and investigational new drug application </w:t>
      </w:r>
    </w:p>
    <w:p>
      <w:pPr>
        <w:pStyle w:val="TextBody"/>
        <w:bidi w:val="0"/>
        <w:spacing w:before="120" w:after="0"/>
        <w:jc w:val="left"/>
        <w:rPr>
          <w:rFonts w:ascii="Times New Roman" w:hAnsi="Times New Roman"/>
          <w:sz w:val="20"/>
        </w:rPr>
      </w:pPr>
      <w:r>
        <w:rPr>
          <w:rFonts w:ascii="Times New Roman" w:hAnsi="Times New Roman"/>
          <w:sz w:val="20"/>
        </w:rPr>
        <w:t xml:space="preserve">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w:t>
      </w:r>
    </w:p>
    <w:p>
      <w:pPr>
        <w:pStyle w:val="TextBody"/>
        <w:bidi w:val="0"/>
        <w:spacing w:before="240" w:after="0"/>
        <w:jc w:val="left"/>
        <w:rPr>
          <w:rFonts w:ascii="Times New Roman" w:hAnsi="Times New Roman"/>
          <w:sz w:val="20"/>
        </w:rPr>
      </w:pPr>
      <w:r>
        <w:rPr>
          <w:rFonts w:ascii="Times New Roman" w:hAnsi="Times New Roman"/>
          <w:sz w:val="20"/>
        </w:rPr>
        <w:t xml:space="preserve">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 </w:t>
      </w:r>
    </w:p>
    <w:p>
      <w:pPr>
        <w:pStyle w:val="TextBody"/>
        <w:bidi w:val="0"/>
        <w:spacing w:before="240" w:after="0"/>
        <w:jc w:val="left"/>
        <w:rPr>
          <w:rFonts w:ascii="Times New Roman" w:hAnsi="Times New Roman"/>
          <w:sz w:val="20"/>
        </w:rPr>
      </w:pPr>
      <w:r>
        <w:rPr>
          <w:rFonts w:ascii="Times New Roman" w:hAnsi="Times New Roman"/>
          <w:sz w:val="20"/>
        </w:rPr>
        <w:t xml:space="preserve">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Tectonics planned clinical trials or future clinical trials in a timely manner. </w:t>
      </w:r>
    </w:p>
    <w:p>
      <w:pPr>
        <w:pStyle w:val="TextBody"/>
        <w:bidi w:val="0"/>
        <w:spacing w:before="360" w:after="0"/>
        <w:jc w:val="left"/>
        <w:rPr>
          <w:rFonts w:ascii="Times New Roman" w:hAnsi="Times New Roman"/>
          <w:i/>
          <w:sz w:val="20"/>
        </w:rPr>
      </w:pPr>
      <w:r>
        <w:rPr>
          <w:rFonts w:ascii="Times New Roman" w:hAnsi="Times New Roman"/>
          <w:i/>
          <w:sz w:val="20"/>
        </w:rPr>
        <w:t xml:space="preserve">Human clinical trials in support of a BLA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 </w:t>
      </w:r>
    </w:p>
    <w:p>
      <w:pPr>
        <w:pStyle w:val="TextBody"/>
        <w:bidi w:val="0"/>
        <w:spacing w:before="240" w:after="0"/>
        <w:jc w:val="left"/>
        <w:rPr>
          <w:rFonts w:ascii="Times New Roman" w:hAnsi="Times New Roman"/>
          <w:sz w:val="20"/>
        </w:rPr>
      </w:pPr>
      <w:r>
        <w:rPr>
          <w:rFonts w:ascii="Times New Roman" w:hAnsi="Times New Roman"/>
          <w:sz w:val="20"/>
        </w:rPr>
        <w:t xml:space="preserve">A sponsor who wishes to conduct a clinical trial outside the United States may, but need not, obtain FDA authorization to conduct the clinical trial under an IND. When a foreign clinical trial is conducted under an 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typically are conducted in three sequential phases, but the phases may overlap or be combined. Additional studies may be required after approval. </w:t>
      </w:r>
    </w:p>
    <w:p>
      <w:pPr>
        <w:pStyle w:val="TextBody"/>
        <w:bidi w:val="0"/>
        <w:spacing w:before="240" w:after="0"/>
        <w:jc w:val="left"/>
        <w:rPr>
          <w:rFonts w:ascii="Times New Roman" w:hAnsi="Times New Roman"/>
          <w:sz w:val="20"/>
        </w:rPr>
      </w:pPr>
      <w:r>
        <w:rPr>
          <w:rFonts w:ascii="Times New Roman" w:hAnsi="Times New Roman"/>
          <w:i/>
          <w:sz w:val="20"/>
        </w:rPr>
        <w:t xml:space="preserve">Phase 1 </w:t>
      </w:r>
      <w:r>
        <w:rPr>
          <w:rFonts w:ascii="Times New Roman" w:hAnsi="Times New Roman"/>
          <w:sz w:val="20"/>
        </w:rPr>
        <w:t xml:space="preserve">clinical trials are initially conducted in a limited population to test the product candidate for safety, including adverse effects, dose tolerance, absorption, metabolism, distribution, excretion and pharmacodynamics in healthy humans or, on occasion, in patients. </w:t>
      </w:r>
    </w:p>
    <w:p>
      <w:pPr>
        <w:pStyle w:val="TextBody"/>
        <w:bidi w:val="0"/>
        <w:spacing w:before="240" w:after="0"/>
        <w:jc w:val="left"/>
        <w:rPr>
          <w:rFonts w:ascii="Times New Roman" w:hAnsi="Times New Roman"/>
          <w:sz w:val="20"/>
        </w:rPr>
      </w:pPr>
      <w:r>
        <w:rPr>
          <w:rFonts w:ascii="Times New Roman" w:hAnsi="Times New Roman"/>
          <w:i/>
          <w:sz w:val="20"/>
        </w:rPr>
        <w:t xml:space="preserve">Phase 2 </w:t>
      </w:r>
      <w:r>
        <w:rPr>
          <w:rFonts w:ascii="Times New Roman" w:hAnsi="Times New Roman"/>
          <w:sz w:val="20"/>
        </w:rPr>
        <w:t xml:space="preserve">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w:t>
      </w:r>
    </w:p>
    <w:p>
      <w:pPr>
        <w:pStyle w:val="TextBody"/>
        <w:bidi w:val="0"/>
        <w:spacing w:before="240" w:after="0"/>
        <w:jc w:val="left"/>
        <w:rPr>
          <w:rFonts w:ascii="Times New Roman" w:hAnsi="Times New Roman"/>
          <w:sz w:val="20"/>
        </w:rPr>
      </w:pPr>
      <w:r>
        <w:rPr>
          <w:rFonts w:ascii="Times New Roman" w:hAnsi="Times New Roman"/>
          <w:i/>
          <w:sz w:val="20"/>
        </w:rPr>
        <w:t xml:space="preserve">Phase 3 </w:t>
      </w:r>
      <w:r>
        <w:rPr>
          <w:rFonts w:ascii="Times New Roman" w:hAnsi="Times New Roman"/>
          <w:sz w:val="20"/>
        </w:rPr>
        <w:t xml:space="preserve">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 </w:t>
      </w:r>
    </w:p>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about applicable clinical trials must be submitted within specific timeframes to the National Institutes of Health (NIH) for public dissemination on its </w:t>
      </w:r>
      <w:r>
        <w:rPr>
          <w:rFonts w:ascii="Times New Roman" w:hAnsi="Times New Roman"/>
          <w:i/>
          <w:sz w:val="20"/>
        </w:rPr>
        <w:t xml:space="preserve">ClinicalTrials.gov </w:t>
      </w:r>
      <w:r>
        <w:rPr>
          <w:rFonts w:ascii="Times New Roman" w:hAnsi="Times New Roman"/>
          <w:sz w:val="20"/>
        </w:rPr>
        <w:t xml:space="preserve">website. </w:t>
      </w:r>
    </w:p>
    <w:p>
      <w:pPr>
        <w:pStyle w:val="TextBody"/>
        <w:bidi w:val="0"/>
        <w:spacing w:before="360" w:after="0"/>
        <w:jc w:val="left"/>
        <w:rPr>
          <w:rFonts w:ascii="Times New Roman" w:hAnsi="Times New Roman"/>
          <w:i/>
          <w:sz w:val="20"/>
        </w:rPr>
      </w:pPr>
      <w:r>
        <w:rPr>
          <w:rFonts w:ascii="Times New Roman" w:hAnsi="Times New Roman"/>
          <w:i/>
          <w:sz w:val="20"/>
        </w:rPr>
        <w:t xml:space="preserve">Pediatric studies </w:t>
      </w:r>
    </w:p>
    <w:p>
      <w:pPr>
        <w:pStyle w:val="TextBody"/>
        <w:bidi w:val="0"/>
        <w:spacing w:before="120" w:after="0"/>
        <w:jc w:val="left"/>
        <w:rPr>
          <w:rFonts w:ascii="Times New Roman" w:hAnsi="Times New Roman"/>
          <w:sz w:val="20"/>
        </w:rPr>
      </w:pPr>
      <w:r>
        <w:rPr>
          <w:rFonts w:ascii="Times New Roman" w:hAnsi="Times New Roman"/>
          <w:sz w:val="20"/>
        </w:rPr>
        <w:t xml:space="preserve">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on its own initiative or at the request of the applicant, grant deferrals for submission of some or all pediatric data until after approval of the product for use in adults, or full or partial waivers from the pediatric data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Compliance with cGMP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 for products like biologics whose attributes cannot be precisely defined.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w:t>
      </w:r>
    </w:p>
    <w:p>
      <w:pPr>
        <w:pStyle w:val="TextBody"/>
        <w:bidi w:val="0"/>
        <w:spacing w:before="360" w:after="0"/>
        <w:jc w:val="left"/>
        <w:rPr>
          <w:rFonts w:ascii="Times New Roman" w:hAnsi="Times New Roman"/>
          <w:i/>
          <w:sz w:val="20"/>
        </w:rPr>
      </w:pPr>
      <w:r>
        <w:rPr>
          <w:rFonts w:ascii="Times New Roman" w:hAnsi="Times New Roman"/>
          <w:i/>
          <w:sz w:val="20"/>
        </w:rPr>
        <w:t xml:space="preserve">Review and approval of a BLA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w:t>
      </w:r>
    </w:p>
    <w:p>
      <w:pPr>
        <w:pStyle w:val="TextBody"/>
        <w:bidi w:val="0"/>
        <w:spacing w:before="240" w:after="0"/>
        <w:jc w:val="left"/>
        <w:rPr>
          <w:rFonts w:ascii="Times New Roman" w:hAnsi="Times New Roman"/>
          <w:sz w:val="20"/>
        </w:rPr>
      </w:pPr>
      <w:r>
        <w:rPr>
          <w:rFonts w:ascii="Times New Roman" w:hAnsi="Times New Roman"/>
          <w:sz w:val="20"/>
        </w:rPr>
        <w:t xml:space="preserve">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Expedited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 </w:t>
      </w:r>
    </w:p>
    <w:p>
      <w:pPr>
        <w:pStyle w:val="TextBody"/>
        <w:bidi w:val="0"/>
        <w:spacing w:before="240" w:after="0"/>
        <w:jc w:val="left"/>
        <w:rPr>
          <w:rFonts w:ascii="Times New Roman" w:hAnsi="Times New Roman"/>
          <w:sz w:val="20"/>
        </w:rPr>
      </w:pPr>
      <w:r>
        <w:rPr>
          <w:rFonts w:ascii="Times New Roman" w:hAnsi="Times New Roman"/>
          <w:sz w:val="20"/>
        </w:rPr>
        <w:t xml:space="preserve">Any product candidate submitted to the FDA for marketing, including under a Fast Track program, may be eligible for other types of FDA programs intended to expedite development and review, such as breakthrough therapy designation, priority review and accelerated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Breakthrough therapy designation. </w:t>
            </w:r>
            <w:r>
              <w:rPr>
                <w:rFonts w:ascii="Times New Roman" w:hAnsi="Times New Roman"/>
                <w:sz w:val="20"/>
              </w:rPr>
              <w:t xml:space="preserve">To qualify for the breakthrough therapy program, product candidates must be intended to treat a serious or life-threatening disease or condition and preliminary clinical evidence must indicate that such product candidates may demonstrate substantial improvement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Priority review. </w:t>
            </w:r>
            <w:r>
              <w:rPr>
                <w:rFonts w:ascii="Times New Roman" w:hAnsi="Times New Roman"/>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Accelerated approval. </w:t>
            </w:r>
            <w:r>
              <w:rPr>
                <w:rFonts w:ascii="Times New Roman" w:hAnsi="Times New Roman"/>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r>
              <w:rPr>
                <w:rFonts w:ascii="Times New Roman" w:hAnsi="Times New Roman"/>
                <w:i/>
                <w:sz w:val="20"/>
              </w:rPr>
              <w:t xml:space="preserve">Breakthrough therapy designation. </w:t>
            </w:r>
            <w:r>
              <w:rPr>
                <w:rFonts w:ascii="Times New Roman" w:hAnsi="Times New Roman"/>
                <w:sz w:val="20"/>
              </w:rPr>
              <w:t xml:space="preserve">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Priority review. </w:t>
            </w:r>
            <w:r>
              <w:rPr>
                <w:rFonts w:ascii="Times New Roman" w:hAnsi="Times New Roman"/>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Accelerated approval. </w:t>
            </w:r>
            <w:r>
              <w:rPr>
                <w:rFonts w:ascii="Times New Roman" w:hAnsi="Times New Roman"/>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these expedited programs change the standards for approval but they may help expedite the development or approval process of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 seizure or detention, or refusal to permit the import or export of products;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 </w:t>
      </w:r>
    </w:p>
    <w:p>
      <w:pPr>
        <w:pStyle w:val="TextBody"/>
        <w:bidi w:val="0"/>
        <w:spacing w:before="360" w:after="0"/>
        <w:jc w:val="left"/>
        <w:rPr>
          <w:rFonts w:ascii="Times New Roman" w:hAnsi="Times New Roman"/>
          <w:i/>
          <w:sz w:val="20"/>
        </w:rPr>
      </w:pPr>
      <w:r>
        <w:rPr>
          <w:rFonts w:ascii="Times New Roman" w:hAnsi="Times New Roman"/>
          <w:i/>
          <w:sz w:val="20"/>
        </w:rPr>
        <w:t xml:space="preserve">Biosimilars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No interchangeable biosimilars, however, have been approved. The FDA has issued several guidance documents outlining an approach to review and approval of biosimilars. Additional guidances are expected to be finalized by the FDA in the near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state-regulated, to regulate the use of biosimilars.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Patent term restoration and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 </w:t>
      </w:r>
    </w:p>
    <w:p>
      <w:pPr>
        <w:pStyle w:val="TextBody"/>
        <w:bidi w:val="0"/>
        <w:spacing w:before="360" w:after="0"/>
        <w:jc w:val="left"/>
        <w:rPr>
          <w:rFonts w:ascii="Times New Roman" w:hAnsi="Times New Roman"/>
          <w:i/>
          <w:sz w:val="20"/>
        </w:rPr>
      </w:pPr>
      <w:r>
        <w:rPr>
          <w:rFonts w:ascii="Times New Roman" w:hAnsi="Times New Roman"/>
          <w:i/>
          <w:sz w:val="20"/>
        </w:rPr>
        <w:t xml:space="preserve">Other U.S.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play a primary role in the recommendation and prescription of any product candidates that Tectonic may develop for which Tectonic obtains marketing approval. Tectonics current and future arrangements with third-party payors, healthcare providers and customers may implicate broadly applicable fraud and abuse and other healthcare laws and regulations. Restrictions under applicable federal and state healthcare laws and regulations, including certain laws and regulations applicable only if Tectonic has marketed products,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of Medicare &amp; Medicaid Services (CMS), information related to payments or other transfers of value made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anti-bribery and false claims laws, which may apply to healthcare items or services that are reimbursed by non-governmental third-party payors,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AVROBIOs activities are potentially subject to federal and state consumer protection and unfair competition laws.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continue to be ongoing efforts to implement legislative and regulatory changes regarding the healthcare system. Such changes could prevent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delay marketing approval of any product candidates that Tectonic may develop, restrict or regulate post-approval activities and affect Tectonics ability to profitably sell any product candidates for which Tectonic obtains marketing approval. Although Tectonic cannot predict what healthcare or other reform efforts will be successful, such efforts may result in more rigorous coverage criteria, in additional downward pressure on the price that Tectonic, or Tectonics future collaborators, may receive for any approved products or in other consequences that may adversely affect Tectonics ability to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Within the United States, the federal government and individual states have aggressively pursued healthcare reform, as evidenced by the passing of the Patient Protection and Affordable Care Act of 2010, as amended by the Health Care and Reconciliation Act of 2010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Tectonics business. Modifications have been implemented and additional modifications or repeal may occur. </w:t>
      </w:r>
    </w:p>
    <w:p>
      <w:pPr>
        <w:pStyle w:val="TextBody"/>
        <w:bidi w:val="0"/>
        <w:spacing w:before="240" w:after="0"/>
        <w:jc w:val="left"/>
        <w:rPr>
          <w:rFonts w:ascii="Times New Roman" w:hAnsi="Times New Roman"/>
          <w:sz w:val="20"/>
        </w:rPr>
      </w:pPr>
      <w:r>
        <w:rPr>
          <w:rFonts w:ascii="Times New Roman" w:hAnsi="Times New Roman"/>
          <w:sz w:val="20"/>
        </w:rPr>
        <w:t xml:space="preserve">In August 2022, the Inflation Reduction Act of 2022 (IRA) was signed into law. The IRA contains several provisions that may impact Tectonics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U.S.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IRA permits HHS to implement many of these provisions through guidance, as opposed to regulation, for the initial years. On August 29, 2023, HHS announced the list of the first ten drugs that will be subject to price negotiations, although there is currently ongoing litigation challenging the constitutionality of the IRAs Medicare drug price negotiation program.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The effects of the IRA on Tectonics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pricing regulations, reforms of regulatory approval frameworks may adversely affect Tectonics pricing strategy.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w:t>
      </w:r>
    </w:p>
    <w:p>
      <w:pPr>
        <w:pStyle w:val="TextBody"/>
        <w:bidi w:val="0"/>
        <w:spacing w:before="240" w:after="0"/>
        <w:jc w:val="left"/>
        <w:rPr>
          <w:rFonts w:ascii="Times New Roman" w:hAnsi="Times New Roman"/>
          <w:sz w:val="20"/>
        </w:rPr>
      </w:pPr>
      <w:r>
        <w:rPr>
          <w:rFonts w:ascii="Times New Roman" w:hAnsi="Times New Roman"/>
          <w:sz w:val="20"/>
        </w:rPr>
        <w:t xml:space="preserve">In the European Union, similar political, economic and regulatory developments may affect Tectonics ability to profitably commercialize Tectonics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Tectonic may be required to conduct a clinical trial that compares the cost-effectiveness of any product candidates Tectonic may develop to other available therapies. If reimbursement of Tectonics products is unavailable or limited in scope or amount, or if pricing is set at unsatisfactory levels, Tectonics business could be harmed, possibly materially. </w:t>
      </w:r>
    </w:p>
    <w:p>
      <w:pPr>
        <w:pStyle w:val="TextBody"/>
        <w:bidi w:val="0"/>
        <w:spacing w:before="360" w:after="0"/>
        <w:jc w:val="left"/>
        <w:rPr>
          <w:rFonts w:ascii="Times New Roman" w:hAnsi="Times New Roman"/>
          <w:i/>
          <w:sz w:val="20"/>
        </w:rPr>
      </w:pPr>
      <w:r>
        <w:rPr>
          <w:rFonts w:ascii="Times New Roman" w:hAnsi="Times New Roman"/>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Tectonic might obtain marketing approval for a product in a particular country, but then be subject to price regulations that delay Tectonics commercial launch of the product, possibly for lengthy time periods, and negatively impact the revenues Tectonic is able to generate from the sale of the product in that country. Adverse pricing limitations may hinder Tectonics ability to recoup its investment in one or more product candidates, even if its product candidates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United States, there is no uniform policy of coverage and reimbursement for products exists among third-party payors. As a result, obtaining coverage and reimbursement approval of a product from a government or other third-party payor is a time-consuming and costly process that could require Tectonic to provide to each payor supporting scientific, clinical and cost-effectiveness data for the use of Tectonics products on a payor-by-payor basis, with no assurance that coverage and adequate reimbursement will be obtained. The availability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adequacy of coverage and reimbursement by governmental healthcare programs such as Medicare and Medicaid, private health insurers and other third-party payors are essential for most patients to be able to afford Tectonics product candidates, if approved. Tectonics ability to achieve acceptable levels of coverage and reimbursement for Tectonics product candidates, if approved, by governmental authorities, private health insurers and other organizations will have an effect on Tectonics ability to successfully commercialize, Tectonics product candidates. Assuming Tectonic obtains coverage for a given product by a third-party payor, the resulting reimbursement payment rates may not be adequate or may require patient out-of-pocket costs that patients find unacceptably high.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Tectonic commercializes and, even if these are available, the level of reimbursement may not be satisfactory. Reimbursement may affect the demand for, or the price of, any product candidate for which Tectonic obtains marketing approval. Obtaining and maintaining adequate reimbursement for Tectonics products may be difficult. Tectonic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Tectonic may not be able to successfully commercialize any product candidate for which Tectonic obtains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Tectonics costs, including research, development, manufacture, sale and distribution expenses. Interim reimbursement levels for new drugs, if applicable, may also not be sufficient to cover Tectonics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Tectonics inability to promptly obtain coverage and adequate reimbursement rates from both government-funded and private payors for any approved products that Tectonic develops could have a material adverse effect on Tectonics operating results, Tectonics ability to raise capital needed to commercialize products and Tectonics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Tectonics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Tectonics ability to sell Tectonics product candidates profitably.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Tectonic will be required to comply with comparable regulations in each jurisdiction outside of the United States in which Tectonic chooses to manufacture, develop or seek marketing authorization for Tectonic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European Union drug development </w:t>
      </w:r>
    </w:p>
    <w:p>
      <w:pPr>
        <w:pStyle w:val="TextBody"/>
        <w:bidi w:val="0"/>
        <w:spacing w:before="120" w:after="0"/>
        <w:jc w:val="left"/>
        <w:rPr>
          <w:rFonts w:ascii="Times New Roman" w:hAnsi="Times New Roman"/>
          <w:sz w:val="20"/>
        </w:rPr>
      </w:pPr>
      <w:r>
        <w:rPr>
          <w:rFonts w:ascii="Times New Roman" w:hAnsi="Times New Roman"/>
          <w:sz w:val="20"/>
        </w:rPr>
        <w:t xml:space="preserve">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Tectonic intends to conduct clinical trials, much like the FDA and IRB, respectively. Under the new Clinical Trials Regulation (EU) No 536/2014, which replaced the previous Clinical Trials Directive 2001/20/EC on January 31, 2022, a single application is now made through the Clinical Trials Information System for clinical trial authorization in up to 30 EU or European Economic Area (Norway, Iceland and Liechtenstein) (EEA) countries at the same time and with a single set of documentation. </w:t>
      </w:r>
    </w:p>
    <w:p>
      <w:pPr>
        <w:pStyle w:val="TextBody"/>
        <w:bidi w:val="0"/>
        <w:spacing w:before="240" w:after="0"/>
        <w:jc w:val="left"/>
        <w:rPr>
          <w:rFonts w:ascii="Times New Roman" w:hAnsi="Times New Roman"/>
          <w:sz w:val="20"/>
        </w:rPr>
      </w:pPr>
      <w:r>
        <w:rPr>
          <w:rFonts w:ascii="Times New Roman" w:hAnsi="Times New Roman"/>
          <w:sz w:val="20"/>
        </w:rPr>
        <w:t xml:space="preserve">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(each, a Member State Concerned) of a draft report prepared by a Reference Member State. Part II is assessed separately by each Member State Concerned. The role of the relevant ethics committees in the assessment procedure continues to be governed by the national law of the Member State Concerned, however overall related timelines are defined by the Clinical Trials Regulation. The new Clinical Trials Regulation also provides for simplified reporting procedures for clinical trial sponsors.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Union drug review and approval </w:t>
      </w:r>
    </w:p>
    <w:p>
      <w:pPr>
        <w:pStyle w:val="TextBody"/>
        <w:bidi w:val="0"/>
        <w:spacing w:before="120" w:after="0"/>
        <w:jc w:val="left"/>
        <w:rPr>
          <w:rFonts w:ascii="Times New Roman" w:hAnsi="Times New Roman"/>
          <w:sz w:val="20"/>
        </w:rPr>
      </w:pPr>
      <w:r>
        <w:rPr>
          <w:rFonts w:ascii="Times New Roman" w:hAnsi="Times New Roman"/>
          <w:sz w:val="20"/>
        </w:rPr>
        <w:t xml:space="preserve">In addition, whether or not Tectonic obtains FDA approval for a product, Tectonic must obtain approval of a product by the comparable regulatory authorities of countries outside the United States before Tectonic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for Tectonics medicinal product candidates in the European Union, a marketing authorization application (MAA) needs to be submitted. There are a number of potential routes open to obtain a marketing authorization (MA) in the European Union. A centralized MA is issued by the European Commission through the centralized procedure, based on the opinion of the Committee for Medicinal Products for Human Use (CHMP) of the EMA, and is valid throughout the European Union, and in the additional Member States of the EEA. The centralized procedure is compulsory for medicinal products manufactured using biotechnological processes, orphan medicinal products, advanced therapy medicinal products (gene-therapy, somatic cell-therapy or tissue-engineered medicines) and products containing a new active substance which is not yet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 </w:t>
      </w:r>
    </w:p>
    <w:p>
      <w:pPr>
        <w:pStyle w:val="TextBody"/>
        <w:bidi w:val="0"/>
        <w:spacing w:before="240" w:after="0"/>
        <w:jc w:val="left"/>
        <w:rPr>
          <w:rFonts w:ascii="Times New Roman" w:hAnsi="Times New Roman"/>
          <w:sz w:val="20"/>
        </w:rPr>
      </w:pPr>
      <w:r>
        <w:rPr>
          <w:rFonts w:ascii="Times New Roman" w:hAnsi="Times New Roman"/>
          <w:sz w:val="20"/>
        </w:rPr>
        <w:t xml:space="preserve">National mAs are issued by the competent authorities of the EU Member States and only cover their respective territory. This procedure is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Member State in which the MA is sought, one of which is selected by the applicant as the Reference Member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mAs in the European Union have an initial duration of five years. After these five years, the authorization may be renewed for an unlimited period on the basis of a re-evaluation of the risk-benefit balance. </w:t>
      </w:r>
    </w:p>
    <w:p>
      <w:pPr>
        <w:pStyle w:val="TextBody"/>
        <w:bidi w:val="0"/>
        <w:spacing w:before="360" w:after="0"/>
        <w:jc w:val="left"/>
        <w:rPr>
          <w:rFonts w:ascii="Times New Roman" w:hAnsi="Times New Roman"/>
          <w:i/>
          <w:sz w:val="20"/>
        </w:rPr>
      </w:pPr>
      <w:r>
        <w:rPr>
          <w:rFonts w:ascii="Times New Roman" w:hAnsi="Times New Roman"/>
          <w:i/>
          <w:sz w:val="20"/>
        </w:rPr>
        <w:t xml:space="preserve">Data protection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Tectonics industry) with respect to the processing of personal data and the cross-border transfer of such data. Tectonic will be subject to the GDPR to the extent Tectonic processes the personal data of individuals based in the EEA/UK. </w:t>
      </w:r>
    </w:p>
    <w:p>
      <w:pPr>
        <w:pStyle w:val="TextBody"/>
        <w:bidi w:val="0"/>
        <w:spacing w:before="360" w:after="0"/>
        <w:jc w:val="left"/>
        <w:rPr>
          <w:rFonts w:ascii="Times New Roman" w:hAnsi="Times New Roman"/>
          <w:b/>
          <w:sz w:val="20"/>
        </w:rPr>
      </w:pPr>
      <w:bookmarkStart w:id="146" w:name="toc770053_150"/>
      <w:bookmarkEnd w:id="146"/>
      <w:r>
        <w:rPr>
          <w:rFonts w:ascii="Times New Roman" w:hAnsi="Times New Roman"/>
          <w:b/>
          <w:sz w:val="20"/>
        </w:rPr>
        <w:t xml:space="preserve">Employees and 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4, 2024, Tectonic had 44 full-time employees, 32 of whom were primarily engaged in research and development activities and 35 of Tectonics employees had an M.D. or Ph.D. degree. None of Tectonics employees is represented by a labor union and Tectonic considers its employee relations to be good. </w:t>
      </w:r>
    </w:p>
    <w:p>
      <w:pPr>
        <w:pStyle w:val="TextBody"/>
        <w:bidi w:val="0"/>
        <w:spacing w:before="240" w:after="0"/>
        <w:jc w:val="left"/>
        <w:rPr>
          <w:rFonts w:ascii="Times New Roman" w:hAnsi="Times New Roman"/>
          <w:sz w:val="20"/>
        </w:rPr>
      </w:pPr>
      <w:r>
        <w:rPr>
          <w:rFonts w:ascii="Times New Roman" w:hAnsi="Times New Roman"/>
          <w:sz w:val="20"/>
        </w:rPr>
        <w:t xml:space="preserve">Tectonics human capital objectives include, as applicable, identifying, recruiting, retaining, incentivizing and integrating Tectonics existing and additional employees. The principal purposes of Tectonics equity incentive plans are to attract, retain and motivate selected employees, consultants and directors through the granting of stock-based compensation awards. </w:t>
      </w:r>
    </w:p>
    <w:p>
      <w:pPr>
        <w:pStyle w:val="TextBody"/>
        <w:bidi w:val="0"/>
        <w:spacing w:before="360" w:after="0"/>
        <w:jc w:val="left"/>
        <w:rPr>
          <w:rFonts w:ascii="Times New Roman" w:hAnsi="Times New Roman"/>
          <w:b/>
          <w:sz w:val="20"/>
        </w:rPr>
      </w:pPr>
      <w:bookmarkStart w:id="147" w:name="toc770053_151"/>
      <w:bookmarkEnd w:id="147"/>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Tectonics headquarters are currently located in Watertown, Massachusetts and consists of approximately 19,000 square feet of leased research laboratory and office space under a lease that expires in January 2026. Tectonic believes that its facilities are adequate to meet its current needs. </w:t>
      </w:r>
    </w:p>
    <w:p>
      <w:pPr>
        <w:pStyle w:val="TextBody"/>
        <w:bidi w:val="0"/>
        <w:spacing w:before="360" w:after="0"/>
        <w:jc w:val="left"/>
        <w:rPr>
          <w:rFonts w:ascii="Times New Roman" w:hAnsi="Times New Roman"/>
          <w:b/>
          <w:sz w:val="20"/>
        </w:rPr>
      </w:pPr>
      <w:bookmarkStart w:id="148" w:name="toc770053_152"/>
      <w:bookmarkEnd w:id="148"/>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Tectonic may become involved in legal proceedings arising in the ordinary course of its business. Tectonic is not currently a party to any material legal proceedings, and Tectonic is not aware of any pending or threatened legal proceeding against Tectonic that Tectonic believes could have an adverse effect on Tectonics business, operating results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9" w:name="toc770053_153"/>
      <w:bookmarkEnd w:id="149"/>
      <w:r>
        <w:rPr>
          <w:rFonts w:ascii="Times New Roman" w:hAnsi="Times New Roman"/>
          <w:b/>
          <w:sz w:val="20"/>
        </w:rPr>
        <w:t xml:space="preserve">AVROBIOS 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AVROBIOs financial condition and results of operations should be read in conjunction with AVROBIOs consolidated financial statements and notes thereto appearing elsewhere in this proxy statement/prospectus. Some of the information contained in this discussion and analysis or set forth elsewhere in this proxy statement/prospectus, including information with respect to AVROBIOs plans and strategy for AVROBIOs business and related financing, includes forward-looking statements that involve risks and uncertainties. As a result of many factors, AVROBIOs actual results could differ materially from the results described in or implied by the forward-looking statements contained in the following discussion and analysis.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is a gene therapy company with a purpose to free people from a lifetime of genetic disease. AVROBIO has been focused on developing potentially curative HSC gene therapies to treat patients with rare diseases following a single dose treatment regimen. The gene therapies AVROBIO has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ERTs.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are not limited to, an acquisition, a merger, business combination or divestiture. </w:t>
      </w:r>
    </w:p>
    <w:p>
      <w:pPr>
        <w:pStyle w:val="TextBody"/>
        <w:bidi w:val="0"/>
        <w:spacing w:before="240" w:after="0"/>
        <w:jc w:val="left"/>
        <w:rPr>
          <w:rFonts w:ascii="Times New Roman" w:hAnsi="Times New Roman"/>
          <w:sz w:val="20"/>
        </w:rPr>
      </w:pPr>
      <w:r>
        <w:rPr>
          <w:rFonts w:ascii="Times New Roman" w:hAnsi="Times New Roman"/>
          <w:sz w:val="20"/>
        </w:rPr>
        <w:t xml:space="preserve">Subsequently, in connection with ongoing cost reduction efforts related to AVROBIOs ongoing review of potential strategic alternatives, AVROBIO has terminated all AVROBIO-sponsored treatment-related and AVROBIO-sponsored long-term follow-up clinical studies relating to AVROBIOs AVR-RD-02 (Gaucher disease type 1) program, and AVROBIO-sponsored long term follow-up studies relating to AVROBIOs AVR-RD-01 (Fabry disease) program (which AVROBIO previously deprioritized). In addition, in September 2023, AVROBIO terminated its agreements with the University of Manchester for the license and development of a gene therapy for MPSII (Hunter syndrome) and discontinued AVROBIOs AVR-RD-05 (Hunter syndrome gene therapy) program. Previously, in June 2023, AVROBIO sold its cystinosis gene therapy program to Novartis. As of the date of the filing of this proxy statement/prospectus,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After a comprehensive review of strategic alternatives, including identifying and reviewing potential candidates for a strategic transaction, on January 30, 2024, AVROBIO entered into the Merger Agreement, with Merger Sub and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of the merger,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among the transactions contemplated by the Subscription Agreement and such Company SAFEs of approximately $130.7 million.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of the merger, each share of then-outstanding Tectonic common stock will be converted into the right to receive a number of shares of AVROBIO common stock, equal to the exchange ratio as set forth in the Merger Agreement. Concurrently with the closing of the merger, and assuming approval by AVROBIO stockholders, AVROBIO anticipates effecting a reverse stock split at a ratio in the range between 1:3 to 1:30, inclusive. Additionally, at or prior to the effective time of the merger, AVROBIO and a rights agent will enter into a CVR Agreement, pursuant to which AVROBIO stockholders of record as of immediately prior to such effective time (including holders of AVROBIO common stock issued upon settlement of the AVROBIO RSUs) will receive one non-transferable CVR for each outstanding share of AVROBIO common stock held by such stockholder on such date.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common stock to be issued in connection with the proposed merger. The closings of the private financings are conditioned upon the satisfaction or waiver of the conditions to the closing of the merger as well as certain other conditions. The closing of the merger is conditioned upon the satisfaction or waiver of the receipt of cash proceeds not less than $114.5 million in connection with the consummation of the transactions contemplated by the private financings. If the transactions are completed, the business of Tectonic will continue as the business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240" w:after="0"/>
        <w:jc w:val="left"/>
        <w:rPr>
          <w:rFonts w:ascii="Times New Roman" w:hAnsi="Times New Roman"/>
          <w:sz w:val="20"/>
        </w:rPr>
      </w:pPr>
      <w:r>
        <w:rPr>
          <w:rFonts w:ascii="Times New Roman" w:hAnsi="Times New Roman"/>
          <w:sz w:val="20"/>
        </w:rPr>
        <w:t xml:space="preserve">Since AVROBIOs inception in 2015, AVROBIO has devoted substantially all of its resources to organizing and staffing the company, business planning, raising capital, acquiring or discovering product candidates and securing related intellectual property rights, conducting discovery, research and development activities for its programs and planning for potential commercialization. To date, AVROBIO has not generated any product revenue and has financed operations primarily through the private placement of its securities and through public offerings of AVROBIO common stock. Through December 31, 2023, AVROBIO had received gross cash proceeds of $87.5 million from sales of AVROBIOs preferred stock; gross cash proceeds, before deducting underwriting discounts and commissions and expenses, of $428.1 million from sales of AVROBIO common stock through AVROBIOs IPO and follow-on offerings; gross cash proceeds, before deducting commissions and expenses, of $23.5 million from sales of AVROBIO common stock through AVROBIOs ATM facility; $15.0 million drawn in term loans under the Term Loan Agreement, which was repaid in full and terminated on June 9, 2023; and gross proceeds, before deducting transaction costs, of $87.5 million from the sale of AVROBIOs cystinosis gene therapy program. </w:t>
      </w:r>
    </w:p>
    <w:p>
      <w:pPr>
        <w:pStyle w:val="TextBody"/>
        <w:bidi w:val="0"/>
        <w:spacing w:before="240" w:after="0"/>
        <w:jc w:val="left"/>
        <w:rPr>
          <w:rFonts w:ascii="Times New Roman" w:hAnsi="Times New Roman"/>
          <w:sz w:val="20"/>
        </w:rPr>
      </w:pPr>
      <w:r>
        <w:rPr>
          <w:rFonts w:ascii="Times New Roman" w:hAnsi="Times New Roman"/>
          <w:sz w:val="20"/>
        </w:rPr>
        <w:t xml:space="preserve">Additionally, AVROBIO has incurred significant operating losses. AVROBIOs ability to generate product revenue sufficient to achieve profitability will depend heavily on the successful development and eventual commercialization of one or more of AVROBIOs current or future product candidates and programs. AVROBIOs net income (lossses) were $12.2 million and $(105.9) million for the years ended December 31, 2023 and 2022, respectively. As of December 31, 2023, AVROBIO had an accumulated deficit of $477.3 million. Should AVROBIO resume development of its product candidates, AVROBIO would expect to continue to incur significant expenses for at least the next several years as it advances product candidates from preclinical development and clinical trials and seeks regulatory approval of the product candidates. Should AVROBIO resume development of its product candidates, it would expect to expend significant resources to advance these candidates. In addition, if AVROBIO obtains marketing approval for any of the product candidates, AVROBIO expects to incur significant commercialization expenses related to product manufacturing, marketing, sales and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it would need substantial additional funding to support continuing operations and pursue its growth strategy. Until such time as AVROBIO can generate significant revenue from product sales, if ever, AVROBIO expects to finance its operations with proceeds from outside sources, with a majority of such proceeds to be derived from sales of equity. AVROBIO may also pursue additional funding from outside sources, including borrowing arrangements and entry into potential future collaboration agreements for one or more of its programs. AVROBIO may be unable to raise additional funds or enter into such other agreements or arrangements when needed on favorable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product development, AVROBIO is unable to predict the timing or amount of increased expenses or when or if AVROBIO will be able to achieve or maintain profitability, should AVROBIO resume development of its product candidates. Even if AVROBIO is able to generate product sales, AVROBIO may not become profitable. If AVROBIO fails to become profitable or is unable to sustain profitability on a continuing basis, AVROBIO may be unable to continue operations at planned levels and be forced to reduce or terminate operations. </w:t>
      </w:r>
    </w:p>
    <w:p>
      <w:pPr>
        <w:pStyle w:val="TextBody"/>
        <w:bidi w:val="0"/>
        <w:spacing w:before="360" w:after="0"/>
        <w:jc w:val="left"/>
        <w:rPr>
          <w:rFonts w:ascii="Times New Roman" w:hAnsi="Times New Roman"/>
          <w:b/>
          <w:sz w:val="20"/>
        </w:rPr>
      </w:pPr>
      <w:bookmarkStart w:id="150" w:name="toc770053_154"/>
      <w:bookmarkEnd w:id="150"/>
      <w:r>
        <w:rPr>
          <w:rFonts w:ascii="Times New Roman" w:hAnsi="Times New Roman"/>
          <w:b/>
          <w:sz w:val="20"/>
        </w:rPr>
        <w:t xml:space="preserve">Components of AVROBIOs Consolidated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discovery and development of AVROBIOs product candidates. AVROBIO expenses research and development costs as incurred. These expenses consist of costs incurred in connection with the development of AVROBIOs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 maintenance fees and milestone fees incurred in connection with various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under agreements with CROs, CMOs, as well as investigative sites and consultants that conduct AVROBIOs clinical trials, preclinical studies and other scientific development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scale-up expenses and the cost of acquiring and manufacturing preclinical and clinical trial materials and commercial materials, including manufacturing validation batches;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purchasing lab supplies and non-capital equipment used in AVROBIOs preclinical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related benefits, travel and stock-based compensation expense for employees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allocated facilities costs, depreciation and other expenses, which include rent and utilities.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recognizes external development costs based on an evaluation of the progress to completion of specific tasks using information provided to AVROBIO by its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AVROBIOs direct research and development expenses are tracked on a program-by-program basis for AVROBIOs product candidates and consist primarily of external costs, such as fees paid to outside consultants, CROs, CMOs, and central laboratories in connection with AVROBIOs preclinical development, process development, manufacturing and clinical development activities. AVROBIOs direct research and development expenses by program also include fees incurred under license agreements. AVROBIO does not allocate employee costs or facility expenses, including depreciation or other indirect costs, to specific programs because these costs are deployed across multiple programs and, as such, are not separately classified. AVROBIO uses internal resources primarily to oversee the research and discovery as well as for managing AVROBIOs preclinical development, process development, manufacturing and clinical development activities. These employees work across multiple programs and, therefore, AVROBIO does not track their costs by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Total research and development expenses decreased during the year ended December 31, 2023 as compared to the year ended December 31, 2022, which was driven by AVROBIOs decision to halt further development of its programs and explore strategic alternatives. This decrease was partially offset by increases in expenses related to AVROBIOs Gaucher and Hunter product candidates, which were driven by costs associated with the termination of these programs.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AVROBIOs research and development expenses related to AVROBIOs product candidates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88"/>
        <w:gridCol w:w="234"/>
        <w:gridCol w:w="140"/>
        <w:gridCol w:w="686"/>
        <w:gridCol w:w="164"/>
        <w:gridCol w:w="204"/>
        <w:gridCol w:w="140"/>
        <w:gridCol w:w="686"/>
        <w:gridCol w:w="63"/>
      </w:tblGrid>
      <w:tr>
        <w:trPr/>
        <w:tc>
          <w:tcPr>
            <w:tcW w:w="788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88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788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7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Gaucher</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10,859</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8,662</w:t>
            </w:r>
          </w:p>
        </w:tc>
        <w:tc>
          <w:tcPr>
            <w:tcW w:w="63" w:type="dxa"/>
            <w:tcBorders/>
            <w:shd w:fill="CCEEFF" w:val="clear"/>
            <w:vAlign w:val="bottom"/>
          </w:tcPr>
          <w:p>
            <w:pPr>
              <w:pStyle w:val="TableContents"/>
              <w:bidi w:val="0"/>
              <w:spacing w:before="0" w:after="283"/>
              <w:jc w:val="left"/>
              <w:rPr/>
            </w:pPr>
            <w:r>
              <w:rPr/>
              <w:t> </w:t>
            </w:r>
          </w:p>
        </w:tc>
      </w:tr>
      <w:tr>
        <w:trPr/>
        <w:tc>
          <w:tcPr>
            <w:tcW w:w="7888" w:type="dxa"/>
            <w:tcBorders/>
          </w:tcPr>
          <w:p>
            <w:pPr>
              <w:pStyle w:val="TableContents"/>
              <w:bidi w:val="0"/>
              <w:spacing w:before="0" w:after="0"/>
              <w:jc w:val="left"/>
              <w:rPr>
                <w:rFonts w:ascii="Times New Roman" w:hAnsi="Times New Roman"/>
                <w:sz w:val="20"/>
              </w:rPr>
            </w:pPr>
            <w:r>
              <w:rPr>
                <w:rFonts w:ascii="Times New Roman" w:hAnsi="Times New Roman"/>
                <w:sz w:val="20"/>
              </w:rPr>
              <w:t>Hunter</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6,599</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4,968</w:t>
            </w:r>
          </w:p>
        </w:tc>
        <w:tc>
          <w:tcPr>
            <w:tcW w:w="63" w:type="dxa"/>
            <w:tcBorders/>
            <w:vAlign w:val="bottom"/>
          </w:tcPr>
          <w:p>
            <w:pPr>
              <w:pStyle w:val="TableContents"/>
              <w:bidi w:val="0"/>
              <w:spacing w:before="0" w:after="283"/>
              <w:jc w:val="left"/>
              <w:rPr/>
            </w:pPr>
            <w:r>
              <w:rPr/>
              <w:t> </w:t>
            </w:r>
          </w:p>
        </w:tc>
      </w:tr>
      <w:tr>
        <w:trPr/>
        <w:tc>
          <w:tcPr>
            <w:tcW w:w="7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Fabry</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2,775</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9,644</w:t>
            </w:r>
          </w:p>
        </w:tc>
        <w:tc>
          <w:tcPr>
            <w:tcW w:w="63" w:type="dxa"/>
            <w:tcBorders/>
            <w:shd w:fill="CCEEFF" w:val="clear"/>
            <w:vAlign w:val="bottom"/>
          </w:tcPr>
          <w:p>
            <w:pPr>
              <w:pStyle w:val="TableContents"/>
              <w:bidi w:val="0"/>
              <w:spacing w:before="0" w:after="283"/>
              <w:jc w:val="left"/>
              <w:rPr/>
            </w:pPr>
            <w:r>
              <w:rPr/>
              <w:t> </w:t>
            </w:r>
          </w:p>
        </w:tc>
      </w:tr>
      <w:tr>
        <w:trPr/>
        <w:tc>
          <w:tcPr>
            <w:tcW w:w="7888" w:type="dxa"/>
            <w:tcBorders/>
          </w:tcPr>
          <w:p>
            <w:pPr>
              <w:pStyle w:val="TableContents"/>
              <w:bidi w:val="0"/>
              <w:spacing w:before="0" w:after="0"/>
              <w:jc w:val="left"/>
              <w:rPr>
                <w:rFonts w:ascii="Times New Roman" w:hAnsi="Times New Roman"/>
                <w:sz w:val="20"/>
              </w:rPr>
            </w:pPr>
            <w:r>
              <w:rPr>
                <w:rFonts w:ascii="Times New Roman" w:hAnsi="Times New Roman"/>
                <w:sz w:val="20"/>
              </w:rPr>
              <w:t>Cystinosis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439</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4,615</w:t>
            </w:r>
          </w:p>
        </w:tc>
        <w:tc>
          <w:tcPr>
            <w:tcW w:w="63" w:type="dxa"/>
            <w:tcBorders/>
            <w:vAlign w:val="bottom"/>
          </w:tcPr>
          <w:p>
            <w:pPr>
              <w:pStyle w:val="TableContents"/>
              <w:bidi w:val="0"/>
              <w:spacing w:before="0" w:after="283"/>
              <w:jc w:val="left"/>
              <w:rPr/>
            </w:pPr>
            <w:r>
              <w:rPr/>
              <w:t> </w:t>
            </w:r>
          </w:p>
        </w:tc>
      </w:tr>
      <w:tr>
        <w:trPr/>
        <w:tc>
          <w:tcPr>
            <w:tcW w:w="7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Pompe</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(58</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830</w:t>
            </w:r>
          </w:p>
        </w:tc>
        <w:tc>
          <w:tcPr>
            <w:tcW w:w="63" w:type="dxa"/>
            <w:tcBorders/>
            <w:shd w:fill="CCEEFF" w:val="clear"/>
            <w:vAlign w:val="bottom"/>
          </w:tcPr>
          <w:p>
            <w:pPr>
              <w:pStyle w:val="TableContents"/>
              <w:bidi w:val="0"/>
              <w:spacing w:before="0" w:after="283"/>
              <w:jc w:val="left"/>
              <w:rPr/>
            </w:pPr>
            <w:r>
              <w:rPr/>
              <w:t> </w:t>
            </w:r>
          </w:p>
        </w:tc>
      </w:tr>
      <w:tr>
        <w:trPr/>
        <w:tc>
          <w:tcPr>
            <w:tcW w:w="7888" w:type="dxa"/>
            <w:tcBorders/>
          </w:tcPr>
          <w:p>
            <w:pPr>
              <w:pStyle w:val="TableContents"/>
              <w:bidi w:val="0"/>
              <w:spacing w:before="0" w:after="0"/>
              <w:jc w:val="left"/>
              <w:rPr>
                <w:rFonts w:ascii="Times New Roman" w:hAnsi="Times New Roman"/>
                <w:sz w:val="20"/>
              </w:rPr>
            </w:pPr>
            <w:r>
              <w:rPr>
                <w:rFonts w:ascii="Times New Roman" w:hAnsi="Times New Roman"/>
                <w:sz w:val="20"/>
              </w:rPr>
              <w:t>Other research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189</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7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Unallocated research and development expenses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26,897</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43,362</w:t>
            </w:r>
          </w:p>
        </w:tc>
        <w:tc>
          <w:tcPr>
            <w:tcW w:w="63" w:type="dxa"/>
            <w:tcBorders/>
            <w:shd w:fill="CCEEFF" w:val="clear"/>
            <w:vAlign w:val="bottom"/>
          </w:tcPr>
          <w:p>
            <w:pPr>
              <w:pStyle w:val="TableContents"/>
              <w:bidi w:val="0"/>
              <w:spacing w:before="0" w:after="283"/>
              <w:jc w:val="left"/>
              <w:rPr/>
            </w:pPr>
            <w:r>
              <w:rPr/>
              <w:t> </w:t>
            </w:r>
          </w:p>
        </w:tc>
      </w:tr>
      <w:tr>
        <w:trPr/>
        <w:tc>
          <w:tcPr>
            <w:tcW w:w="788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888"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47,700</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72,186</w:t>
            </w:r>
          </w:p>
        </w:tc>
        <w:tc>
          <w:tcPr>
            <w:tcW w:w="63" w:type="dxa"/>
            <w:tcBorders/>
            <w:vAlign w:val="bottom"/>
          </w:tcPr>
          <w:p>
            <w:pPr>
              <w:pStyle w:val="TableContents"/>
              <w:bidi w:val="0"/>
              <w:spacing w:before="0" w:after="283"/>
              <w:jc w:val="left"/>
              <w:rPr/>
            </w:pPr>
            <w:r>
              <w:rPr/>
              <w:t> </w:t>
            </w:r>
          </w:p>
        </w:tc>
      </w:tr>
      <w:tr>
        <w:trPr/>
        <w:tc>
          <w:tcPr>
            <w:tcW w:w="788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activities are central to AVROBIOs business model. Product candidates in later stages of clinical development generally have higher development costs than those in earlier stages of clinical development, primarily due to the increased size and duration of later-stage clinical trials. Should AVROBIO resume development of its product candidates, AVROBIO would expect AVROBIOs research and development expenses will increase substantially over the next several years, particularly as AVROBIO increases personnel costs, including stock-based compensation, contractor costs and facilities costs and advance the development of its product candidates. Should AVROBIO resume development of its product candidates, AVROBIO also expects to incur additional expenses related to milestone and royalty payments payable to third parties with whom AVROBIO has entered into license agreements to acquire the rights to AVROBIOs product candidates. Please see </w:t>
      </w:r>
      <w:r>
        <w:rPr>
          <w:rFonts w:ascii="Times New Roman" w:hAnsi="Times New Roman"/>
          <w:i/>
          <w:sz w:val="20"/>
        </w:rPr>
        <w:t>Risk FactorsRisks Related to AVROBIOs Business, Financial Position and Need for Additional CapitalAVROBIO has incurred net losses since inception. AVROBIO expects to incur net losses for the foreseeable future and may never achieve or maintain profitability</w:t>
      </w:r>
      <w:r>
        <w:rPr>
          <w:rFonts w:ascii="Times New Roman" w:hAnsi="Times New Roman"/>
          <w:sz w:val="20"/>
        </w:rPr>
        <w:t xml:space="preserve"> beginning on page 48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successful development and commercialization of AVROBIOs product candidates is highly uncertain. At this time, AVROBIO cannot reasonably estimate or know the nature, timing and costs of the efforts that will be necessary to complete the preclinical and clinical development of any of AVROBIOs product candidates should we resume their development, or when, if ever, material net cash inflows may commence from any of AVROBIOs product candidates. This uncertainty is due to the numerous risks and uncertainties associated with product development and commercialization, including the uncertainty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outcome and costs of AVROBIOs preclinical development activities, clinical trials and other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 appropriate safety profile with IND-enabling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patient enrollment in, and the design, initiation and completion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of any marketing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commercial manufacturing capabilities or making arrangements with third-party manufacturers;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timely delivery of commercial-grade drug formulations that can be used in AVROBIOs clinical trials and for commercial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defending and enforcing patent claims and other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and changing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AVROBIOs product candidates,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the product candidates following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risks disclosed in the section entitled </w:t>
            </w:r>
            <w:r>
              <w:rPr>
                <w:rFonts w:ascii="Times New Roman" w:hAnsi="Times New Roman"/>
                <w:i/>
                <w:sz w:val="20"/>
              </w:rPr>
              <w:t>Risk Factors</w:t>
            </w:r>
            <w:r>
              <w:rPr>
                <w:rFonts w:ascii="Times New Roman" w:hAnsi="Times New Roman"/>
                <w:sz w:val="20"/>
              </w:rPr>
              <w:t xml:space="preserve"> beginning on page 36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never succeed in achieving regulatory approval for any of AVROBIOs product candidates. AVROBIO may obtain unexpected results from AVROBIOs clinical trials. AVROBIO may elect to discontinue, delay or modify clinical trials of some product candidates or focus on others. Any changes in the outcome of any of these variables with respect to the development of AVROBIOs product candidates in preclinical and clinical development could mean a significant change in the costs and timing associated with the development of these product candidates. For example, if the FDA or another regulatory authority were to delay AVROBIOs planned start of clinical trials or require AVROBIO to conduct clinical trials or other testing beyond those that AVROBIO currently expects, or if AVROBIO experiences significant delays in enrollment in any of AVROBIOs planned clinical trials, AVROBIO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AVROBIO may never generate the necessary data or results required to obtain marketing approval and achieve product sales. In addition, AVROBIOs product candidates, if approved, may not achieve commercial success.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would anticipate that its general and administrative expenses would increase as AVROBIO increases its headcount to support research activities and development of its product candidates. AVROBIO also anticipates that it would incur increased accounting, audit, legal, compliance, director and officer insurance costs as well as investor and public relations expenses associated with being a public company. AVROBIO anticipates the additional costs for these services would substantially increase AVROBIOs general and administrative expenses. Additionally, if and when AVROBIO believes a regulatory approval of a product candidate appears likely, AVROBIO anticipates an increase in payroll and other commercialization-related expenses as a result of AVROBIOs preparation for commercial operations, especially as it relates to the sales and marketing of AVROBIOs product candidates.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240" w:after="0"/>
        <w:jc w:val="left"/>
        <w:rPr>
          <w:rFonts w:ascii="Times New Roman" w:hAnsi="Times New Roman"/>
          <w:sz w:val="20"/>
        </w:rPr>
      </w:pPr>
      <w:r>
        <w:rPr>
          <w:rFonts w:ascii="Times New Roman" w:hAnsi="Times New Roman"/>
          <w:sz w:val="20"/>
        </w:rPr>
        <w:t xml:space="preserve">Other (expense) income, net primarily consists of interest income earned on AVROBIOs cash and cash equivalents, and changes in foreign currency, and interest expense related to AVROBIOs Term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51" w:name="toc770053_155"/>
      <w:bookmarkEnd w:id="151"/>
      <w:r>
        <w:rPr>
          <w:rFonts w:ascii="Times New Roman" w:hAnsi="Times New Roman"/>
          <w:b/>
          <w:sz w:val="20"/>
        </w:rPr>
        <w:t xml:space="preserve">Consolidated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Years ended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AVROBIOs consolidated results of operations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3"/>
        <w:gridCol w:w="299"/>
        <w:gridCol w:w="148"/>
        <w:gridCol w:w="728"/>
        <w:gridCol w:w="158"/>
        <w:gridCol w:w="299"/>
        <w:gridCol w:w="148"/>
        <w:gridCol w:w="913"/>
        <w:gridCol w:w="158"/>
        <w:gridCol w:w="299"/>
        <w:gridCol w:w="148"/>
        <w:gridCol w:w="808"/>
        <w:gridCol w:w="163"/>
      </w:tblGrid>
      <w:tr>
        <w:trPr/>
        <w:tc>
          <w:tcPr>
            <w:tcW w:w="4303"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3"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38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9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47,700</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72,186</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(24,486</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23,967</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33,248</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(9,281</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71,667</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105,434</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(33,767</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83,736</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83,736</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(1,877</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(1,877</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10,192</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(105,434</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115,626</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72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2,420</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(299</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2,719</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(78</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(157</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79</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2,342</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(456</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2,798</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12,534</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(105,890</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118,424</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377</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377</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12,157</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(105,890</w:t>
            </w:r>
          </w:p>
        </w:tc>
        <w:tc>
          <w:tcPr>
            <w:tcW w:w="15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118,047</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decreased by $24.5 million to $47.7 million for the year ended December 31, 2023, from approximately $72.2 million for the year ended December 31, 2022. This decrease was driven by a $12.3 million decrease in personnel-related and consulting costs, including non-cash stock-based compensation, a $7.8 million decrease in manufacturing costs, a $2.5 million decrease in preclinical costs, a $1.5 million decrease in allocated facility expense, and a $0.3 million decrease in development costs, which includes a payment made in connection with the termination of the MPSII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decreased by $9.3 million to $24.0 million for the year ended December 31, 2023, from to $33.2 million for the year ended December 31, 2022. This decrease was driven by a $10.8 million decrease in personnel-related and consulting costs, including non-cash stock-based compensation and a $0.9 million decrease in information technology-related costs which was partially offset by a $2.4 million increase in legal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Gain on Asset Sale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$83.7 million as a gain on asset sale, net of $3.8 million in transaction costs AVROBIO completed the Cystinosis Sale on June 9, 2023. </w:t>
      </w:r>
    </w:p>
    <w:p>
      <w:pPr>
        <w:pStyle w:val="TextBody"/>
        <w:bidi w:val="0"/>
        <w:spacing w:before="360" w:after="0"/>
        <w:jc w:val="left"/>
        <w:rPr>
          <w:rFonts w:ascii="Times New Roman" w:hAnsi="Times New Roman"/>
          <w:i/>
          <w:sz w:val="20"/>
        </w:rPr>
      </w:pPr>
      <w:r>
        <w:rPr>
          <w:rFonts w:ascii="Times New Roman" w:hAnsi="Times New Roman"/>
          <w:i/>
          <w:sz w:val="20"/>
        </w:rPr>
        <w:t>Loss on Impairment</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a $1.9 million loss on impairment. Of this amount, $0.9 million is related to the loss on impairment of property, plant, and equipment as a result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reclassification of these assets to held for sale. In addition, $0.9 million is related to the loss on impairment of the right of use asset for the subleased lab space located in Cambridge, Massachusetts, which is no longer in use.</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was $2.3 million for the year ended December 31, 2023, compared to $(0.5) million of other income (expense), net for the year ended December 31, 2022. The increase in income was driven by a $2.8 million increase in interest income earned on short-term money market funds. Interest expense is relatively consistent period over period. The Term Loan Agreement was terminated in the second quarter of 2023 which resulted in an increase in interest expense from the loss on the extinguishment of debt due to the write-off of the debt discount balance. </w:t>
      </w:r>
    </w:p>
    <w:p>
      <w:pPr>
        <w:pStyle w:val="TextBody"/>
        <w:bidi w:val="0"/>
        <w:spacing w:before="360" w:after="0"/>
        <w:jc w:val="left"/>
        <w:rPr>
          <w:rFonts w:ascii="Times New Roman" w:hAnsi="Times New Roman"/>
          <w:i/>
          <w:sz w:val="20"/>
        </w:rPr>
      </w:pPr>
      <w:r>
        <w:rPr>
          <w:rFonts w:ascii="Times New Roman" w:hAnsi="Times New Roman"/>
          <w:i/>
          <w:sz w:val="20"/>
        </w:rPr>
        <w:t xml:space="preserve">Provision for 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$0.4 million as a provision for income tax expense as a result of income recognized from the Cystinosis Sale. </w:t>
      </w:r>
    </w:p>
    <w:p>
      <w:pPr>
        <w:pStyle w:val="TextBody"/>
        <w:bidi w:val="0"/>
        <w:spacing w:before="360" w:after="0"/>
        <w:jc w:val="left"/>
        <w:rPr>
          <w:rFonts w:ascii="Times New Roman" w:hAnsi="Times New Roman"/>
          <w:b/>
          <w:sz w:val="20"/>
        </w:rPr>
      </w:pPr>
      <w:bookmarkStart w:id="152" w:name="toc770053_156"/>
      <w:bookmarkEnd w:id="152"/>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Since AVROBIOs inception, AVROBIO has not generated any revenue and have incurred significant operating losses and negative cash flows from AVROBIOs operations. AVROBIO has funded AVROBIOs operations to date primarily with proceeds from the sale of preferred stock and AVROBIOs common stock through AVROBIOs IPO, and AVROBIO has raised additional capital through subsequent follow-on offerings and AVROBIOs ATM facility. Through December 31, 2023, AVROBIO had received gross cash proceeds of $87.5 million from sales of AVROBIOs preferred stock; gross cash proceeds, before deducting underwriting discounts and commissions and expenses, of $428.1 million from sales of AVROBIOs common stock through AVROBIOs IPO and follow-on offerings; gross cash proceeds, before deducting commissions and expenses, of $23.5 million from sales of AVROBIOs common stock in at-the-market</w:t>
      </w:r>
      <w:r>
        <w:rPr>
          <w:rFonts w:ascii="Times New Roman" w:hAnsi="Times New Roman"/>
          <w:b/>
          <w:sz w:val="20"/>
        </w:rPr>
        <w:t></w:t>
      </w:r>
      <w:r>
        <w:rPr>
          <w:rFonts w:ascii="Times New Roman" w:hAnsi="Times New Roman"/>
          <w:sz w:val="20"/>
        </w:rPr>
        <w:t xml:space="preserve"> offerings under AVROBIOs ATM facility; $15.0 million drawn in term loans under the Term Loan Agreement, which was repaid in full and terminated on June 9, 2023; and gross proceeds, before deducting transaction costs, of $87.5 million from the sale of AVROBIOs cystinosis gene therapy program. </w:t>
      </w:r>
    </w:p>
    <w:p>
      <w:pPr>
        <w:pStyle w:val="TextBody"/>
        <w:bidi w:val="0"/>
        <w:spacing w:before="240" w:after="0"/>
        <w:jc w:val="left"/>
        <w:rPr>
          <w:rFonts w:ascii="Times New Roman" w:hAnsi="Times New Roman"/>
          <w:sz w:val="20"/>
        </w:rPr>
      </w:pPr>
      <w:r>
        <w:rPr>
          <w:rFonts w:ascii="Times New Roman" w:hAnsi="Times New Roman"/>
          <w:sz w:val="20"/>
        </w:rPr>
        <w:t xml:space="preserve">On July 1, 2019, AVROBIO filed a shelf registration statement on Form S-3 with the SEC (the July 2019 Shelf), which covers the offering, issuance and sale by AVROBIO of up to an aggregate of $200.0 million of AVROBIOs common stock, preferred stock, debt securities, warrants and/or units. AVROBIO simultaneously entered into a Sales Agreement with Cowen and Company, LLC, as sales agent, to provide for the offering, issuance and sale by AVROBIO of up to $50.0 million of AVROBIOs common stock from time to time in ATM offerings under the July 2019 Shelf. The July 2019 Shelf was declared effective by the SEC on July 10, 2019.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2019, AVROBIO filed a shelf registration statement on Form S-3 with the SEC, or the December 2019 Shelf, which covers the offering, issuance and sale by AVROBIO of up to an aggregate of $250.0 million of AVROBIOs common stock, preferred stock, debt securities, warrants and/or units. The December 2019 Shelf was declared effective by the SEC on January 14, 2020. </w:t>
      </w:r>
    </w:p>
    <w:p>
      <w:pPr>
        <w:pStyle w:val="TextBody"/>
        <w:bidi w:val="0"/>
        <w:spacing w:before="240" w:after="0"/>
        <w:jc w:val="left"/>
        <w:rPr>
          <w:rFonts w:ascii="Times New Roman" w:hAnsi="Times New Roman"/>
          <w:sz w:val="20"/>
        </w:rPr>
      </w:pPr>
      <w:r>
        <w:rPr>
          <w:rFonts w:ascii="Times New Roman" w:hAnsi="Times New Roman"/>
          <w:sz w:val="20"/>
        </w:rPr>
        <w:t xml:space="preserve">In July 2019, AVROBIO closed an underwritten public offering (the July 2019 Follow-On Offering) under the July 2019 Shelf of 7,475,000 shares of AVROBIOs common stock at a public offering price of $18.50 per share, which included 975,000 shares of AVROBIOs common stock resulting from the full exercise of the underwriters option to purchase additional shares at the public offering price. The net proceeds to AVROBIO from this offering, after deducting underwriting discounts and commissions and other offering expenses payable by AVROBIO, were $129.5 million.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2020, AVROBIO closed an underwritten public offering (the February 2020 Follow-On Offering) under the December 2019 Shelf of 4,350,000 shares of AVROBIOs common stock at a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price of $23.00 per share. The net proceeds to AVROBIO from this offering, after deducting underwriting discounts and commissions and other offering expenses payable by AVROBIO, were $93.6 million. </w:t>
      </w:r>
    </w:p>
    <w:p>
      <w:pPr>
        <w:pStyle w:val="TextBody"/>
        <w:bidi w:val="0"/>
        <w:spacing w:before="240" w:after="0"/>
        <w:jc w:val="left"/>
        <w:rPr>
          <w:rFonts w:ascii="Times New Roman" w:hAnsi="Times New Roman"/>
          <w:sz w:val="20"/>
        </w:rPr>
      </w:pPr>
      <w:r>
        <w:rPr>
          <w:rFonts w:ascii="Times New Roman" w:hAnsi="Times New Roman"/>
          <w:sz w:val="20"/>
        </w:rPr>
        <w:t xml:space="preserve">In June 2020, AVROBIO sold an aggregate of 384,140 shares of common stock under the ATM facility for net proceeds, after deducting commissions and other offering expenses payable by AVROBIO, of $8.1 million.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2020, AVROBIO closed an underwritten public offering (the November 2020 Follow-On Offering) of 5,000,000 shares of AVROBIOs common stock at a public offering price of $15.00 per share. The net proceeds to AVROBIO from the November 2020 Follow-On Offering, after deducting underwriting discounts and commissions and other offering expenses payable by AVROBIO, were $70.2 million. </w:t>
      </w:r>
    </w:p>
    <w:p>
      <w:pPr>
        <w:pStyle w:val="TextBody"/>
        <w:bidi w:val="0"/>
        <w:spacing w:before="240" w:after="0"/>
        <w:jc w:val="left"/>
        <w:rPr>
          <w:rFonts w:ascii="Times New Roman" w:hAnsi="Times New Roman"/>
          <w:sz w:val="20"/>
        </w:rPr>
      </w:pPr>
      <w:r>
        <w:rPr>
          <w:rFonts w:ascii="Times New Roman" w:hAnsi="Times New Roman"/>
          <w:sz w:val="20"/>
        </w:rPr>
        <w:t xml:space="preserve">In May 2021, AVROBIO sold an aggregate of 1,829,268 shares of common stock under the ATM facility for net proceeds, after deducting commissions and other offering expenses payable by AVROBIO, of $14.5 million. As of September 30, 2023, approximately $26.5 million of common stock remained available for future issuance under the ATM facility.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2021 (the Term Loan Agreement Closing Date), AVROBIO entered into the Term Loan Agreement. The Term Loan Agreement provided for (i) on the Term Loan Agreement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and (iii) an additional discretionary $15.0 million term loan facility available upon AVROBIOs request and approval by the Agent and the Lenders, (collectively, the Term Loans). AVROBIO drew $15.0 million in term loans on the Term Loan Agreement Closing Date. On June 9, 2023, upon the closing of the Cystinosis Sale, all outstanding amounts due and owed, including principal, interest, and other charges, under the Term Loan Agreement, dated as of November 2, 2021, by and among AVROBIO, SVB and the other parties thereto, were repaid in full and the Term Loan Agreement was terminated. Upon repayment, the obligations of AVROBIO under the Term Loan Agreement were satisfied in full, the Term Loan Agreement and all related loan documents were terminated and all liens and security interests granted thereunder were released and terminated (excluding certain indemnification obligations that expressly survive termination of the Term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In July 2022, the July 2019 Shelf expired, and on November 8, 2022, AVROBIO filed a shelf registration statement on Form S-3 with the SEC (the November 2022 Shelf), which covered the offering, issuance and sale by AVROBIO of up to an aggregate of $250.0 million of AVROBIOs common stock, preferred stock, debt securities, warrants and/or units. The December 2019 Shelf expired in December 2022, and the November 2022 Shelf carried forward unsold securities previously covered by the December 2019 Shelf, thus registering an aggregate total of $250.0 million of AVROBIOs common stock, preferred stock, debt securities, warrants and/or units. In connection with the November 2022 Shelf, AVROBIO simultaneously entered into a new Sales Agreement with Cowen and Company, LLC, as sales agent, to provide for the offering, issuance and sale by AVROBIO of up to $50.0 million of AVROBIOs common stock from time to time in under the ATM Facility. As of the date hereof, AVROBIO have not made any sales under the ATM Facility. On November 3, 2023, AVROBIO withdrew the November 2022 Shelf. AVROBIO will not make any potential sales under the ATM Facility until a new shelf registration statement on Form S-3 is filed and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AVROBIO had cash and cash equivalents of $98.0 million. Cash in excess of immediate requirements is invested primarily with a view to liquidity and capital preservation. </w:t>
      </w:r>
    </w:p>
    <w:p>
      <w:pPr>
        <w:pStyle w:val="TextBody"/>
        <w:bidi w:val="0"/>
        <w:spacing w:before="240" w:after="0"/>
        <w:jc w:val="left"/>
        <w:rPr>
          <w:rFonts w:ascii="Times New Roman" w:hAnsi="Times New Roman"/>
          <w:sz w:val="20"/>
        </w:rPr>
      </w:pPr>
      <w:r>
        <w:rPr>
          <w:rFonts w:ascii="Times New Roman" w:hAnsi="Times New Roman"/>
          <w:sz w:val="20"/>
        </w:rPr>
        <w:t xml:space="preserve">AVROBIOs material cash requirements include contractual obligations with third parties. AVROBIO has non-cancelable operating leases for office and laboratory space, which are located in Cambridge, Massachusetts and will expire in April 2024. As of December 31, 2023, AVROBIO expects its future minimum lease payments under this commitment to total approximately $0.9 million in 2024. These minimum lease payments do not include any related common area maintenance charges or real estate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enters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AVROBIOs service providers, up to the date of cancellation. These payments are not included above as the amount and timing of such payments are not known. </w:t>
      </w:r>
    </w:p>
    <w:p>
      <w:pPr>
        <w:pStyle w:val="TextBody"/>
        <w:bidi w:val="0"/>
        <w:spacing w:before="240" w:after="0"/>
        <w:jc w:val="left"/>
        <w:rPr>
          <w:rFonts w:ascii="Times New Roman" w:hAnsi="Times New Roman"/>
          <w:sz w:val="20"/>
        </w:rPr>
      </w:pPr>
      <w:r>
        <w:rPr>
          <w:rFonts w:ascii="Times New Roman" w:hAnsi="Times New Roman"/>
          <w:sz w:val="20"/>
        </w:rPr>
        <w:t>In addition, pursuant to AVROBIOs current or former license agreements with UHN, BioMarin, The University of Manchester, Papillon and the Lund University rights holders, AVROBIO is or was required to make certain milestone and royalty payments to AVROBIOs licensors. See </w:t>
      </w:r>
      <w:r>
        <w:rPr>
          <w:rFonts w:ascii="Times New Roman" w:hAnsi="Times New Roman"/>
          <w:i/>
          <w:sz w:val="20"/>
        </w:rPr>
        <w:t>Business-License Agreements</w:t>
      </w:r>
      <w:r>
        <w:rPr>
          <w:rFonts w:ascii="Times New Roman" w:hAnsi="Times New Roman"/>
          <w:b/>
          <w:sz w:val="20"/>
        </w:rPr>
        <w:t></w:t>
      </w:r>
      <w:r>
        <w:rPr>
          <w:rFonts w:ascii="Times New Roman" w:hAnsi="Times New Roman"/>
          <w:sz w:val="20"/>
        </w:rPr>
        <w:t xml:space="preserve"> for additional details regarding AVROBIOs payment obligations to these licensors.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AVROBIOs cash flows for each of the periods presented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1"/>
        <w:gridCol w:w="364"/>
        <w:gridCol w:w="146"/>
        <w:gridCol w:w="824"/>
        <w:gridCol w:w="155"/>
        <w:gridCol w:w="364"/>
        <w:gridCol w:w="146"/>
        <w:gridCol w:w="824"/>
        <w:gridCol w:w="161"/>
      </w:tblGrid>
      <w:tr>
        <w:trPr/>
        <w:tc>
          <w:tcPr>
            <w:tcW w:w="4771"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4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1" w:type="dxa"/>
            <w:tcBorders/>
            <w:vAlign w:val="bottom"/>
          </w:tcPr>
          <w:p>
            <w:pPr>
              <w:pStyle w:val="TableContents"/>
              <w:bidi w:val="0"/>
              <w:spacing w:before="0" w:after="283"/>
              <w:jc w:val="left"/>
              <w:rPr/>
            </w:pPr>
            <w:r>
              <w:rPr/>
              <w:t> </w:t>
            </w:r>
          </w:p>
        </w:tc>
      </w:tr>
      <w:tr>
        <w:trPr/>
        <w:tc>
          <w:tcPr>
            <w:tcW w:w="477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(63,190</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(97,208</w:t>
            </w:r>
          </w:p>
        </w:tc>
        <w:tc>
          <w:tcPr>
            <w:tcW w:w="161" w:type="dxa"/>
            <w:tcBorders/>
            <w:shd w:fill="CCEEFF" w:val="clear"/>
            <w:vAlign w:val="bottom"/>
          </w:tcPr>
          <w:p>
            <w:pPr>
              <w:pStyle w:val="TableContents"/>
              <w:bidi w:val="0"/>
              <w:spacing w:before="0" w:after="283"/>
              <w:jc w:val="left"/>
              <w:rPr/>
            </w:pPr>
            <w:r>
              <w:rPr/>
              <w:t>) </w:t>
            </w:r>
          </w:p>
        </w:tc>
      </w:tr>
      <w:tr>
        <w:trPr/>
        <w:tc>
          <w:tcPr>
            <w:tcW w:w="477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85,076</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(267</w:t>
            </w:r>
          </w:p>
        </w:tc>
        <w:tc>
          <w:tcPr>
            <w:tcW w:w="161" w:type="dxa"/>
            <w:tcBorders/>
            <w:vAlign w:val="bottom"/>
          </w:tcPr>
          <w:p>
            <w:pPr>
              <w:pStyle w:val="TableContents"/>
              <w:bidi w:val="0"/>
              <w:spacing w:before="0" w:after="283"/>
              <w:jc w:val="left"/>
              <w:rPr/>
            </w:pPr>
            <w:r>
              <w:rPr/>
              <w:t>) </w:t>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(16,029</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262</w:t>
            </w:r>
          </w:p>
        </w:tc>
        <w:tc>
          <w:tcPr>
            <w:tcW w:w="161" w:type="dxa"/>
            <w:tcBorders/>
            <w:shd w:fill="CCEEFF" w:val="clear"/>
            <w:vAlign w:val="bottom"/>
          </w:tcPr>
          <w:p>
            <w:pPr>
              <w:pStyle w:val="TableContents"/>
              <w:bidi w:val="0"/>
              <w:spacing w:before="0" w:after="283"/>
              <w:jc w:val="left"/>
              <w:rPr/>
            </w:pPr>
            <w:r>
              <w:rPr/>
              <w:t> </w:t>
            </w:r>
          </w:p>
        </w:tc>
      </w:tr>
      <w:tr>
        <w:trPr/>
        <w:tc>
          <w:tcPr>
            <w:tcW w:w="4771"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71"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increase in cash, cash equivalents and restricted cash</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(97,213</w:t>
            </w:r>
          </w:p>
        </w:tc>
        <w:tc>
          <w:tcPr>
            <w:tcW w:w="161" w:type="dxa"/>
            <w:tcBorders/>
            <w:vAlign w:val="bottom"/>
          </w:tcPr>
          <w:p>
            <w:pPr>
              <w:pStyle w:val="TableContents"/>
              <w:bidi w:val="0"/>
              <w:spacing w:before="0" w:after="283"/>
              <w:jc w:val="left"/>
              <w:rPr/>
            </w:pPr>
            <w:r>
              <w:rPr/>
              <w:t>) </w:t>
            </w:r>
          </w:p>
        </w:tc>
      </w:tr>
      <w:tr>
        <w:trPr/>
        <w:tc>
          <w:tcPr>
            <w:tcW w:w="4771"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operating activities used $63.2 million of cash and cash equivalents, resulting from AVROBIOs net income of $12.2 million, including gain on asset sale of $83.7 million, which was offset by the gain on asset sale that is classified as investing activities, net non-cash charges of $12.7 million and changes in AVROBIOs operating assets and liabilities of $4.3 million. Net cash used by changes in AVROBIOs operating assets and liabilities for the year ended December 31, 2023 was primarily due to a $6.7 million decrease in accrued expenses and other current liabilities and a $2.5 million decrease in current and non-current operating lease liabilities, partially offset by a $5.2 million decrease in prepaids and other current assets. The non-cash charges included $6.9 million of stock-based compensation expense, $1.9 million in non-cash asset impairment charges, $1.1 million in non-cash interest expense, $1.9 million in non-cash lease expense, and $0.6 million in depreciation and amortization expense.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operating activities used $97.2 million of cash and cash equivalents, resulting from AVROBIOs net loss of $(105.9) million and cash used by changes in AVROBIOs operating assets and liabilities of $7.4 million which was offset by non-cash charges of $16.1 million. Net cash used by changes in AVROBIOs operating assets and liabilities for the year ended December 31, 2022 consists primarily of a $2.5 million decrease in prepaid expenses and other current assets, a $3.9 million decrease in accrued expenses and other currently liabilities, a $3.1 million decrease in accounts payable, and a $2.9 million decrease in current and non-current operating lease liabilities. The increase in accrued expenses and other current liabilities was primarily due to an increase in accrued compensation and benefit costs.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(used in) investing activities was $85.1 million for the year ended December 31, 2023 compared to $(0.3) million for the year ended December 31, 2022. The increase in cash provided by investing activities is related to the net proceeds received for the sale of the cystinosis program in the second quarter of 2023 for proceeds net of transaction costs of $83.7 million, and $1.4 million in proceeds from the sale of property, plant,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by financing activities was $16.0 million for the year ended December 31, 2023 compared to net cash provided by financing activities of $0.3 million for the year ended December 31, 2022. The change is related to the repayment of the Term Loan Agreement in the second quarter of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would expect its expenses to increase substantially in connection with such activities, particularlywith respect to the preclinical activities and clinical trials of AVROBIOs product candidates. AVROBIOs expenses would also increase should AVROBIO: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its development of its product candidates, including enrollment and dosing of patients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initiates clinical trials and preclinical studies for AVROBIOs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and develop or in-license or acquire additional product candidates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to industrialize AVROBIOs HSC gene therapy approach into a robust, scalable and, if approved, commercially viable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marketing approvals for AVROBIOs product candidates that successfully complete clinical trials,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 candidates for which AVROBIO may obtain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and retains additional personnel, such as clinical, quality control, and scientific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expands AVROBIOs infrastructure, office space and facilities to accommodate AVROBIOs employee base, including adding equipment and physical infrastructure to support AVROBIOs research and development;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to incur additional public company-related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such time, if ever, that AVROBIO can generate product revenue sufficient to achieve profitability, AVROBIO expects to finance AVROBIOs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AVROBIOs ability to take specific actions, such as incurring additional debt, making capital expenditures or declaring dividends. If AVROBIO raises additional funds through government and other third-party funding, collaboration agreements, strategic alliances, licensing arrangements or marketing and distribution arrangements, AVROBIO may have to relinquish valuable rights to AVROBIOs technologies, future revenue streams, research programs or product candidates or grant licenses on terms that may not be favorable to AVROBIO. If AVROBIO is unable to raise additional funds through equity or debt financings when needed, AVROBIO may be required to delay, limit, reduce or terminate AVROBIOs product development or future commercialization efforts or grant rights to develop and market products or product candidates that AVROBIO would otherwise prefer to develop and market itself. </w:t>
      </w:r>
    </w:p>
    <w:p>
      <w:pPr>
        <w:pStyle w:val="TextBody"/>
        <w:bidi w:val="0"/>
        <w:spacing w:before="360" w:after="0"/>
        <w:jc w:val="left"/>
        <w:rPr>
          <w:rFonts w:ascii="Times New Roman" w:hAnsi="Times New Roman"/>
          <w:b/>
          <w:sz w:val="20"/>
        </w:rPr>
      </w:pPr>
      <w:bookmarkStart w:id="153" w:name="toc770053_158"/>
      <w:bookmarkEnd w:id="153"/>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AVROBIOs consolidated financial statements are prepared in accordance with GAAP principles in the United States. The preparation of AVROBIOs consolidated financial statements and related disclosures requires AVROBIO to make estimates and judgments that affect the reported amounts of assets, liabilities, revenue, costs and expenses, and the disclosure of contingent assets and liabilities in AVROBIOs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AVROBIO evaluates its estimates and assumptions on an ongoing basis. AVROBIOs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AVROBIOs significant accounting policies are described in more detail in Note 2 </w:t>
      </w:r>
      <w:r>
        <w:rPr>
          <w:rFonts w:ascii="Times New Roman" w:hAnsi="Times New Roman"/>
          <w:i/>
          <w:sz w:val="20"/>
        </w:rPr>
        <w:t>Summary of Significant Accounting Policies</w:t>
      </w:r>
      <w:r>
        <w:rPr>
          <w:rFonts w:ascii="Times New Roman" w:hAnsi="Times New Roman"/>
          <w:sz w:val="20"/>
        </w:rPr>
        <w:t xml:space="preserve"> to AVROBIOs consolidated financial statements appearing in its Annual Report on Form 10-K for the fiscal year ended December 31, 2023, filed with the SEC on March 14, 2024, AVROBIO believes that the following accounting policies are those most critical to the judgments and estimates used in the preparation of AVROBIOs consolidated financial statements.</w:t>
      </w:r>
    </w:p>
    <w:p>
      <w:pPr>
        <w:pStyle w:val="TextBody"/>
        <w:bidi w:val="0"/>
        <w:spacing w:before="360" w:after="0"/>
        <w:jc w:val="left"/>
        <w:rPr>
          <w:rFonts w:ascii="Times New Roman" w:hAnsi="Times New Roman"/>
          <w:b/>
          <w:i/>
          <w:sz w:val="20"/>
        </w:rPr>
      </w:pPr>
      <w:r>
        <w:rPr>
          <w:rFonts w:ascii="Times New Roman" w:hAnsi="Times New Roman"/>
          <w:b/>
          <w:i/>
          <w:sz w:val="20"/>
        </w:rPr>
        <w:t>Accrued 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As part of the process of preparing AVROBIOs consolidated financial statements, AVROBIO is required to estimate its accrued research and development expenses. This process involves reviewing open contracts and purchase orders, communicating with AVROBIOs personnel to identify services that have been performed on AVROBIOs behalf and estimating the level of service performed and the associated cost incurred for the service when AVROBIO has not yet been invoiced or otherwise notified of actual costs. The majority of AVROBIOs service providers invoice AVROBIO in arrears for services performed, on a pre-determined schedule or when contractual milestones are met; however, some require advanced payments. AVROBIO makes estimates of its accrued expenses as of each balance sheet date in the consolidated financial statements based on facts and circumstances known to AVROBIO at that time. AVROBIO periodically confirms the accuracy of these estimates with the service providers and make adjustments if necessary. Examples of estimated accrued research and development expenses include fees paid to:</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vendors, including central laboratories, in connection with preclinical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CROs and investigative sites in connection with preclinical and clinical studies;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CMOs in connection with drug substance and drug product formulation of preclinical and clinical trial materials. </w:t>
            </w:r>
          </w:p>
        </w:tc>
      </w:tr>
    </w:tbl>
    <w:p>
      <w:pPr>
        <w:pStyle w:val="TextBody"/>
        <w:bidi w:val="0"/>
        <w:spacing w:before="240" w:after="0"/>
        <w:jc w:val="left"/>
        <w:rPr>
          <w:rFonts w:ascii="Times New Roman" w:hAnsi="Times New Roman"/>
          <w:sz w:val="20"/>
        </w:rPr>
      </w:pPr>
      <w:r>
        <w:rPr>
          <w:rFonts w:ascii="Times New Roman" w:hAnsi="Times New Roman"/>
          <w:sz w:val="20"/>
        </w:rPr>
        <w:t>AVROBIO bases its expenses related to preclinical studies and clinical trials on AVROBIOs estimates of the services received and efforts expended pursuant to quotes and contracts with multiple research institutions and CROs that conduct and manage preclinical studies and clinical trials on AVROBIOs behalf. The financial terms of these agreements are subject to negotiation, vary from contract to contract and may result in uneven payment flows. There may be instances in which payments made to AVROBIOs vendors will exceed the level of services provided and result in a prepayment of the expense. Payments under some of these contracts depend on factors such as the successful enrollment of patients and the completion of clinical trial milestones. In accruing service fees, AVROBIO estimates the time period over which services will be performed and the level of effort to be expended in each period. If the actual timing of the performance of services or the level of effort varies from the estimate, AVROBIO adjusts the accrual or the amount of prepaid expenses accordingly. Although AVROBIO does not expect its estimates to be materially different from amounts actually incurred, AVROBIOs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AVROBIOs prior estimates of accrued research and development expenses.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Stock-Based Compensation</w:t>
      </w:r>
    </w:p>
    <w:p>
      <w:pPr>
        <w:pStyle w:val="TextBody"/>
        <w:bidi w:val="0"/>
        <w:spacing w:before="120" w:after="0"/>
        <w:jc w:val="left"/>
        <w:rPr>
          <w:rFonts w:ascii="Times New Roman" w:hAnsi="Times New Roman"/>
          <w:sz w:val="20"/>
        </w:rPr>
      </w:pPr>
      <w:r>
        <w:rPr>
          <w:rFonts w:ascii="Times New Roman" w:hAnsi="Times New Roman"/>
          <w:sz w:val="20"/>
        </w:rPr>
        <w:t>AVROBIO measures stock options and other stock-based awards granted to employees and members of the AVROBIO Board for their services as directors based on the fair value on the date of the grant and recognize the corresponding compensation expense of those awards over the requisite service period, which is generally the vesting period of the respective award. AVROBIO has issued stock options, restricted stock and RSUs with service-based vesting conditions.</w:t>
      </w:r>
    </w:p>
    <w:p>
      <w:pPr>
        <w:pStyle w:val="TextBody"/>
        <w:bidi w:val="0"/>
        <w:spacing w:before="240" w:after="0"/>
        <w:jc w:val="left"/>
        <w:rPr>
          <w:rFonts w:ascii="Times New Roman" w:hAnsi="Times New Roman"/>
          <w:sz w:val="20"/>
        </w:rPr>
      </w:pPr>
      <w:r>
        <w:rPr>
          <w:rFonts w:ascii="Times New Roman" w:hAnsi="Times New Roman"/>
          <w:sz w:val="20"/>
        </w:rPr>
        <w:t xml:space="preserve">Modifications to stock-based awards are treated as an exchange of the original award for a new award with total compensation equal to the grant-date fair value of the original award plus any incremental value of the modification. The incremental value is based on the excess of the fair value of the modified award over the fair value of the original award immediately before the modification.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adoption of Accounting Standards Update (ASU) No. 2018-07, </w:t>
      </w:r>
      <w:r>
        <w:rPr>
          <w:rFonts w:ascii="Times New Roman" w:hAnsi="Times New Roman"/>
          <w:i/>
          <w:sz w:val="20"/>
        </w:rPr>
        <w:t>CompensationStock Compensation (Topic 718): Improvements to Nonemployee Share-Based Payment Accounting (ASU 2018-07)</w:t>
      </w:r>
      <w:r>
        <w:rPr>
          <w:rFonts w:ascii="Times New Roman" w:hAnsi="Times New Roman"/>
          <w:sz w:val="20"/>
        </w:rPr>
        <w:t xml:space="preserve">, as discussed in Note 2 </w:t>
      </w:r>
      <w:r>
        <w:rPr>
          <w:rFonts w:ascii="Times New Roman" w:hAnsi="Times New Roman"/>
          <w:i/>
          <w:sz w:val="20"/>
        </w:rPr>
        <w:t>Summary of Significant Accounting Policies</w:t>
      </w:r>
      <w:r>
        <w:rPr>
          <w:rFonts w:ascii="Times New Roman" w:hAnsi="Times New Roman"/>
          <w:sz w:val="20"/>
        </w:rPr>
        <w:t xml:space="preserve"> to AVROBIOs consolidated financial statements appearing in AVROBIOs Annual Report on Form 10-K for the fiscal year ended December 31, 2023, filed with the SEC on March 14, 2024, the measurement date for non-employee awards was generally the date the services were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pStyle w:val="TextBody"/>
        <w:bidi w:val="0"/>
        <w:spacing w:before="240" w:after="0"/>
        <w:jc w:val="left"/>
        <w:rPr>
          <w:rFonts w:ascii="Times New Roman" w:hAnsi="Times New Roman"/>
          <w:sz w:val="20"/>
        </w:rPr>
      </w:pPr>
      <w:r>
        <w:rPr>
          <w:rFonts w:ascii="Times New Roman" w:hAnsi="Times New Roman"/>
          <w:sz w:val="20"/>
        </w:rPr>
        <w:t>AVROBIO estimates the fair value of each stock option grant using the Black-Scholes option-pricing model, which uses as inputs the estimated fair value of AVROBIO common stock and assumptions AVROBIO makes for the volatility of AVROBIO common stock, the expected term of AVROBIO stock options, the risk-free interest rate for a period that approximates the expected term of AVROBIO stock options and AVROBIO expected dividend yield.</w:t>
      </w:r>
    </w:p>
    <w:p>
      <w:pPr>
        <w:pStyle w:val="TextBody"/>
        <w:bidi w:val="0"/>
        <w:spacing w:before="240" w:after="0"/>
        <w:jc w:val="left"/>
        <w:rPr>
          <w:rFonts w:ascii="Times New Roman" w:hAnsi="Times New Roman"/>
          <w:sz w:val="20"/>
        </w:rPr>
      </w:pPr>
      <w:r>
        <w:rPr>
          <w:rFonts w:ascii="Times New Roman" w:hAnsi="Times New Roman"/>
          <w:sz w:val="20"/>
        </w:rPr>
        <w:t>AVROBIO determined the assumptions for the Black-Scholes option-pricing model as discussed below. Each of these inputs is subjective and generally requires significant judgment to determine.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Determination of the Fair Value of Common Stock.</w:t>
            </w:r>
            <w:r>
              <w:rPr>
                <w:rFonts w:ascii="Times New Roman" w:hAnsi="Times New Roman"/>
                <w:sz w:val="20"/>
              </w:rPr>
              <w:t xml:space="preserve"> The fair value of AVROBIO common stock is determined based on the quoted market price of AVROBIO common stock. Prior to AVROBIOs IPO, there was no public market for AVROBIO common stock, and consequently, the estimated fair value of AVROBIO common stock was determined by the AVROBIO Board as of the date of each option grant, with input from management, considering third-party valuations of AVROBIO common stock as well as the AVROBIO Boards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Following the closing of AVROBIOs IPO, it was no longer necessary for the AVROBIO Board to estimate the fair market value of AVROBIO common stock in connection with AVROBIOs accounting for granted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 The expected term represents the period that the stock-based awards are expected to be outstanding. The expected term of stock options granted has been determined using the simplified method, which uses the midpoint between the vesting date and the contractual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 The risk-free interest rate is based on the U.S. Treasury yield curve in effect at the date of grant for zero-coupon U.S. Treasury constant maturity notes with terms approximately equal to the stock-based awards expected term.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 Because AVROBIO does not have long-term trading history of AVROBIOs common stock, the expected volatility was derived from the average historical stock volatilities of several public companies within AVROBIOs industry that AVROBIO considers to be comparable to AVROBIOs business over a period equivalent to the expected term of the stock-based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Dividend Rate.</w:t>
            </w:r>
            <w:r>
              <w:rPr>
                <w:rFonts w:ascii="Times New Roman" w:hAnsi="Times New Roman"/>
                <w:sz w:val="20"/>
              </w:rPr>
              <w:t xml:space="preserve"> The expected dividend is zero as AVROBIO has not paid and does not anticipate paying any dividends in the foreseeable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assumptions used in the Black-Scholes model change significantly, stock-based compensation for future awards may differ materially compared with the awards granted previously.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during the periods presented, and we do not currently have, any off-balance sheet arrangements, as defined in the rules and regulations of the SEC. </w:t>
      </w:r>
    </w:p>
    <w:p>
      <w:pPr>
        <w:pStyle w:val="TextBody"/>
        <w:bidi w:val="0"/>
        <w:spacing w:before="360" w:after="0"/>
        <w:jc w:val="left"/>
        <w:rPr>
          <w:rFonts w:ascii="Times New Roman" w:hAnsi="Times New Roman"/>
          <w:b/>
          <w:sz w:val="20"/>
        </w:rPr>
      </w:pPr>
      <w:bookmarkStart w:id="154" w:name="toc770053_159"/>
      <w:bookmarkEnd w:id="154"/>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AVROBIOs financial position and results of operations is disclosed in AVROBIOs consolidated financial statements beginning on page F-1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5" w:name="toc770053_160"/>
      <w:bookmarkEnd w:id="155"/>
      <w:r>
        <w:rPr>
          <w:rFonts w:ascii="Times New Roman" w:hAnsi="Times New Roman"/>
          <w:b/>
          <w:sz w:val="20"/>
        </w:rPr>
        <w:t xml:space="preserve">TECTONIC 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Tectonics financial condition and results of operations together with the sectioned titled Tectonics Business and Tectonics financial statements and the related notes appearing elsewhere in this proxy statement/prospectus. Some of the information contained in this discussion and analysis or set forth elsewhere in this proxy statement/prospectus, including information with respect to Tectonics plans and strategy for its business and related financing, includes forward-looking statements that involve risks, uncertainties, and assumptions. As a result of many factors, including those factors set forth in the section titled Risk FactorsRisks Related to Tectonic, Tectonics actual results could differ materially from the results described in or implied by these forward-looking statements. You should carefully read the section titled Risk FactorsRisks Related to Tectonic to gain an understanding of the factors that could cause actual results to differ materially from Tectonics forward-looking statements. Please also see the section titled Cautionary Note Regarding Forward-Looking Statements. </w:t>
      </w:r>
    </w:p>
    <w:p>
      <w:pPr>
        <w:pStyle w:val="TextBody"/>
        <w:bidi w:val="0"/>
        <w:spacing w:before="360" w:after="0"/>
        <w:jc w:val="left"/>
        <w:rPr>
          <w:rFonts w:ascii="Times New Roman" w:hAnsi="Times New Roman"/>
          <w:b/>
          <w:sz w:val="20"/>
        </w:rPr>
      </w:pPr>
      <w:bookmarkStart w:id="156" w:name="toc770053_161"/>
      <w:bookmarkEnd w:id="156"/>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rPr>
      </w:pPr>
      <w:r>
        <w:rPr>
          <w:rFonts w:ascii="Times New Roman" w:hAnsi="Times New Roman"/>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Tectonic uses its proprietary GEODe technology platform in an attempt to overcome the known challenges of GPCR-targeted drug discovery. </w:t>
      </w:r>
    </w:p>
    <w:p>
      <w:pPr>
        <w:pStyle w:val="TextBody"/>
        <w:bidi w:val="0"/>
        <w:spacing w:before="240" w:after="0"/>
        <w:jc w:val="left"/>
        <w:rPr>
          <w:rFonts w:ascii="Times New Roman" w:hAnsi="Times New Roman"/>
          <w:sz w:val="20"/>
        </w:rPr>
      </w:pPr>
      <w:r>
        <w:rPr>
          <w:rFonts w:ascii="Times New Roman" w:hAnsi="Times New Roman"/>
          <w:sz w:val="20"/>
        </w:rPr>
        <w:t xml:space="preserve">Tectonics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therapeutic potential in the treatment of cardiovascular disease. Unfortunately, the development of a viable therapeutic has been challenging, primarily because of relaxins very short half-life. Tectonic believes TX45s pharmacological profile, the direct result of applying Tectonics protein engineering capabilities, has the potential to, can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/HFpEF hereafter, as the initial disease setting. Tectonic hypothesizes that in this setting, treatment with relaxin could improve hemodynamics through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that the platform may never result in the regulatory approval of a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Since Tectonics inception in 2019, Tectonics operations have focused on organizing and staffing the company, business planning, raising capital, establishing Tectonics intellectual property portfolio and conducting preclinical studies and clinical trials. Tectonic does not have any product candidates approved for sale and has not generated any revenue from product sales. Tectonic has funded its operations primarily with proceeds from sales of Series A-1, A-2, A-3, and A-4 convertible preferred stock (collectively, the Preferred Stock), proceeds from issuance of convertible promissory notes, which were all converted to convertible preferred stock in March 2021 and proceeds from issuance of SAFEs in October and December 2023. From inception through December 31, 2023, Tectonic has received $114.7 million in capital contributions from sales of Preferred Stock, issuance of convertible promissory notes, and proceeds from issuance of SAFEs. As of December 31, 2023, Tectonic had $28.8 million in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Tectonic has incurred significant operating losses. Tectonics net losses were $42.8 million and $32.2 million for the years ended December 31, 2023 and 2022, respectively. As of December 31, 2023, Tectonic had an accumulated deficit of $90.6 million. Tectonic expects to continue to incur significant expenses and operating losses for the foreseeable future. Tectonic anticipates that its expenses will increase significantly in connection with its ongoing activities, as Tectonic: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Tectonics ongoing and planned research and development of Tectonics lead product candidate TX45 and Tectonics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initiates preclinical studies and clinical trials for any additional product candidates that Tectonic may pursue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to discover and develop additional product candidates and further expand Tectonics clinical product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regulatory approvals for any product candidates that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to scale up internal and external manufacturing capacity with the aim of securing sufficient quantities to meet Tectonics capacity requirements for clinical trials and eventual potential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sales, marketing and distribution infrastructure to commercialize any product candidate for which Tectonic may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expands and protects Tectonics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other product candidates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clinical, quality control and manufacturing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clinical, operational, financial and management information systems and personnel, including personnel to support Tectonics product development and planned future commercialization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incurs additional legal, accounting, investor relations and other expenses associated with operating as a public company following the completion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will not generate revenue from product sales unless and until Tectonic successfully completes clinical development and obtains regulatory approval for one or more of Tectonics product candidates. If Tectonic obtains regulatory approval for any of Tectonics product candidates and does not enter into a commercialization partnership, Tectonic expects to incur significant expenses related to developing Tectonics internal commercialization capability to support product sales, marketing and distribution. Further, following the completion of the merger, the combined company will continue to incur additional costs associated with operating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As a result, Tectonic will need substantial additional funding to support Tectonics continuing operations and pursue Tectonics growth strategy. Until such time as Tectonic can generate significant revenue from product sales, if ever, Tectonic expects to finance its operations through a combination of public or private equity offerings, debt financings or other capital sources, which may include collaborations with other companies, marketing, distribution or licensing arrangements with third parties, or other strategic transactions. Tectonic may be unable to raise additional funds or enter into such other agreements or arrangements when needed on favorable terms, or at all. If Tectonic fails to raise capital or enter into such agreements as and when needed, Tectonic may have to significantly delay, reduce or eliminate its product discovery and development programs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pharmaceutical product development, Tectonic is unable to accurately predict the timing or amount of increased expenses or when or if Tectonic will be able to achieve or maintain profitability. Even if Tectonic is able to generate product sales, Tectonic may not become profitable. If Tectonic fails to become profitable or is unable to sustain profitability on a continuing basis, then Tectonic may be unable to continue its operations at planned levels and be forced to reduce or terminate Tectonics operations. </w:t>
      </w:r>
    </w:p>
    <w:p>
      <w:pPr>
        <w:pStyle w:val="TextBody"/>
        <w:bidi w:val="0"/>
        <w:spacing w:before="240" w:after="0"/>
        <w:jc w:val="left"/>
        <w:rPr>
          <w:rFonts w:ascii="Times New Roman" w:hAnsi="Times New Roman"/>
          <w:sz w:val="20"/>
        </w:rPr>
      </w:pPr>
      <w:r>
        <w:rPr>
          <w:rFonts w:ascii="Times New Roman" w:hAnsi="Times New Roman"/>
          <w:sz w:val="20"/>
        </w:rPr>
        <w:t>Tectonic expects that its existing cash and cash equivalents upon completion of the merger and Tectonics private financings will enable it to fund its operating expenses and capital expenditure requirements into mid-2027. Tectonic has based this estimate on assumptions that may prove to be wrong, and Tectonic could exhaust its available capital resources sooner than Tectonic expects. See </w:t>
      </w:r>
      <w:r>
        <w:rPr>
          <w:rFonts w:ascii="Times New Roman" w:hAnsi="Times New Roman"/>
          <w:i/>
          <w:sz w:val="20"/>
        </w:rPr>
        <w:t>Liquidity and Capital Resources</w:t>
      </w:r>
      <w:r>
        <w:rPr>
          <w:rFonts w:ascii="Times New Roman" w:hAnsi="Times New Roman"/>
          <w:sz w:val="20"/>
        </w:rPr>
        <w:t> and </w:t>
      </w:r>
      <w:r>
        <w:rPr>
          <w:rFonts w:ascii="Times New Roman" w:hAnsi="Times New Roman"/>
          <w:i/>
          <w:sz w:val="20"/>
        </w:rPr>
        <w:t>Risk FactorsRisks Related to Tectonics Financial Position and Need for Additional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Tectonic does not complete the merger, it plans to seek additional funding through private equity financings, debt financings or other capital sources, including collaboration agreements, strategic alliances and licensing arrangements. Tectonic may not be able to obtain financing on acceptable terms, or at all. As of December 31, 2023, Tectonic expects that its existing cash and cash equivalents will not be sufficient to fund Tectonics current and planned operations for at least the next twelve months following the issuance date of its consolidated financial statements. Tectonic will need to raise additional capital to finance Tectonics operations, which cannot be assured. Tectonic concluded as of March 25, 2024, the issuance date of Tectonics consolidated financial statements for the year ended December 31, 2023, that this circumstance raises substantial doubt about Tectonics ability to continue as a going concern within twelve months of the issuance date of those financial statements. See Note 1 to Tectonics annual consolidated financial statements appearing at the end of this proxy statement/prospectus for additional information on Tectonics assessment. </w:t>
      </w:r>
    </w:p>
    <w:p>
      <w:pPr>
        <w:pStyle w:val="TextBody"/>
        <w:bidi w:val="0"/>
        <w:spacing w:before="240" w:after="0"/>
        <w:jc w:val="left"/>
        <w:rPr>
          <w:rFonts w:ascii="Times New Roman" w:hAnsi="Times New Roman"/>
          <w:sz w:val="20"/>
        </w:rPr>
      </w:pPr>
      <w:r>
        <w:rPr>
          <w:rFonts w:ascii="Times New Roman" w:hAnsi="Times New Roman"/>
          <w:sz w:val="20"/>
        </w:rPr>
        <w:t xml:space="preserve">Similarly, in its report on Tectonics consolidated financial statements for the year ended December 31, 2023, Tectonics independent auditor includes an explanatory paragraph stating that Tectonics recurring losses from operations since inception, expectation of generating operating losses in the foreseeable future and need for additional capital to finance Tectonics future operations raise substantial doubt about Tectonics ability to continue as a going concern.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57" w:name="toc770053_162"/>
      <w:bookmarkEnd w:id="157"/>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Tectonic entered into the Merger Agreement with AVROBIO and Merger Sub. Pursuant to the Merger Agreement, and subject to the satisfaction or waiver of the conditions described in the Merger Agreement, Merger Sub will merge with and into Tectonic, with Tectonic surviving as a wholly owned subsidiary of AVROBIO. The Merger Agreement and the transactions contemplated therein were approved by the members of the AVROBIO Board and Tectonic Board.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at the effective time, (a) each outstanding share of Tectonic common stock (including shares of Tectonic common stock issued upon conversion of Tectonic preferred stock and the private financing shares) will be converted into the right to receive a number of shares of AVROBIO common stock equal to the exchange ratio; and (b) each then outstanding Tectonic stock option that is outstanding and unexercised immediately prior to the effective time will be assumed by AVROBIO, subject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execution of the Merger Agreement, certain investors of Tectonic have entered into a Subscription Agreement with Tectonic, pursuant to which such investors have agreed to purchase Tectonic common stock at a price of $12.39908 per share, and will consummate purchases of Tectonic common stock pursuant to the terms of the Subscription Agreement, for an aggregate purchase price of approximately $96.6 million. The Subscription Agreement is expected to be consummated immediately prior to the closing of the merger. The Subscription Agreement is conditioned upon the satisfaction or waiver of all conditions to the closing of the merger as set forth in the Merger Agreement as well as certain other conditions. The closing of the merger is conditioned upon the satisfaction or waiver of the receipt of cash proceeds not less than $114.5 million in connection with the consummation of the transactions contemplated by the private financings. The shares of Tectonic common stock that are issued pursuant to the Subscription Agreement will be converted into shares of AVROBIO common stock upon the closing of the merger. </w:t>
      </w:r>
    </w:p>
    <w:p>
      <w:pPr>
        <w:pStyle w:val="TextBody"/>
        <w:bidi w:val="0"/>
        <w:spacing w:before="360" w:after="0"/>
        <w:jc w:val="left"/>
        <w:rPr>
          <w:rFonts w:ascii="Times New Roman" w:hAnsi="Times New Roman"/>
          <w:b/>
          <w:sz w:val="20"/>
        </w:rPr>
      </w:pPr>
      <w:bookmarkStart w:id="158" w:name="toc770053_163"/>
      <w:bookmarkEnd w:id="158"/>
      <w:r>
        <w:rPr>
          <w:rFonts w:ascii="Times New Roman" w:hAnsi="Times New Roman"/>
          <w:b/>
          <w:sz w:val="20"/>
        </w:rPr>
        <w:t xml:space="preserve">Macroeconomic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global economy presents significant risks to Tectonics business. Tectonic is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Tectonic is closely monitoring the impact of the current macroeconomic conditions on all aspects of its business, including the impacts on Tectonics participants in its clinical trials, employees, suppliers, vendors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collaboration partners, the ultimate extent of the impact on Tectonics business remains highly uncertain and will depend on future developments and factors that continue to evolve. Most of these developments and factors are outside Tectonics control and could exist for an extended period of time. Tectonic will continue to evaluate the nature and extent of the potential impacts to Tectonics business, results of operations, liquidity and capital resources.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Tectonic has not generated any revenue since its inception and does not expect to generate any revenue from the sale of products in the foreseeable future, if at all. If Tectonics development efforts for its product candidates are successful and result in regulatory approval, or in collaboration or license agreements with third parties, Tectonic may generate revenue in the future from product sales or payments from collaboration or license agreements that Tectonic may enter into with third parties, or any combination thereof. Tectonic cannot predict if, when or to what extent Tectonic will generate revenue from the commercialization and sale of Tectonics product candidates. Tectonic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of costs incurred for Tectonics research activities, including Tectonics discovery efforts and the development of its programs and platform.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related benefits and share-based compensation expense, for employees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research and the preclinical and clinical development of Tectonics programs and Tectonics product candidates, including under agreements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consumables and other research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related to research and development activities, which include direct or allocated expenses for rent and maintenance of facilities, and utilities;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made under third-party licensing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 expenses all research and development costs in the periods in which they are incurred. Costs for certain development activities are recognized based on Tectonics evaluation of the progress to completion of specific tasks using information and data provided to Tectonic by Tectonics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240" w:after="0"/>
        <w:jc w:val="left"/>
        <w:rPr>
          <w:rFonts w:ascii="Times New Roman" w:hAnsi="Times New Roman"/>
          <w:sz w:val="20"/>
        </w:rPr>
      </w:pPr>
      <w:r>
        <w:rPr>
          <w:rFonts w:ascii="Times New Roman" w:hAnsi="Times New Roman"/>
          <w:sz w:val="20"/>
        </w:rPr>
        <w:t xml:space="preserve">Tectonics direct research and development expenses relate to the development of Tectonics lead product candidate, TX45, as well as the nonclinical safety pharmacology and toxicology testing of Tectonics product candidates. Tectonics external services expenses consist of the external costs and fees paid to consultants and other research laboratories in connection with Tectonics preclinical development and clinical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Costs that are deployed across multiple of Tectonics programs, including the HHT program and programs aimed at the discovery and development of potential therapies for fibrotic disease, and its platform technology and are not directly attributable to any single program are not allocated to any single program and, as such, are not separately classified. These costs include multi-program employee costs, cross-program payments made under third-party licensing agreements, costs of laboratory supplies and facilities expenses, including rent, depreciation and other indirect costs, The costs of Tectonics discovery efforts and projects are included in unallocated employee-related expenses, laboratory supplies and other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personnel-related costs, including share-based compensation, for Tectonics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travel expenses, office and information technology costs and facilities, depreciation and other expenses related to general and administrative activities, which include direct or allocated expenses for rent and maintenance of facilities and utilities. </w:t>
      </w:r>
    </w:p>
    <w:p>
      <w:pPr>
        <w:pStyle w:val="TextBody"/>
        <w:bidi w:val="0"/>
        <w:spacing w:before="240" w:after="0"/>
        <w:jc w:val="left"/>
        <w:rPr>
          <w:rFonts w:ascii="Times New Roman" w:hAnsi="Times New Roman"/>
          <w:sz w:val="20"/>
        </w:rPr>
      </w:pPr>
      <w:r>
        <w:rPr>
          <w:rFonts w:ascii="Times New Roman" w:hAnsi="Times New Roman"/>
          <w:sz w:val="20"/>
        </w:rPr>
        <w:t xml:space="preserve">Tectonic anticipates that its general and administrative expenses will increase in the future as the combined company is expected to incur significantly increased accounting, audit, legal, regulatory, compliance, director and officer insurance, and investor and public relations expenses associated with operating as a public company. Tectonic also expects to incur additional intellectual property-related expenses as Tectonic files patent applications to protect innovations arising from Tectonics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Preferred Stock Tranche Liability Gain </w:t>
      </w:r>
    </w:p>
    <w:p>
      <w:pPr>
        <w:pStyle w:val="TextBody"/>
        <w:bidi w:val="0"/>
        <w:spacing w:before="120" w:after="0"/>
        <w:jc w:val="left"/>
        <w:rPr>
          <w:rFonts w:ascii="Times New Roman" w:hAnsi="Times New Roman"/>
          <w:sz w:val="20"/>
        </w:rPr>
      </w:pPr>
      <w:r>
        <w:rPr>
          <w:rFonts w:ascii="Times New Roman" w:hAnsi="Times New Roman"/>
          <w:sz w:val="20"/>
        </w:rPr>
        <w:t xml:space="preserve">As part of Tectonics issuance of preferred stock, Tectonic provided the investors with the right to purchase additional shares of Series A-1 and Series A-2 convertible preferred stock upon the approval of the Tectonic Board and a majority vote of the holders of the preferred stock. Tectonic recorded this right and obligation to the investors as a preferred stock tranche liability on its consolidated balance sheets and initially recorded the liability at its fair value upon the issuance date of the Preferred Stock. Tectonic remeasured its preferred stock tranche liability to fair value at each reporting date and recognize the changes in fair value as a component of other income (expense), net in Tectonics consolidated statements of operations and comprehensive loss. The tranche liability was settled in September 2022.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was no outstanding preferred stock tranche liability, as all tranche rights were exercised and the associated liability was settled during the year ended December 31, 2022. </w:t>
      </w:r>
    </w:p>
    <w:p>
      <w:pPr>
        <w:pStyle w:val="TextBody"/>
        <w:bidi w:val="0"/>
        <w:spacing w:before="360" w:after="0"/>
        <w:jc w:val="left"/>
        <w:rPr>
          <w:rFonts w:ascii="Times New Roman" w:hAnsi="Times New Roman"/>
          <w:i/>
          <w:sz w:val="20"/>
        </w:rPr>
      </w:pPr>
      <w:r>
        <w:rPr>
          <w:rFonts w:ascii="Times New Roman" w:hAnsi="Times New Roman"/>
          <w:i/>
          <w:sz w:val="20"/>
        </w:rPr>
        <w:t xml:space="preserve">Loss on Issuance of SAFEs and 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Tectonic issued SAFEs for proceeds of $34.1 million. The SAFEs were recorded as liabilities in the consolidated balance sheet at their fair value on the issuance dates. Until redemption, the SAFEs are measured at a fair value on a recurring basis, with subsequent changes in fair value recorded in other income and expenses on the consolidated statement of operations and comprehensive loss.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primarily consists of interest earned on Tectonics invested cash balances, which consist of deposit accounts and a sweep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primarily consists of interest expense on finance lease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primarily consists of the difference between transactional currency and functional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Since Tectonics inception, it has not recorded any income tax benefits for the net losses it has incurred or for the research and development tax credits earned in each year by Tectonics operations in the United States, as Tectonic believes, based upon the weight of available evidence, that it is more likely than not that all of Tectonics net operating loss carryforwards and tax credit carryforwards will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Tectonic had federal net operating loss carryforwards of $43.6 million and $29.0 million, respectively. As of December 31, 2023 and 2022, Tectonic had state net operating loss carryforwards of $35.3 million and $26.5 million, respectively. Tectonics federal net operating loss carryforwards may be carried forward indefinitely. Tectonics state net operating loss carryforwards begin to expire in 2039. As of December 31, 2023, Tectonic capitalized $36.2 million of research and development expenses under the Tax Cuts Jobs Act. Tectonic has recorded a full valuation against Tectonics net deferred tax assets at each balance sheet date. </w:t>
      </w:r>
    </w:p>
    <w:p>
      <w:pPr>
        <w:pStyle w:val="TextBody"/>
        <w:bidi w:val="0"/>
        <w:spacing w:before="360" w:after="0"/>
        <w:jc w:val="left"/>
        <w:rPr>
          <w:rFonts w:ascii="Times New Roman" w:hAnsi="Times New Roman"/>
          <w:b/>
          <w:sz w:val="20"/>
        </w:rPr>
      </w:pPr>
      <w:bookmarkStart w:id="159" w:name="toc770053_164"/>
      <w:bookmarkEnd w:id="159"/>
      <w:r>
        <w:rPr>
          <w:rFonts w:ascii="Times New Roman" w:hAnsi="Times New Roman"/>
          <w:b/>
          <w:sz w:val="20"/>
        </w:rPr>
        <w:t xml:space="preserve">Components of Tectonics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Years Ended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Tectonics results of operations for the years ended December 31, 2023 and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01"/>
        <w:gridCol w:w="269"/>
        <w:gridCol w:w="140"/>
        <w:gridCol w:w="807"/>
        <w:gridCol w:w="155"/>
        <w:gridCol w:w="269"/>
        <w:gridCol w:w="225"/>
        <w:gridCol w:w="1284"/>
        <w:gridCol w:w="155"/>
        <w:gridCol w:w="269"/>
        <w:gridCol w:w="140"/>
        <w:gridCol w:w="807"/>
        <w:gridCol w:w="155"/>
        <w:gridCol w:w="269"/>
        <w:gridCol w:w="60"/>
        <w:gridCol w:w="702"/>
        <w:gridCol w:w="281"/>
      </w:tblGrid>
      <w:tr>
        <w:trPr/>
        <w:tc>
          <w:tcPr>
            <w:tcW w:w="3401"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40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880" w:type="dxa"/>
            <w:gridSpan w:val="6"/>
            <w:tcBorders>
              <w:bottom w:val="single" w:sz="8" w:space="0" w:color="000000"/>
            </w:tcBorders>
            <w:tcMar>
              <w:bottom w:w="28" w:type="dxa"/>
            </w:tcMar>
            <w:vAlign w:val="bottom"/>
          </w:tcPr>
          <w:p>
            <w:pPr>
              <w:pStyle w:val="TableContents"/>
              <w:bidi w:val="0"/>
              <w:spacing w:before="0" w:after="283"/>
              <w:jc w:val="center"/>
              <w:rPr/>
            </w:pPr>
            <w:r>
              <w:rPr>
                <w:b/>
              </w:rPr>
              <w:t xml:space="preserve">Year Ended </w:t>
            </w:r>
            <w:r>
              <w:rPr/>
              <w:br/>
            </w:r>
            <w:r>
              <w:rPr>
                <w:b/>
              </w:rPr>
              <w:t>December 31,</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340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340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09" w:type="dxa"/>
            <w:gridSpan w:val="2"/>
            <w:tcBorders/>
            <w:vAlign w:val="bottom"/>
          </w:tcPr>
          <w:p>
            <w:pPr>
              <w:pStyle w:val="TableContents"/>
              <w:bidi w:val="0"/>
              <w:spacing w:before="0" w:after="283"/>
              <w:jc w:val="center"/>
              <w:rPr>
                <w:b/>
              </w:rPr>
            </w:pPr>
            <w:r>
              <w:rPr>
                <w:b/>
              </w:rPr>
              <w:t>(in thousands)</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3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0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40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36,966</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25,654</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11,312</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44</w:t>
            </w:r>
          </w:p>
        </w:tc>
        <w:tc>
          <w:tcPr>
            <w:tcW w:w="281" w:type="dxa"/>
            <w:tcBorders/>
            <w:vAlign w:val="bottom"/>
          </w:tcPr>
          <w:p>
            <w:pPr>
              <w:pStyle w:val="TableContents"/>
              <w:bidi w:val="0"/>
              <w:spacing w:before="0" w:after="283"/>
              <w:jc w:val="left"/>
              <w:rPr/>
            </w:pPr>
            <w:r>
              <w:rPr/>
              <w:t>% </w:t>
            </w:r>
          </w:p>
        </w:tc>
      </w:tr>
      <w:tr>
        <w:trPr/>
        <w:tc>
          <w:tcPr>
            <w:tcW w:w="3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7,682</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7,176</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506</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7</w:t>
            </w:r>
          </w:p>
        </w:tc>
        <w:tc>
          <w:tcPr>
            <w:tcW w:w="281" w:type="dxa"/>
            <w:tcBorders/>
            <w:shd w:fill="CCEEFF" w:val="clear"/>
            <w:vAlign w:val="bottom"/>
          </w:tcPr>
          <w:p>
            <w:pPr>
              <w:pStyle w:val="TableContents"/>
              <w:bidi w:val="0"/>
              <w:spacing w:before="0" w:after="283"/>
              <w:jc w:val="left"/>
              <w:rPr/>
            </w:pPr>
            <w:r>
              <w:rPr/>
              <w:t> </w:t>
            </w:r>
          </w:p>
        </w:tc>
      </w:tr>
      <w:tr>
        <w:trPr/>
        <w:tc>
          <w:tcPr>
            <w:tcW w:w="3401"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40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44,648</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32,830</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11,818</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36</w:t>
            </w:r>
          </w:p>
        </w:tc>
        <w:tc>
          <w:tcPr>
            <w:tcW w:w="281" w:type="dxa"/>
            <w:tcBorders/>
            <w:vAlign w:val="bottom"/>
          </w:tcPr>
          <w:p>
            <w:pPr>
              <w:pStyle w:val="TableContents"/>
              <w:bidi w:val="0"/>
              <w:spacing w:before="0" w:after="283"/>
              <w:jc w:val="left"/>
              <w:rPr/>
            </w:pPr>
            <w:r>
              <w:rPr/>
              <w:t> </w:t>
            </w:r>
          </w:p>
        </w:tc>
      </w:tr>
      <w:tr>
        <w:trPr/>
        <w:tc>
          <w:tcPr>
            <w:tcW w:w="3401"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(44,648</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(32,830</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(11,818</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36</w:t>
            </w:r>
          </w:p>
        </w:tc>
        <w:tc>
          <w:tcPr>
            <w:tcW w:w="281" w:type="dxa"/>
            <w:tcBorders/>
            <w:shd w:fill="CCEEFF" w:val="clear"/>
            <w:vAlign w:val="bottom"/>
          </w:tcPr>
          <w:p>
            <w:pPr>
              <w:pStyle w:val="TableContents"/>
              <w:bidi w:val="0"/>
              <w:spacing w:before="0" w:after="283"/>
              <w:jc w:val="left"/>
              <w:rPr/>
            </w:pPr>
            <w:r>
              <w:rPr/>
              <w:t> </w:t>
            </w:r>
          </w:p>
        </w:tc>
      </w:tr>
      <w:tr>
        <w:trPr/>
        <w:tc>
          <w:tcPr>
            <w:tcW w:w="3401"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40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2"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643</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(643</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(100</w:t>
            </w:r>
          </w:p>
        </w:tc>
        <w:tc>
          <w:tcPr>
            <w:tcW w:w="281" w:type="dxa"/>
            <w:tcBorders/>
            <w:shd w:fill="CCEEFF" w:val="clear"/>
            <w:vAlign w:val="bottom"/>
          </w:tcPr>
          <w:p>
            <w:pPr>
              <w:pStyle w:val="TableContents"/>
              <w:bidi w:val="0"/>
              <w:spacing w:before="0" w:after="283"/>
              <w:jc w:val="left"/>
              <w:rPr/>
            </w:pPr>
            <w:r>
              <w:rPr/>
              <w:t>) </w:t>
            </w:r>
          </w:p>
        </w:tc>
      </w:tr>
      <w:tr>
        <w:trPr/>
        <w:tc>
          <w:tcPr>
            <w:tcW w:w="3401" w:type="dxa"/>
            <w:tcBorders/>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3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the SAFE liabilities</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1,255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1,255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100</w:t>
            </w:r>
          </w:p>
        </w:tc>
        <w:tc>
          <w:tcPr>
            <w:tcW w:w="281" w:type="dxa"/>
            <w:tcBorders/>
            <w:shd w:fill="CCEEFF" w:val="clear"/>
            <w:vAlign w:val="bottom"/>
          </w:tcPr>
          <w:p>
            <w:pPr>
              <w:pStyle w:val="TableContents"/>
              <w:bidi w:val="0"/>
              <w:spacing w:before="0" w:after="283"/>
              <w:jc w:val="left"/>
              <w:rPr/>
            </w:pPr>
            <w:r>
              <w:rPr/>
              <w:t> </w:t>
            </w:r>
          </w:p>
        </w:tc>
      </w:tr>
      <w:tr>
        <w:trPr/>
        <w:tc>
          <w:tcPr>
            <w:tcW w:w="340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581</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432</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290</w:t>
            </w:r>
          </w:p>
        </w:tc>
        <w:tc>
          <w:tcPr>
            <w:tcW w:w="281" w:type="dxa"/>
            <w:tcBorders/>
            <w:vAlign w:val="bottom"/>
          </w:tcPr>
          <w:p>
            <w:pPr>
              <w:pStyle w:val="TableContents"/>
              <w:bidi w:val="0"/>
              <w:spacing w:before="0" w:after="283"/>
              <w:jc w:val="left"/>
              <w:rPr/>
            </w:pPr>
            <w:r>
              <w:rPr/>
              <w:t> </w:t>
            </w:r>
          </w:p>
        </w:tc>
      </w:tr>
      <w:tr>
        <w:trPr/>
        <w:tc>
          <w:tcPr>
            <w:tcW w:w="3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6</w:t>
            </w:r>
          </w:p>
        </w:tc>
        <w:tc>
          <w:tcPr>
            <w:tcW w:w="281" w:type="dxa"/>
            <w:tcBorders/>
            <w:shd w:fill="CCEEFF" w:val="clear"/>
            <w:vAlign w:val="bottom"/>
          </w:tcPr>
          <w:p>
            <w:pPr>
              <w:pStyle w:val="TableContents"/>
              <w:bidi w:val="0"/>
              <w:spacing w:before="0" w:after="283"/>
              <w:jc w:val="left"/>
              <w:rPr/>
            </w:pPr>
            <w:r>
              <w:rPr/>
              <w:t> </w:t>
            </w:r>
          </w:p>
        </w:tc>
      </w:tr>
      <w:tr>
        <w:trPr/>
        <w:tc>
          <w:tcPr>
            <w:tcW w:w="340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396</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394</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19,700</w:t>
            </w:r>
          </w:p>
        </w:tc>
        <w:tc>
          <w:tcPr>
            <w:tcW w:w="281" w:type="dxa"/>
            <w:tcBorders/>
            <w:vAlign w:val="bottom"/>
          </w:tcPr>
          <w:p>
            <w:pPr>
              <w:pStyle w:val="TableContents"/>
              <w:bidi w:val="0"/>
              <w:spacing w:before="0" w:after="283"/>
              <w:jc w:val="left"/>
              <w:rPr/>
            </w:pPr>
            <w:r>
              <w:rPr/>
              <w:t> </w:t>
            </w:r>
          </w:p>
        </w:tc>
      </w:tr>
      <w:tr>
        <w:trPr/>
        <w:tc>
          <w:tcPr>
            <w:tcW w:w="3401"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1,825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650</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1,175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181</w:t>
            </w:r>
          </w:p>
        </w:tc>
        <w:tc>
          <w:tcPr>
            <w:tcW w:w="281" w:type="dxa"/>
            <w:tcBorders/>
            <w:shd w:fill="CCEEFF" w:val="clear"/>
            <w:vAlign w:val="bottom"/>
          </w:tcPr>
          <w:p>
            <w:pPr>
              <w:pStyle w:val="TableContents"/>
              <w:bidi w:val="0"/>
              <w:spacing w:before="0" w:after="283"/>
              <w:jc w:val="left"/>
              <w:rPr/>
            </w:pPr>
            <w:r>
              <w:rPr/>
              <w:t> </w:t>
            </w:r>
          </w:p>
        </w:tc>
      </w:tr>
      <w:tr>
        <w:trPr/>
        <w:tc>
          <w:tcPr>
            <w:tcW w:w="3401"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40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(42,823</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(32,180</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(10,643</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33</w:t>
            </w:r>
          </w:p>
        </w:tc>
        <w:tc>
          <w:tcPr>
            <w:tcW w:w="281" w:type="dxa"/>
            <w:tcBorders/>
            <w:vAlign w:val="bottom"/>
          </w:tcPr>
          <w:p>
            <w:pPr>
              <w:pStyle w:val="TableContents"/>
              <w:bidi w:val="0"/>
              <w:spacing w:before="0" w:after="283"/>
              <w:jc w:val="left"/>
              <w:rPr/>
            </w:pPr>
            <w:r>
              <w:rPr/>
              <w:t>% </w:t>
            </w:r>
          </w:p>
        </w:tc>
      </w:tr>
      <w:tr>
        <w:trPr/>
        <w:tc>
          <w:tcPr>
            <w:tcW w:w="3401"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02"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97"/>
        <w:gridCol w:w="340"/>
        <w:gridCol w:w="140"/>
        <w:gridCol w:w="730"/>
        <w:gridCol w:w="60"/>
        <w:gridCol w:w="340"/>
        <w:gridCol w:w="251"/>
        <w:gridCol w:w="1277"/>
        <w:gridCol w:w="60"/>
        <w:gridCol w:w="340"/>
        <w:gridCol w:w="140"/>
        <w:gridCol w:w="730"/>
        <w:gridCol w:w="155"/>
        <w:gridCol w:w="340"/>
        <w:gridCol w:w="59"/>
        <w:gridCol w:w="337"/>
        <w:gridCol w:w="292"/>
      </w:tblGrid>
      <w:tr>
        <w:trPr/>
        <w:tc>
          <w:tcPr>
            <w:tcW w:w="3797"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79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98" w:type="dxa"/>
            <w:gridSpan w:val="6"/>
            <w:tcBorders>
              <w:bottom w:val="single" w:sz="8" w:space="0" w:color="000000"/>
            </w:tcBorders>
            <w:tcMar>
              <w:bottom w:w="28" w:type="dxa"/>
            </w:tcMar>
            <w:vAlign w:val="bottom"/>
          </w:tcPr>
          <w:p>
            <w:pPr>
              <w:pStyle w:val="TableContents"/>
              <w:bidi w:val="0"/>
              <w:spacing w:before="0" w:after="283"/>
              <w:jc w:val="center"/>
              <w:rPr/>
            </w:pPr>
            <w:r>
              <w:rPr>
                <w:b/>
              </w:rPr>
              <w:t xml:space="preserve">Year Ended </w:t>
            </w:r>
            <w:r>
              <w:rPr/>
              <w:br/>
            </w:r>
            <w:r>
              <w:rPr>
                <w:b/>
              </w:rPr>
              <w:t>December 31,</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96" w:type="dxa"/>
            <w:gridSpan w:val="2"/>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r>
      <w:tr>
        <w:trPr/>
        <w:tc>
          <w:tcPr>
            <w:tcW w:w="379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92" w:type="dxa"/>
            <w:tcBorders/>
            <w:vAlign w:val="bottom"/>
          </w:tcPr>
          <w:p>
            <w:pPr>
              <w:pStyle w:val="TableContents"/>
              <w:bidi w:val="0"/>
              <w:spacing w:before="0" w:after="283"/>
              <w:jc w:val="left"/>
              <w:rPr/>
            </w:pPr>
            <w:r>
              <w:rPr/>
              <w:t> </w:t>
            </w:r>
          </w:p>
        </w:tc>
      </w:tr>
      <w:tr>
        <w:trPr/>
        <w:tc>
          <w:tcPr>
            <w:tcW w:w="379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528" w:type="dxa"/>
            <w:gridSpan w:val="2"/>
            <w:tcBorders/>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396" w:type="dxa"/>
            <w:gridSpan w:val="2"/>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r>
      <w:tr>
        <w:trPr/>
        <w:tc>
          <w:tcPr>
            <w:tcW w:w="3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research and development expenses by program:</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3797" w:type="dxa"/>
            <w:tcBorders/>
          </w:tcPr>
          <w:p>
            <w:pPr>
              <w:pStyle w:val="TableContents"/>
              <w:bidi w:val="0"/>
              <w:spacing w:before="0" w:after="0"/>
              <w:jc w:val="left"/>
              <w:rPr>
                <w:rFonts w:ascii="Times New Roman" w:hAnsi="Times New Roman"/>
                <w:sz w:val="20"/>
              </w:rPr>
            </w:pPr>
            <w:r>
              <w:rPr>
                <w:rFonts w:ascii="Times New Roman" w:hAnsi="Times New Roman"/>
                <w:sz w:val="20"/>
              </w:rPr>
              <w:t>TX45</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0" w:type="dxa"/>
            <w:tcBorders/>
            <w:vAlign w:val="bottom"/>
          </w:tcPr>
          <w:p>
            <w:pPr>
              <w:pStyle w:val="TableContents"/>
              <w:bidi w:val="0"/>
              <w:spacing w:before="0" w:after="283"/>
              <w:jc w:val="right"/>
              <w:rPr/>
            </w:pPr>
            <w:r>
              <w:rPr/>
              <w:t>20,291</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11,854</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8,437</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right"/>
              <w:rPr/>
            </w:pPr>
            <w:r>
              <w:rPr/>
              <w:t>71</w:t>
            </w:r>
          </w:p>
        </w:tc>
        <w:tc>
          <w:tcPr>
            <w:tcW w:w="292" w:type="dxa"/>
            <w:tcBorders/>
            <w:vAlign w:val="bottom"/>
          </w:tcPr>
          <w:p>
            <w:pPr>
              <w:pStyle w:val="TableContents"/>
              <w:bidi w:val="0"/>
              <w:spacing w:before="0" w:after="283"/>
              <w:jc w:val="left"/>
              <w:rPr/>
            </w:pPr>
            <w:r>
              <w:rPr/>
              <w:t>% </w:t>
            </w:r>
          </w:p>
        </w:tc>
      </w:tr>
      <w:tr>
        <w:trPr/>
        <w:tc>
          <w:tcPr>
            <w:tcW w:w="3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Platform development, early-stage research and unallocated expenses:</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3797" w:type="dxa"/>
            <w:tcBorders/>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10,768</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9,174</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1,594</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right"/>
              <w:rPr/>
            </w:pPr>
            <w:r>
              <w:rPr/>
              <w:t>17</w:t>
            </w:r>
          </w:p>
        </w:tc>
        <w:tc>
          <w:tcPr>
            <w:tcW w:w="292" w:type="dxa"/>
            <w:tcBorders/>
            <w:vAlign w:val="bottom"/>
          </w:tcPr>
          <w:p>
            <w:pPr>
              <w:pStyle w:val="TableContents"/>
              <w:bidi w:val="0"/>
              <w:spacing w:before="0" w:after="283"/>
              <w:jc w:val="left"/>
              <w:rPr/>
            </w:pPr>
            <w:r>
              <w:rPr/>
              <w:t> </w:t>
            </w:r>
          </w:p>
        </w:tc>
      </w:tr>
      <w:tr>
        <w:trPr/>
        <w:tc>
          <w:tcPr>
            <w:tcW w:w="3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1,263</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1,537</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right"/>
              <w:rPr/>
            </w:pPr>
            <w:r>
              <w:rPr/>
              <w:t>(18</w:t>
            </w:r>
          </w:p>
        </w:tc>
        <w:tc>
          <w:tcPr>
            <w:tcW w:w="292" w:type="dxa"/>
            <w:tcBorders/>
            <w:shd w:fill="CCEEFF" w:val="clear"/>
            <w:vAlign w:val="bottom"/>
          </w:tcPr>
          <w:p>
            <w:pPr>
              <w:pStyle w:val="TableContents"/>
              <w:bidi w:val="0"/>
              <w:spacing w:before="0" w:after="283"/>
              <w:jc w:val="left"/>
              <w:rPr/>
            </w:pPr>
            <w:r>
              <w:rPr/>
              <w:t>) </w:t>
            </w:r>
          </w:p>
        </w:tc>
      </w:tr>
      <w:tr>
        <w:trPr/>
        <w:tc>
          <w:tcPr>
            <w:tcW w:w="3797" w:type="dxa"/>
            <w:tcBorders/>
          </w:tcPr>
          <w:p>
            <w:pPr>
              <w:pStyle w:val="TableContents"/>
              <w:bidi w:val="0"/>
              <w:spacing w:before="0" w:after="0"/>
              <w:jc w:val="left"/>
              <w:rPr>
                <w:rFonts w:ascii="Times New Roman" w:hAnsi="Times New Roman"/>
                <w:sz w:val="20"/>
              </w:rPr>
            </w:pPr>
            <w:r>
              <w:rPr>
                <w:rFonts w:ascii="Times New Roman" w:hAnsi="Times New Roman"/>
                <w:sz w:val="20"/>
              </w:rPr>
              <w:t>Facility, supplies and other</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4,644</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3,089</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1,555</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right"/>
              <w:rPr/>
            </w:pPr>
            <w:r>
              <w:rPr/>
              <w:t>50</w:t>
            </w:r>
          </w:p>
        </w:tc>
        <w:tc>
          <w:tcPr>
            <w:tcW w:w="292" w:type="dxa"/>
            <w:tcBorders/>
            <w:vAlign w:val="bottom"/>
          </w:tcPr>
          <w:p>
            <w:pPr>
              <w:pStyle w:val="TableContents"/>
              <w:bidi w:val="0"/>
              <w:spacing w:before="0" w:after="283"/>
              <w:jc w:val="left"/>
              <w:rPr/>
            </w:pPr>
            <w:r>
              <w:rPr/>
              <w:t> </w:t>
            </w:r>
          </w:p>
        </w:tc>
      </w:tr>
      <w:tr>
        <w:trPr/>
        <w:tc>
          <w:tcPr>
            <w:tcW w:w="3797"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r>
        <w:trPr/>
        <w:tc>
          <w:tcPr>
            <w:tcW w:w="3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0" w:type="dxa"/>
            <w:tcBorders/>
            <w:shd w:fill="CCEEFF" w:val="clear"/>
            <w:vAlign w:val="bottom"/>
          </w:tcPr>
          <w:p>
            <w:pPr>
              <w:pStyle w:val="TableContents"/>
              <w:bidi w:val="0"/>
              <w:spacing w:before="0" w:after="283"/>
              <w:jc w:val="right"/>
              <w:rPr/>
            </w:pPr>
            <w:r>
              <w:rPr/>
              <w:t>36,966</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25,654</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0" w:type="dxa"/>
            <w:tcBorders/>
            <w:shd w:fill="CCEEFF" w:val="clear"/>
            <w:vAlign w:val="bottom"/>
          </w:tcPr>
          <w:p>
            <w:pPr>
              <w:pStyle w:val="TableContents"/>
              <w:bidi w:val="0"/>
              <w:spacing w:before="0" w:after="283"/>
              <w:jc w:val="right"/>
              <w:rPr/>
            </w:pPr>
            <w:r>
              <w:rPr/>
              <w:t>11,312</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right"/>
              <w:rPr/>
            </w:pPr>
            <w:r>
              <w:rPr/>
              <w:t>44</w:t>
            </w:r>
          </w:p>
        </w:tc>
        <w:tc>
          <w:tcPr>
            <w:tcW w:w="292" w:type="dxa"/>
            <w:tcBorders/>
            <w:shd w:fill="CCEEFF" w:val="clear"/>
            <w:vAlign w:val="bottom"/>
          </w:tcPr>
          <w:p>
            <w:pPr>
              <w:pStyle w:val="TableContents"/>
              <w:bidi w:val="0"/>
              <w:spacing w:before="0" w:after="283"/>
              <w:jc w:val="left"/>
              <w:rPr/>
            </w:pPr>
            <w:r>
              <w:rPr/>
              <w:t>% </w:t>
            </w:r>
          </w:p>
        </w:tc>
      </w:tr>
      <w:tr>
        <w:trPr/>
        <w:tc>
          <w:tcPr>
            <w:tcW w:w="3797"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337" w:type="dxa"/>
            <w:tcBorders/>
            <w:vAlign w:val="bottom"/>
          </w:tcPr>
          <w:p>
            <w:pPr>
              <w:pStyle w:val="TableContents"/>
              <w:pBdr>
                <w:top w:val="double" w:sz="6"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$37.0 million for the year ended December 31, 2023, as compared to $25.7 million for the year ended December 31, 2022. The increase of $11.3 million was primarily due to an increase of $8.4 million in direct research and development expenses which were specifically attributed to Tectonics lead product candidate, TX45, as it progressed to phase 1 clinical trials in Q4 2023. The $8.4 million increase in research and development expense for TX45 was primarily due to a $3.6 million increase in CDMO costs associated with TX45s clinical trial, $3.1 million in external research costs for additional work with external research providers, and $1.9 million increase in clinical trial CRO costs. The increase was partially offset by $0.8 million reduction in lab supplies costs, achieved by purchasing directly from suppliers rather than through marketplaces. The increase of $1.6 million in personnel related costs was primarily due to Tectonics increased headcount in its research and development functions as Tectonic continued to develop its lead product candidate and expand Tectonics early-stage development product candidate pipeline. The increase of $1.6 million in facility, supplies, and other expenses was primarily due to an increase in facilities costs attributed to increased research activities and an increase in laboratory activities attributable to increased headcount and lead and early-stage product candidate development. The decrease of $0.3 million in external services was primarily due to a decrease in consulting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1"/>
        <w:gridCol w:w="274"/>
        <w:gridCol w:w="140"/>
        <w:gridCol w:w="567"/>
        <w:gridCol w:w="60"/>
        <w:gridCol w:w="274"/>
        <w:gridCol w:w="281"/>
        <w:gridCol w:w="1125"/>
        <w:gridCol w:w="60"/>
        <w:gridCol w:w="274"/>
        <w:gridCol w:w="219"/>
        <w:gridCol w:w="596"/>
        <w:gridCol w:w="155"/>
        <w:gridCol w:w="226"/>
        <w:gridCol w:w="60"/>
        <w:gridCol w:w="259"/>
        <w:gridCol w:w="284"/>
      </w:tblGrid>
      <w:tr>
        <w:trPr/>
        <w:tc>
          <w:tcPr>
            <w:tcW w:w="5351"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535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447" w:type="dxa"/>
            <w:gridSpan w:val="6"/>
            <w:tcBorders>
              <w:bottom w:val="single" w:sz="8" w:space="0" w:color="000000"/>
            </w:tcBorders>
            <w:tcMar>
              <w:bottom w:w="28" w:type="dxa"/>
            </w:tcMar>
            <w:vAlign w:val="bottom"/>
          </w:tcPr>
          <w:p>
            <w:pPr>
              <w:pStyle w:val="TableContents"/>
              <w:bidi w:val="0"/>
              <w:spacing w:before="0" w:after="283"/>
              <w:jc w:val="center"/>
              <w:rPr/>
            </w:pPr>
            <w:r>
              <w:rPr>
                <w:b/>
              </w:rPr>
              <w:t xml:space="preserve">Year Ended </w:t>
            </w:r>
            <w:r>
              <w:rPr/>
              <w:br/>
            </w:r>
            <w:r>
              <w:rPr>
                <w:b/>
              </w:rPr>
              <w:t>December 31,</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19"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4"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70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6" w:type="dxa"/>
            <w:gridSpan w:val="2"/>
            <w:tcBorders/>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19"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r>
      <w:tr>
        <w:trPr/>
        <w:tc>
          <w:tcPr>
            <w:tcW w:w="5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3,944</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3,937</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right"/>
              <w:rPr/>
            </w:pPr>
            <w:r>
              <w:rPr/>
              <w:t>0</w:t>
            </w:r>
          </w:p>
        </w:tc>
        <w:tc>
          <w:tcPr>
            <w:tcW w:w="284" w:type="dxa"/>
            <w:tcBorders/>
            <w:shd w:fill="CCEEFF" w:val="clear"/>
            <w:vAlign w:val="bottom"/>
          </w:tcPr>
          <w:p>
            <w:pPr>
              <w:pStyle w:val="TableContents"/>
              <w:bidi w:val="0"/>
              <w:spacing w:before="0" w:after="283"/>
              <w:jc w:val="left"/>
              <w:rPr/>
            </w:pPr>
            <w:r>
              <w:rPr/>
              <w:t>% </w:t>
            </w:r>
          </w:p>
        </w:tc>
      </w:tr>
      <w:tr>
        <w:trPr/>
        <w:tc>
          <w:tcPr>
            <w:tcW w:w="5351"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2,592</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2,037</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555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right"/>
              <w:rPr/>
            </w:pPr>
            <w:r>
              <w:rPr/>
              <w:t>27</w:t>
            </w:r>
          </w:p>
        </w:tc>
        <w:tc>
          <w:tcPr>
            <w:tcW w:w="284" w:type="dxa"/>
            <w:tcBorders/>
            <w:vAlign w:val="bottom"/>
          </w:tcPr>
          <w:p>
            <w:pPr>
              <w:pStyle w:val="TableContents"/>
              <w:bidi w:val="0"/>
              <w:spacing w:before="0" w:after="283"/>
              <w:jc w:val="left"/>
              <w:rPr/>
            </w:pPr>
            <w:r>
              <w:rPr/>
              <w:t> </w:t>
            </w:r>
          </w:p>
        </w:tc>
      </w:tr>
      <w:tr>
        <w:trPr/>
        <w:tc>
          <w:tcPr>
            <w:tcW w:w="5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related and other</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1,146</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1,202</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right"/>
              <w:rPr/>
            </w:pPr>
            <w:r>
              <w:rPr/>
              <w:t>(5</w:t>
            </w:r>
          </w:p>
        </w:tc>
        <w:tc>
          <w:tcPr>
            <w:tcW w:w="284" w:type="dxa"/>
            <w:tcBorders/>
            <w:shd w:fill="CCEEFF" w:val="clear"/>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5351"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7,682</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25" w:type="dxa"/>
            <w:tcBorders/>
            <w:vAlign w:val="bottom"/>
          </w:tcPr>
          <w:p>
            <w:pPr>
              <w:pStyle w:val="TableContents"/>
              <w:bidi w:val="0"/>
              <w:spacing w:before="0" w:after="283"/>
              <w:jc w:val="right"/>
              <w:rPr/>
            </w:pPr>
            <w:r>
              <w:rPr/>
              <w:t>7,176</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506</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right"/>
              <w:rPr/>
            </w:pPr>
            <w:r>
              <w:rPr/>
              <w:t>7</w:t>
            </w:r>
          </w:p>
        </w:tc>
        <w:tc>
          <w:tcPr>
            <w:tcW w:w="284"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$7.7 million for the year ended December 31, 2023 as compared to $7.2 million for the year ended December 31, 2022. The increase of $0.5 million was primarily due to an increase of $0.6 million in professional and consultant fees related to the SAFE financings and an increase in audit fees during the year ended December 31, 2023, partially offset by a decrease of $0.1 million in facility related costs and other expenses due to decrease in subscription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Preferred Stock Tranche Liability Gain </w:t>
      </w:r>
    </w:p>
    <w:p>
      <w:pPr>
        <w:pStyle w:val="TextBody"/>
        <w:bidi w:val="0"/>
        <w:spacing w:before="120" w:after="0"/>
        <w:jc w:val="left"/>
        <w:rPr>
          <w:rFonts w:ascii="Times New Roman" w:hAnsi="Times New Roman"/>
          <w:sz w:val="20"/>
        </w:rPr>
      </w:pPr>
      <w:r>
        <w:rPr>
          <w:rFonts w:ascii="Times New Roman" w:hAnsi="Times New Roman"/>
          <w:sz w:val="20"/>
        </w:rPr>
        <w:t xml:space="preserve">There was no preferred stock tranche liability gain for the year ended December 31, 2023, as compared to a preferred stock tranche liability gain of $0.6 million for the year ended December 31, 2022, which was due to the remeasurement of the preferred stock tranche liability prior to the exercise of all tranche rights in September 2022. The gain resulted from the remeasurement of the liability through the settlement date. </w:t>
      </w:r>
    </w:p>
    <w:p>
      <w:pPr>
        <w:pStyle w:val="TextBody"/>
        <w:bidi w:val="0"/>
        <w:spacing w:before="360" w:after="0"/>
        <w:jc w:val="left"/>
        <w:rPr>
          <w:rFonts w:ascii="Times New Roman" w:hAnsi="Times New Roman"/>
          <w:i/>
          <w:sz w:val="20"/>
        </w:rPr>
      </w:pPr>
      <w:r>
        <w:rPr>
          <w:rFonts w:ascii="Times New Roman" w:hAnsi="Times New Roman"/>
          <w:i/>
          <w:sz w:val="20"/>
        </w:rPr>
        <w:t xml:space="preserve">Loss on Issuance of SAFEs </w:t>
      </w:r>
    </w:p>
    <w:p>
      <w:pPr>
        <w:pStyle w:val="TextBody"/>
        <w:bidi w:val="0"/>
        <w:spacing w:before="120" w:after="0"/>
        <w:jc w:val="left"/>
        <w:rPr>
          <w:rFonts w:ascii="Times New Roman" w:hAnsi="Times New Roman"/>
          <w:sz w:val="20"/>
        </w:rPr>
      </w:pPr>
      <w:r>
        <w:rPr>
          <w:rFonts w:ascii="Times New Roman" w:hAnsi="Times New Roman"/>
          <w:sz w:val="20"/>
        </w:rPr>
        <w:t xml:space="preserve">The loss on issuance of SAFEs relates to the October SAFEs whose fair value exceeded the proceeds received of $0.3 million on their issuance date.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SAFE liabilities gain of $1.3 million resulted from the remeasurement of the SAFE liabilities to fair value from the issuance date through December 31, 2023.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$0.4 million for the year ended December 31, 2023 compared to the year ended December 31, 2022 due to an increase in interest rates in 2023.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was consistent for the year ended December 31,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increased by $0.4 million for the year ended December 31, 2023 compared to the year ended December 31, 2022 due to an increase in the research and development tax refund applied for with Australia. </w:t>
      </w:r>
    </w:p>
    <w:p>
      <w:pPr>
        <w:pStyle w:val="TextBody"/>
        <w:bidi w:val="0"/>
        <w:spacing w:before="360" w:after="0"/>
        <w:jc w:val="left"/>
        <w:rPr>
          <w:rFonts w:ascii="Times New Roman" w:hAnsi="Times New Roman"/>
          <w:b/>
          <w:sz w:val="20"/>
        </w:rPr>
      </w:pPr>
      <w:bookmarkStart w:id="160" w:name="toc770053_165"/>
      <w:bookmarkEnd w:id="160"/>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Tectonics inception, Tectonic has incurred significant operating losses. Tectonic expects to incur significant expenses and operating losses for the foreseeable future as Tectonic advance the preclinical and clinical development of Tectonics research programs and product candidates. Tectonic expects that its research and development and general and administrative costs will increase in connection with conducting additional preclinical studies and clinical trials for Tectonics current and future research programs and product candidates, contracting with CMOs to support preclinical studies and clinical trials, expanding Tectonics intellectual property portfolio, and providing general and administrative support for Tectonics operations. As a result, Tectonic will need additional capital to fund its operations, which Tectonic may obtain from additional equity or debt financings, collaborations, licensing arrangements or other sources. </w:t>
      </w:r>
    </w:p>
    <w:p>
      <w:pPr>
        <w:pStyle w:val="TextBody"/>
        <w:bidi w:val="0"/>
        <w:spacing w:before="240" w:after="0"/>
        <w:jc w:val="left"/>
        <w:rPr>
          <w:rFonts w:ascii="Times New Roman" w:hAnsi="Times New Roman"/>
          <w:sz w:val="20"/>
        </w:rPr>
      </w:pPr>
      <w:r>
        <w:rPr>
          <w:rFonts w:ascii="Times New Roman" w:hAnsi="Times New Roman"/>
          <w:sz w:val="20"/>
        </w:rPr>
        <w:t xml:space="preserve">Tectonic does not currently have any approved products and has never generated any revenue from product sales. To date, Tectonic has funded its operations primarily through proceeds from sales of preferred stock, proceeds from issuance of convertible promissory notes and proceeds from issuance of SAFEs. From inception through December 31, 2023, Tectonic has received $114.7 million in capital contributions from sales of preferred stock and convertible promissory notes and proceeds from issuance of SAFEs. As of December 31, 2023, Tectonic had $28.8 million in cash and cash equivalents and an accumulated deficit of $90.6 million.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 summary of Tectonics cash flows for the years ended December 31, 2023 and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960"/>
        <w:gridCol w:w="352"/>
        <w:gridCol w:w="180"/>
        <w:gridCol w:w="989"/>
        <w:gridCol w:w="200"/>
        <w:gridCol w:w="375"/>
        <w:gridCol w:w="180"/>
        <w:gridCol w:w="991"/>
        <w:gridCol w:w="161"/>
      </w:tblGrid>
      <w:tr>
        <w:trPr/>
        <w:tc>
          <w:tcPr>
            <w:tcW w:w="596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9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0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915" w:type="dxa"/>
            <w:gridSpan w:val="6"/>
            <w:tcBorders/>
            <w:vAlign w:val="bottom"/>
          </w:tcPr>
          <w:p>
            <w:pPr>
              <w:pStyle w:val="TableContents"/>
              <w:bidi w:val="0"/>
              <w:spacing w:before="0" w:after="283"/>
              <w:jc w:val="center"/>
              <w:rPr>
                <w:b/>
              </w:rPr>
            </w:pPr>
            <w:r>
              <w:rPr>
                <w:b/>
              </w:rPr>
              <w:t>(in thousands)</w:t>
            </w:r>
          </w:p>
        </w:tc>
        <w:tc>
          <w:tcPr>
            <w:tcW w:w="161"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(40,681</w:t>
            </w:r>
          </w:p>
        </w:tc>
        <w:tc>
          <w:tcPr>
            <w:tcW w:w="20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(27,637</w:t>
            </w:r>
          </w:p>
        </w:tc>
        <w:tc>
          <w:tcPr>
            <w:tcW w:w="161" w:type="dxa"/>
            <w:tcBorders/>
            <w:shd w:fill="CCEEFF" w:val="clear"/>
            <w:vAlign w:val="bottom"/>
          </w:tcPr>
          <w:p>
            <w:pPr>
              <w:pStyle w:val="TableContents"/>
              <w:bidi w:val="0"/>
              <w:spacing w:before="0" w:after="283"/>
              <w:jc w:val="left"/>
              <w:rPr/>
            </w:pPr>
            <w:r>
              <w:rPr/>
              <w:t>) </w:t>
            </w:r>
          </w:p>
        </w:tc>
      </w:tr>
      <w:tr>
        <w:trPr/>
        <w:tc>
          <w:tcPr>
            <w:tcW w:w="596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5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(279</w:t>
            </w:r>
          </w:p>
        </w:tc>
        <w:tc>
          <w:tcPr>
            <w:tcW w:w="20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(2,088</w:t>
            </w:r>
          </w:p>
        </w:tc>
        <w:tc>
          <w:tcPr>
            <w:tcW w:w="161"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33,747</w:t>
            </w:r>
          </w:p>
        </w:tc>
        <w:tc>
          <w:tcPr>
            <w:tcW w:w="20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37,628</w:t>
            </w:r>
          </w:p>
        </w:tc>
        <w:tc>
          <w:tcPr>
            <w:tcW w:w="161" w:type="dxa"/>
            <w:tcBorders/>
            <w:shd w:fill="CCEEFF" w:val="clear"/>
            <w:vAlign w:val="bottom"/>
          </w:tcPr>
          <w:p>
            <w:pPr>
              <w:pStyle w:val="TableContents"/>
              <w:bidi w:val="0"/>
              <w:spacing w:before="0" w:after="283"/>
              <w:jc w:val="left"/>
              <w:rPr/>
            </w:pPr>
            <w:r>
              <w:rPr/>
              <w:t> </w:t>
            </w:r>
          </w:p>
        </w:tc>
      </w:tr>
      <w:tr>
        <w:trPr/>
        <w:tc>
          <w:tcPr>
            <w:tcW w:w="5960"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35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16</w:t>
            </w:r>
          </w:p>
        </w:tc>
        <w:tc>
          <w:tcPr>
            <w:tcW w:w="20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35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(7,197</w:t>
            </w:r>
          </w:p>
        </w:tc>
        <w:tc>
          <w:tcPr>
            <w:tcW w:w="20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7,903</w:t>
            </w:r>
          </w:p>
        </w:tc>
        <w:tc>
          <w:tcPr>
            <w:tcW w:w="161" w:type="dxa"/>
            <w:tcBorders/>
            <w:shd w:fill="CCEEFF" w:val="clear"/>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operating activities used $40.7 million of cash, primarily resulting from a net loss of $42.8 million and changes in Tectonics operating assets and liabilities of $0.6 million, offset by non-cash charges of $2.7 million. Non-cash charges primarily consisted of $1.5 million in depreciation and amortization expense, $1.1 million in share-based compensation expense, and $1.1 million in non-cash lease expense, offset by a $1.3 million of change in fair value of the SAFE liabilities Net cash used by changes in Tectonics operating assets and liabilities consisted primarily of a $1.0 million decrease in operating lease liabilities, a $1.0 million increase in prepaid and other current assets, and a $0.2 million decrease in accounts payable, offset by a $1.6 million increase in accrued expenses and other current liabilities. The increase in prepaid and other current assets and accrued and other current liabilities and decrease in accounts payable was primarily due to the timing of vendor and research partner payments and invoicing. The decrease in operating lease liabilities was primarily due to the lease payments made in 2023.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operating activities used $27.6 million of cash, primarily resulting from a net loss of $32.2 million, offset by non-cash charges of $2.7 million and changes in Tectonics operating assets and liabilities of $1.8 million. Non-cash charges primarily consisted of $1.1 million in share-based compensation expense, $1.0 million in depreciation and amortization expense, $0.9 million in non-cash lease expense and $0.4 million in non-cash expense associated with the issuance of common stock for the exchange of a license, partially offset by $0.6 million in preferred stock tranche liability gain. Net cash provided by changes in Tectonics operating assets and liabilities consisted primarily of a $4.5 million increase in accrued expenses and other current liabilities, offset by a $1.2 million decrease in accounts payable and a $1.1 million decrease in operating lease liabilities. The increase in accrued expenses and other current liabilities and decrease in accounts payable were primarily due to the timing of vendor and research partner payments and invoicing. The decrease in operating lease liabilities was primarily due to the lease payments made in 2022.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net cash used in investing activities was $0.3 million and $2.1 million, respectively. The change in net cash used in investing activities during the years ended December 31, 2023 and 2022 was due to a decrease of Tectonics purchases of property, equipment, and improvements, which was driven by efforts of Tectonic to be more conservative with cash available in order to focus on research and development as well as the ongoing expenditures from the merger and SAFE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net cash provided by financing activities was $33.7 million and $37.6 million, respectively. Net cash provided by financing activities during the year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December 31, 2023 was primarily due to Tectonics issuance of SAFEs of $34.1 million, offset by $0.5 million of repayment of finance lease obligations. Net cash provided by financing activities during the year ended December 31, 2022 was primarily due to Tectonics issuance of preferred stock of $38.0 million, offset by $0.4 million of repayment of finance lease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Tectonic expects its expenses to increase in connection with its ongoing activities, particularly as Tectonic continues the research and development of, continue or initiate clinical trials of, and seek marketing approval for, Tectonics product candidates including its lead product candidate TX45. In addition, if Tectonic obtains marketing approval for TX45 or any of its other product candidates, Tectonic expects to incur significant commercialization expenses related to program sales, marketing, manufacturing and distribution to the extent that such sales, marketing and distribution are not the responsibility of potential collaborators. Furthermore, following the completion of the merger, Tectonic expects to incur additional costs associated with operating as a public company. Accordingly, Tectonic will need to obtain substantial additional funding in connection with its continuing operations. If Tectonic is unable to raise capital when needed or on attractive terms, Tectonic would be forced to delay, reduce or eliminate Tectonics research and development programs or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Tectonic expects its existing cash and cash equivalents, together with the net proceeds from the merger, will enable Tectonic to fund its operating expenses and capital expenditure requirements for at least the next twelve months. Tectonics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product discovery,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prioritization and number of Tectonics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Tectonics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establish and maintain collaborations on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the license agreements and any other collaboration agreements Tectonic enters into;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Tectonic is obligated to reimburse, or entitled to reimbursement of, clinical trial costs under collaboration agreements,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Tectonics intellectual property rights and defending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Tectonic acquires or in-license other product candidates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securing manufacturing arrangements for commercial production;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establishing or contracting for sales and marketing capabilities if Tectonic obtains regulatory approvals to market Tectonics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product candidates and conducting preclinical studies and clinical trials is a time-consuming, expensive and uncertain process that takes many years to complete, and Tectonic may never generate the necessary data or results required to obtain marketing approval and achieve product sales. In addition, Tectonics product candidates, if approved, may not achieve commercial success. Tectonics commercial revenues, if any, will be derived from sales of product candidates that Tectonic does not expect to be commercially available for many years, if at all. Accordingly, Tectonic will need to continue to rely on additional financing to achieve its business objectives. Adequate additional financing may not be available to Tectonic on acceptable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Until such time, if ever, as Tectonic can generate substantial product revenues, Tectonic expects to finance its cash needs through a combination of equity offerings, debt financings, collaborations, strategic alliances and licensing arrangements. Debt financing, if available, may involve agreements that include covenants limiting or restricting Tectonics ability to take specific actions, such as incurring additional debt,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Tectonic raises funds through additional collaborations, strategic alliances or licensing arrangements with third parties, Tectonic may have to relinquish valuable rights to Tectonics technologies, future revenue streams, research programs or product candidates or to grant licenses on terms that may not be favorable to Tectonic. If Tectonic is unable to raise additional funds through equity or debt financings when needed, Tectonic may be required to delay, limit, reduce or terminate Tectonics product development or future commercialization efforts or grant rights to develop and market product candidates that Tectonic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merger, Tectonic expects to incur additional costs associated with operating as a public company. In addition, Tectonic anticipates that Tectonic will need substantial additional funding in connection with Tectonics continuing operations. Tectonic projections of operating capital requirements are based on Tectonics current operating plan, which includes several assumptions that may prove to be incorrect and Tectonic may use all of its available capital resources sooner than it expects. </w:t>
      </w:r>
    </w:p>
    <w:p>
      <w:pPr>
        <w:pStyle w:val="TextBody"/>
        <w:bidi w:val="0"/>
        <w:spacing w:before="240" w:after="0"/>
        <w:jc w:val="left"/>
        <w:rPr>
          <w:rFonts w:ascii="Times New Roman" w:hAnsi="Times New Roman"/>
          <w:sz w:val="20"/>
        </w:rPr>
      </w:pPr>
      <w:r>
        <w:rPr>
          <w:rFonts w:ascii="Times New Roman" w:hAnsi="Times New Roman"/>
          <w:sz w:val="20"/>
        </w:rPr>
        <w:t xml:space="preserve">Tectonic currently has no ongoing material financing commitments, such as lines of credit or guarantees, that are expected to affect Tectonics liquidity over the next five years, other than Tectonics lease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Tectonic evaluated certain adverse conditions and events that raise substantial doubt about Tectonics ability to continue as a going concern within twelve months after the date that the accompanying financial statements were issued or available to be issued. Since Tectonics inception, Tectonic has funded its operations primarily with proceeds from the sale of preferred stock, issuance of convertible promissory notes and issuance of SAFEs. Tectonic has also incurred significant recurring losses, including net losses of $42.8 million and $32.2 million for the years ended December 31, 2023 and 2022, respectively. In addition, Tectonic used $40.7 million and $27.6 million in operations for the years ended December 31, 2023 and 2022, respectively. As of December 31, 2023, Tectonic has an accumulated deficit of $90.6 million. </w:t>
      </w:r>
    </w:p>
    <w:p>
      <w:pPr>
        <w:pStyle w:val="TextBody"/>
        <w:bidi w:val="0"/>
        <w:spacing w:before="360" w:after="0"/>
        <w:jc w:val="left"/>
        <w:rPr>
          <w:rFonts w:ascii="Times New Roman" w:hAnsi="Times New Roman"/>
          <w:b/>
          <w:sz w:val="20"/>
        </w:rPr>
      </w:pPr>
      <w:bookmarkStart w:id="161" w:name="toc770053_166"/>
      <w:bookmarkEnd w:id="161"/>
      <w:r>
        <w:rPr>
          <w:rFonts w:ascii="Times New Roman" w:hAnsi="Times New Roman"/>
          <w:b/>
          <w:sz w:val="20"/>
        </w:rPr>
        <w:t xml:space="preserve">Contractual Obligations &amp; Commitments </w:t>
      </w:r>
    </w:p>
    <w:p>
      <w:pPr>
        <w:pStyle w:val="TextBody"/>
        <w:bidi w:val="0"/>
        <w:spacing w:before="120" w:after="0"/>
        <w:jc w:val="left"/>
        <w:rPr>
          <w:rFonts w:ascii="Times New Roman" w:hAnsi="Times New Roman"/>
          <w:i/>
          <w:sz w:val="20"/>
        </w:rPr>
      </w:pPr>
      <w:r>
        <w:rPr>
          <w:rFonts w:ascii="Times New Roman" w:hAnsi="Times New Roman"/>
          <w:i/>
          <w:sz w:val="20"/>
        </w:rPr>
        <w:t xml:space="preserve">Lease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Tectonics contractual obligations and commitments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0"/>
        <w:gridCol w:w="200"/>
        <w:gridCol w:w="217"/>
        <w:gridCol w:w="868"/>
        <w:gridCol w:w="60"/>
        <w:gridCol w:w="200"/>
        <w:gridCol w:w="140"/>
        <w:gridCol w:w="570"/>
        <w:gridCol w:w="60"/>
        <w:gridCol w:w="200"/>
        <w:gridCol w:w="506"/>
        <w:gridCol w:w="957"/>
        <w:gridCol w:w="60"/>
        <w:gridCol w:w="200"/>
        <w:gridCol w:w="50"/>
        <w:gridCol w:w="50"/>
        <w:gridCol w:w="129"/>
        <w:gridCol w:w="318"/>
        <w:gridCol w:w="305"/>
        <w:gridCol w:w="307"/>
        <w:gridCol w:w="60"/>
        <w:gridCol w:w="200"/>
        <w:gridCol w:w="140"/>
        <w:gridCol w:w="570"/>
        <w:gridCol w:w="68"/>
      </w:tblGrid>
      <w:tr>
        <w:trPr/>
        <w:tc>
          <w:tcPr>
            <w:tcW w:w="377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w:t>
              <w:br/>
              <w:t>1 Year</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3</w:t>
              <w:br/>
              <w:t>Years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 to 5</w:t>
              <w:br/>
              <w:t>Years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More than</w:t>
              <w:br/>
              <w:t>5 Years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63" w:type="dxa"/>
            <w:gridSpan w:val="2"/>
            <w:tcBorders/>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0" w:type="dxa"/>
            <w:gridSpan w:val="2"/>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61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20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583</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915</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0" w:type="dxa"/>
            <w:tcBorders/>
            <w:shd w:fill="CCEEFF" w:val="clear"/>
            <w:vAlign w:val="bottom"/>
          </w:tcPr>
          <w:p>
            <w:pPr>
              <w:pStyle w:val="TableContents"/>
              <w:bidi w:val="0"/>
              <w:spacing w:before="0" w:after="283"/>
              <w:jc w:val="left"/>
              <w:rPr>
                <w:sz w:val="4"/>
                <w:szCs w:val="4"/>
              </w:rPr>
            </w:pPr>
            <w:r>
              <w:rPr>
                <w:sz w:val="4"/>
                <w:szCs w:val="4"/>
              </w:rPr>
            </w:r>
          </w:p>
        </w:tc>
        <w:tc>
          <w:tcPr>
            <w:tcW w:w="5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31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3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1,542</w:t>
            </w:r>
          </w:p>
        </w:tc>
        <w:tc>
          <w:tcPr>
            <w:tcW w:w="68" w:type="dxa"/>
            <w:tcBorders/>
            <w:shd w:fill="CCEEFF" w:val="clear"/>
            <w:vAlign w:val="bottom"/>
          </w:tcPr>
          <w:p>
            <w:pPr>
              <w:pStyle w:val="TableContents"/>
              <w:bidi w:val="0"/>
              <w:spacing w:before="0" w:after="283"/>
              <w:jc w:val="left"/>
              <w:rPr/>
            </w:pPr>
            <w:r>
              <w:rPr/>
              <w:t> </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20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1,534</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1,712</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0"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3,246</w:t>
            </w:r>
          </w:p>
        </w:tc>
        <w:tc>
          <w:tcPr>
            <w:tcW w:w="68" w:type="dxa"/>
            <w:tcBorders/>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0"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0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2,117</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2,627</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0" w:type="dxa"/>
            <w:tcBorders/>
            <w:shd w:fill="CCEEFF" w:val="clear"/>
            <w:vAlign w:val="bottom"/>
          </w:tcPr>
          <w:p>
            <w:pPr>
              <w:pStyle w:val="TableContents"/>
              <w:bidi w:val="0"/>
              <w:spacing w:before="0" w:after="283"/>
              <w:jc w:val="left"/>
              <w:rPr>
                <w:sz w:val="4"/>
                <w:szCs w:val="4"/>
              </w:rPr>
            </w:pPr>
            <w:r>
              <w:rPr>
                <w:sz w:val="4"/>
                <w:szCs w:val="4"/>
              </w:rPr>
            </w:r>
          </w:p>
        </w:tc>
        <w:tc>
          <w:tcPr>
            <w:tcW w:w="5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31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3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4,788</w:t>
            </w:r>
          </w:p>
        </w:tc>
        <w:tc>
          <w:tcPr>
            <w:tcW w:w="68" w:type="dxa"/>
            <w:tcBorders/>
            <w:shd w:fill="CCEEFF" w:val="clear"/>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8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06" w:type="dxa"/>
            <w:tcBorders/>
            <w:vAlign w:val="bottom"/>
          </w:tcPr>
          <w:p>
            <w:pPr>
              <w:pStyle w:val="TableContents"/>
              <w:pBdr>
                <w:top w:val="double" w:sz="6" w:space="1" w:color="000000"/>
              </w:pBdr>
              <w:bidi w:val="0"/>
              <w:spacing w:before="0" w:after="0"/>
              <w:jc w:val="left"/>
              <w:rPr/>
            </w:pPr>
            <w:r>
              <w:rPr/>
              <w:t> </w:t>
            </w:r>
          </w:p>
        </w:tc>
        <w:tc>
          <w:tcPr>
            <w:tcW w:w="9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0"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Tectonic can cancel without a significant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University of Texas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Tectonic executed a research agreement with the University of Texas, whereby the University of Texas and Tectonic are conducting joint research activities in accordance with an agreed upon research program. An upfront fee of $25,000 was paid upon execution of the agreement in 2020, with the remaining balance due in two payments of $37,500 each. The first payment was due upon the completion of the joint research activities and the second payment due upon the receipt of the final research report by Tectonic, however, the agreement was terminated on June 30, 2022.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Tectonic did not pay any amounts to the University of Texas under the agreement because the joint research activities were not completed before the research agreement terminated. </w:t>
      </w:r>
    </w:p>
    <w:p>
      <w:pPr>
        <w:pStyle w:val="TextBody"/>
        <w:bidi w:val="0"/>
        <w:spacing w:before="360" w:after="0"/>
        <w:jc w:val="left"/>
        <w:rPr>
          <w:rFonts w:ascii="Times New Roman" w:hAnsi="Times New Roman"/>
          <w:i/>
          <w:sz w:val="20"/>
        </w:rPr>
      </w:pPr>
      <w:r>
        <w:rPr>
          <w:rFonts w:ascii="Times New Roman" w:hAnsi="Times New Roman"/>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w:t>
      </w:r>
    </w:p>
    <w:p>
      <w:pPr>
        <w:pStyle w:val="TextBody"/>
        <w:bidi w:val="0"/>
        <w:spacing w:before="240" w:after="0"/>
        <w:jc w:val="left"/>
        <w:rPr>
          <w:rFonts w:ascii="Times New Roman" w:hAnsi="Times New Roman"/>
          <w:sz w:val="20"/>
        </w:rPr>
      </w:pPr>
      <w:r>
        <w:rPr>
          <w:rFonts w:ascii="Times New Roman" w:hAnsi="Times New Roman"/>
          <w:sz w:val="20"/>
        </w:rPr>
        <w:t xml:space="preserve">As partial consideration for the Harvard License Agreement, Tectonic agreed to pay Harvard a one-time license fee of $170,000, with such fee to be paid in equal installments over three years. In July 2022, Tectonic paid Harvard $56,666 and in July 2023 Tectonic paid Harvard $56,667. The final installment of $56,667 under the Harvard License Agreement is due in July 2024. As partial consideration for the Harvard License Agreement, Tectonic entered into a subscription agreement with Harvard in July 2022, pursuant to which Harvard was granted 227,486 shares of common stock of the Company with a fair market value in the mid six digits.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Tectonic is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Tectonic is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Tectonic receives in connection with a sublicense, strategic partnership or know-how enabled license. With respect to any net sales of licensed products and know-how enabled products sold in certain countries outside of the United States and Europe, Tectonic and Harvard will negotiate a royalty percentage on a country-by-country basis. </w:t>
      </w:r>
    </w:p>
    <w:p>
      <w:pPr>
        <w:pStyle w:val="TextBody"/>
        <w:bidi w:val="0"/>
        <w:spacing w:before="240" w:after="0"/>
        <w:jc w:val="left"/>
        <w:rPr>
          <w:rFonts w:ascii="Times New Roman" w:hAnsi="Times New Roman"/>
          <w:sz w:val="20"/>
        </w:rPr>
      </w:pPr>
      <w:r>
        <w:rPr>
          <w:rFonts w:ascii="Times New Roman" w:hAnsi="Times New Roman"/>
          <w:sz w:val="20"/>
        </w:rPr>
        <w:t>For a more detailed description of this agreement, see the section titled </w:t>
      </w:r>
      <w:r>
        <w:rPr>
          <w:rFonts w:ascii="Times New Roman" w:hAnsi="Times New Roman"/>
          <w:i/>
          <w:sz w:val="20"/>
        </w:rPr>
        <w:t xml:space="preserve">Tectonics BusinessHarvard Option and License </w:t>
      </w:r>
      <w:r>
        <w:rPr>
          <w:rFonts w:ascii="Times New Roman" w:hAnsi="Times New Roman"/>
          <w:sz w:val="20"/>
        </w:rPr>
        <w:t xml:space="preserve">Agreement and note 6 to the consolidated Tectonic financial statements included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Alloy Therapeutics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Tectonic executed a license agreement with Alloy Therapeutics, LLC (ATX), whereby Tectonic will use ATX technology for the purpose of preclinical development, clinical development and commercialization of potential product candidates, for an initial period of three years, with the option to extend the term for an additional two years. Tectonic will pay ATX a non-refundable and non-creditable annual fee of $0.1 million on each anniversary of the agreement. On November 7, 2022, ATX and Tectonic amended the agreement and extended the period of payment for the first fee due in May 2023. Additionally, Tectonic will be responsible for annual partnering fees if Tectonic decides to pursue clinical development of a product candidate using the ATX technology. The partnering fees may be creditable against future milestone development fees paid by Tectonic. Tectonic will also be responsible to pay ATX development milestone payments for the movement of certain product candidates thought clinical trials, which range from the low six digits to the low seven digits upon completion of each milestone and amount to $4.8 million in total milestone payments under the license agreement. Provided Tectonic is able to commercialize a product using ATX technology, Tectonic will be responsible to pay ATX commercial payments in the low seven digits per year during the first six years of commercial sales, amounting to an amount in the high eight digits in total commercial payments under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and 2022, Tectonic paid $0.1 million and $0 to ATX,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Adimab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 2023, Tectonic entered into a discovery agreement with Adimab, LLC (Adimab), an antibody discovery company, whereby Tectonic and Adimab are collaborating on human antibody discovery in accordance with an agreed upon research program. Tectonic paid an upfront technology access fee totaling $20,000 upon execution of the agreement during the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Tectonic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the option, with a non-creditable, non-refundable option exercise fee of $0.5 million,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Tectonic generates from products that utilize Adimab technology. Tectonic has the right to terminate the agreement if certain criteria are met. During the year ended December 31, 2023, Tectonic incurred $0.1 million of costs associated with the FTEs. </w:t>
      </w:r>
    </w:p>
    <w:p>
      <w:pPr>
        <w:pStyle w:val="TextBody"/>
        <w:bidi w:val="0"/>
        <w:spacing w:before="360" w:after="0"/>
        <w:jc w:val="left"/>
        <w:rPr>
          <w:rFonts w:ascii="Times New Roman" w:hAnsi="Times New Roman"/>
          <w:b/>
          <w:sz w:val="20"/>
        </w:rPr>
      </w:pPr>
      <w:bookmarkStart w:id="162" w:name="toc770053_167"/>
      <w:bookmarkEnd w:id="162"/>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Tectonics managements discussion and analysis of its financial condition and results of operations is based on Tectonics consolidated financial statements, which have been prepared in accordance with generally accepted accounting principles in the United States, or GAAP. The preparation of these consolidated financial statements requires Tectonic to make estimates and assumptions that affect the reported amounts of assets and liabilities, the disclosures of contingent assets and liabilities at the date of the consolidated financial statements and the reported amounts of expenses during the reporting periods. Tectonic bases its estimates on historical experience, known trends and events, and various other assumptions that Tectonic believes are reasonable under the circumstances, the results of which form the basis for making judgments about the carrying values of assets and liabilities recorded expenses that are not readily apparent from other sources. Tectonic evaluates its estimates and assumptions on an ongoing basis. Actual results may differ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Tectonics significant accounting policies are described in greater detail in Note 2 to Tectonics consolidated financial statements appearing at the end of this proxy statement/prospectus, Tectonic believes that the following accounting policies are those most critical to the judgements and estimates used in the preparation of Tectonics consolidated financial statements.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Prepaid and Accrued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process of preparing its consolidated financial statements, Tectonic is required to estimate its prepaid and accrued research and development expenses. This process involves estimating the level of service performed and the associated cost incurred for the services when Tectonic has not yet been invoiced or otherwise notified of actual costs. The majority of Tectonics service providers invoice Tectonic in arrears for services performed, on a pre-determined schedule or when contractual milestones are met; however, some require advance payments. Tectonic makes estimates of its prepaid and accrued research and development expenses as of each balance sheet date in the consolidated financial statements based on facts and circumstances known to Tectonic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Tectonic does not expect its estimates to be materially different from amounts actually incurred, Tectonics understanding of the status and timing of services performed relative to the actual status and timing of services performed may vary and may result in changes in estimates reported in the current period. To date, there have not been any material adjustments to Tectonics prior estimates of prepaid and accrued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SAFE Liabilities </w:t>
      </w:r>
    </w:p>
    <w:p>
      <w:pPr>
        <w:pStyle w:val="TextBody"/>
        <w:bidi w:val="0"/>
        <w:spacing w:before="240" w:after="0"/>
        <w:jc w:val="left"/>
        <w:rPr>
          <w:rFonts w:ascii="Times New Roman" w:hAnsi="Times New Roman"/>
          <w:sz w:val="20"/>
        </w:rPr>
      </w:pPr>
      <w:r>
        <w:rPr>
          <w:rFonts w:ascii="Times New Roman" w:hAnsi="Times New Roman"/>
          <w:sz w:val="20"/>
        </w:rPr>
        <w:t xml:space="preserve">Tectonic accounts for the SAFEs as liabilities at fair value and adjusts the liabilities to fair value at each period end date until a triggering event occurs that results in the settlement of the liabilities. Triggering events include an equity financing, public listing transaction, change of control and dissolution. Changes in the liabilities fair values are recognized in the Companys statement of operations and comprehensive loss in change in fair value of SAFE liabilities. The fair value of the SAFEs has been estimated using probability-weighted scenario analyses and discount rates derived by application of the build-up method to reflect the cost of equity. </w:t>
      </w:r>
    </w:p>
    <w:p>
      <w:pPr>
        <w:pStyle w:val="TextBody"/>
        <w:bidi w:val="0"/>
        <w:spacing w:before="240" w:after="0"/>
        <w:jc w:val="left"/>
        <w:rPr>
          <w:rFonts w:ascii="Times New Roman" w:hAnsi="Times New Roman"/>
          <w:sz w:val="20"/>
        </w:rPr>
      </w:pPr>
      <w:r>
        <w:rPr>
          <w:rFonts w:ascii="Times New Roman" w:hAnsi="Times New Roman"/>
          <w:sz w:val="20"/>
        </w:rPr>
        <w:t xml:space="preserve">The valuation of the SAFE liabilities as of December 31, 2023, was determined based on a probability-weighted scenario analysis that assumed the probabilities of the occurrence of an equity financing, public listing transaction and dissolution to be 10.0%, 87.5% and 2.5% respectively. The estimated time to redemption used was five months for an equity financing and dissolution and four months for a public listing transaction. The valuation used a discount rate of 30.2% to approximate the cost of equity, which was derived from application of a build-up method that incorporated the risk-free rate at the valuation date, and adjustments to reflect market risk, a small stock premium, and a selected company-specific risk premium. The valuation of the SAFE liabilities at the October issuance date was determined using the same methodology; however, the discount rate was 30.9% due to the higher risk-free interest rate at the valuation date. In October 2023, the probabilities of the occurrence of an equity financing, public listing transaction and dissolution used were 87.5%, 10%, and 2.5%, respectively. The estimated time to redemption used was 1.5 months for an equity financing and 5.5 months for a public listing transaction and dissolution.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Tectonic measures stock options granted to employees and non-employees based on their fair value on the date of the grant using the Black-Scholes-Merton (BSM) option pricing model. Compensation expense for those awards is recognized over the requisite service period, which is generally the vesting period of the respective award for employees. Compensation expense for awards to non-employee with service-based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is recognized in the same manner as if Tectonic had paid cash in exchange for the goods or services, which is generally the over the vesting period of the award. Tectonic uses the straight-line method to recognize the expense of awards with service-based vesting conditions. Tectonic accounts for forfeitures of stock options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BSM requires the use of assumptions to determine the fair value of the stock options. The determination of fair value of the Tectonic common stock is described below. Other assumptions used in the BSM, the volatility of Tectonics common stock, the expected term of Tectonics common stock, the risk-free interest rate for a period that approximates the expected term of Tectonics common stock and Tectonics expected dividend yield, are determined by Tectonic management.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Tectonics common stock to date, the estimated fair value of Tectonics common stock has been determined by Tectonics Board as of the date of grant of each stock options, with input from management, considering Tectonics most recently available third-party valuations of Tectonic common stock and the Tectonic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and were prepared using the option pricing model (OPM). OPM uses option theory to value the various classes of Tectonics securities in light of their respective claims to the enterprise value. Total shareholders deficit value is allocated to the various share classes based upon their respective claims on a series of call options with strike prices at various value levels depending upon the rights and preferences of each class. A BSM is typically employed in this analysis, with an option term assumption that is consistent with Tectonics expected time to a liquidity event and a volatility assumption based on the estimated stock price volatility of a peer group of comparable public companies over a similar term. In addition to considering the results of these third-party valuations, the Tectonic Board considered various objective and subjective factors to determine the fair value of Tectonics common stock as of each grant date,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Tectonics common stock at the time of each grant of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Tectonics research and development programs, including the status of preclinical studies and clinical trials for Tectonics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stage of development and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financial position, including cash on hand, and Tectonics historical and forecasted performance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Tectonics common stock and Tectonics Series A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such as an initial public offering, or IPO, merger or sale of Tectonic in light of prevailing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analysis of IPOs and market performance of similar companies in the biotechnology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Tectonic had used significantly different assumptions or estimates, the fair value of Tectonics common stock and Tectonics share-based compensation expense could have been materially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merger is completed and there is a public trading market for Tectonics common stock, it will no longer be necessary for the Tectonic Board to estimate the fair value of Tectonics common stock in connection with Tectonics accounting for granted stock options or other such awards Tectonic may grant, as the fair value of Tectonics common stock and stock options will be determined based on the quoted market price of Tectonics common stock. </w:t>
      </w:r>
    </w:p>
    <w:p>
      <w:pPr>
        <w:pStyle w:val="TextBody"/>
        <w:bidi w:val="0"/>
        <w:spacing w:before="360" w:after="0"/>
        <w:jc w:val="left"/>
        <w:rPr>
          <w:rFonts w:ascii="Times New Roman" w:hAnsi="Times New Roman"/>
          <w:b/>
          <w:sz w:val="20"/>
        </w:rPr>
      </w:pPr>
      <w:bookmarkStart w:id="163" w:name="toc770053_168"/>
      <w:bookmarkEnd w:id="163"/>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Tectonics financial position, results of operations or cash flows is disclosed in Note 2 to Tectonics consolidated financial statements appearing in this prospectus. </w:t>
      </w:r>
    </w:p>
    <w:p>
      <w:pPr>
        <w:pStyle w:val="TextBody"/>
        <w:bidi w:val="0"/>
        <w:spacing w:before="360" w:after="0"/>
        <w:jc w:val="left"/>
        <w:rPr>
          <w:rFonts w:ascii="Times New Roman" w:hAnsi="Times New Roman"/>
          <w:b/>
          <w:sz w:val="20"/>
        </w:rPr>
      </w:pPr>
      <w:bookmarkStart w:id="164" w:name="toc770053_169"/>
      <w:bookmarkEnd w:id="164"/>
      <w:r>
        <w:rPr>
          <w:rFonts w:ascii="Times New Roman" w:hAnsi="Times New Roman"/>
          <w:b/>
          <w:sz w:val="20"/>
        </w:rPr>
        <w:t xml:space="preserve">Qualitative and Quantitative Disclosures about Market Risk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Tectonics primary exposure to market risk is to market risk related to interest rate sensitivity, which is affected by changes in the general level of U.S. interest rates. As of December 31, 2023, Tectonic had cash and cash equivalents of $28.8 million, which consisted of cash and money market funds. As of December 31, 2023, Tectonic had a finance lease liability and an operating lease liability of $1.4 million and $3.0 million, respectively. In October 2023 and December 2023, Tectonic issued SAFEs to Tectonics investors. Tectonic received the proceeds of $10.1 million from the October issuance and $24.0 million from the December issuance. Interest income and expenses are sensitive to changes in the general level of interest rates. However, due to the nature of these investments, an immediate 10% change in market interest rates would not have a material effect on the fair market value of Tectonics investment portfolio. </w:t>
      </w:r>
    </w:p>
    <w:p>
      <w:pPr>
        <w:pStyle w:val="TextBody"/>
        <w:bidi w:val="0"/>
        <w:spacing w:before="360" w:after="0"/>
        <w:jc w:val="left"/>
        <w:rPr>
          <w:rFonts w:ascii="Times New Roman" w:hAnsi="Times New Roman"/>
          <w:i/>
          <w:sz w:val="20"/>
        </w:rPr>
      </w:pPr>
      <w:r>
        <w:rPr>
          <w:rFonts w:ascii="Times New Roman" w:hAnsi="Times New Roman"/>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Tectonics results of operations and financial condition are presented based on historical cost. While it is difficult to accurately measure the impact of inflation due to the imprecise nature of the estimates required, Tectonic believes the effects of inflation, if any, on Tectonics results of operations and financial condition have been immaterial. Tectonic cannot assure you Tectonics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5" w:name="toc770053_170"/>
      <w:bookmarkEnd w:id="165"/>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bookmarkStart w:id="166" w:name="toc770053_171"/>
      <w:bookmarkEnd w:id="166"/>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Resignation of Current Executive Officers of AVROBIO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all of the current executive officers of AVROBIO will resign immediately prior to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Directors of the Combined Organization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all of the directors of AVROBIO who are not continuing as directors will resign at or prior to the Effective Time. Prior to the Effective Time, the AVROBIO board of directors will elect the current directors of Tectonic to serve as members of the AVROBIO board of directors effective upon consummation of the merger. The combined companys board of directors will initially be fixed at six members, consisting of (i) five Tectonic Board members, namely Alise Reicin, M.D., Terrance McGuire, Timothy A. Springer, Ph.D., Praveen Tipirneni, M.D. and Stefan Vitorovic, and (ii) one AVROBIO Board member, namely Phillip B. Donenberg. The staggered structure of the current AVROBIO Board will remain in place for the combined company following the completion of the merger. The division of our board into three classes with staggered three year terms will be decided by mutual agreement following the completion of the merger. The number of directors will be distributed among the three classes so that, as nearly as possible, each class will consist of one-third of the directors. A majority of the members of the board of directors of the combined organization following the merger are expected to satisfy the requisite independence requirements for the board of directors of the combined organization, as well as the sophistication and independence requirements for the required committees pursuant to Nasdaq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pursuant to the Merger Agreement, there are no arrangements or understandings between any of the expected directors or executive officers of the combined organization and any other person pursuant to which he or she was or is to be selected as a director or executive officer. There are no family relationships between any of the expected directors or executive officers of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the management team of AVROBIO is expected to be composed of the management team of Tectonic. The following table sets forth the names, ages, as of March 15, 2024 and positions of the individuals who are expected to serve as executives and directors of the combined company upon completion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73"/>
        <w:gridCol w:w="188"/>
        <w:gridCol w:w="79"/>
        <w:gridCol w:w="347"/>
        <w:gridCol w:w="60"/>
        <w:gridCol w:w="188"/>
        <w:gridCol w:w="6270"/>
      </w:tblGrid>
      <w:tr>
        <w:trPr/>
        <w:tc>
          <w:tcPr>
            <w:tcW w:w="307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270" w:type="dxa"/>
            <w:tcBorders/>
            <w:vAlign w:val="center"/>
          </w:tcPr>
          <w:p>
            <w:pPr>
              <w:pStyle w:val="TableContents"/>
              <w:bidi w:val="0"/>
              <w:spacing w:before="0" w:after="283"/>
              <w:jc w:val="left"/>
              <w:rPr>
                <w:sz w:val="4"/>
                <w:szCs w:val="4"/>
              </w:rPr>
            </w:pPr>
            <w:r>
              <w:rPr>
                <w:sz w:val="4"/>
                <w:szCs w:val="4"/>
              </w:rPr>
            </w:r>
          </w:p>
        </w:tc>
      </w:tr>
      <w:tr>
        <w:trPr/>
        <w:tc>
          <w:tcPr>
            <w:tcW w:w="30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8" w:type="dxa"/>
            <w:tcBorders/>
            <w:vAlign w:val="bottom"/>
          </w:tcPr>
          <w:p>
            <w:pPr>
              <w:pStyle w:val="TableContents"/>
              <w:bidi w:val="0"/>
              <w:spacing w:before="0" w:after="283"/>
              <w:jc w:val="left"/>
              <w:rPr/>
            </w:pPr>
            <w:r>
              <w:rPr/>
              <w:t>  </w:t>
            </w:r>
          </w:p>
        </w:tc>
        <w:tc>
          <w:tcPr>
            <w:tcW w:w="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b/>
                <w:i/>
                <w:sz w:val="20"/>
              </w:rPr>
              <w:t>Executive Officers</w:t>
            </w:r>
            <w:r>
              <w:rPr>
                <w:rFonts w:ascii="Times New Roman" w:hAnsi="Times New Roman"/>
                <w:sz w:val="20"/>
              </w:rPr>
              <w:t>:</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sz w:val="4"/>
                <w:szCs w:val="4"/>
              </w:rPr>
            </w:pPr>
            <w:r>
              <w:rPr>
                <w:sz w:val="4"/>
                <w:szCs w:val="4"/>
              </w:rPr>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Chief Executive Officer and Director</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88"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56</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Chief Operating Officer and Chief Financial Officer</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Chief Scientific Officer</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Chief Medical Officer</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Chief Business Officer</w:t>
            </w:r>
          </w:p>
        </w:tc>
      </w:tr>
      <w:tr>
        <w:trPr>
          <w:trHeight w:val="120" w:hRule="atLeast"/>
        </w:trPr>
        <w:tc>
          <w:tcPr>
            <w:tcW w:w="3073" w:type="dxa"/>
            <w:tcBorders/>
            <w:vAlign w:val="center"/>
          </w:tcPr>
          <w:p>
            <w:pPr>
              <w:pStyle w:val="TableContents"/>
              <w:bidi w:val="0"/>
              <w:spacing w:before="0" w:after="283"/>
              <w:jc w:val="left"/>
              <w:rPr>
                <w:sz w:val="4"/>
                <w:szCs w:val="4"/>
              </w:rPr>
            </w:pPr>
            <w:r>
              <w:rPr>
                <w:sz w:val="4"/>
                <w:szCs w:val="4"/>
              </w:rPr>
            </w:r>
          </w:p>
        </w:tc>
        <w:tc>
          <w:tcPr>
            <w:tcW w:w="674" w:type="dxa"/>
            <w:gridSpan w:val="4"/>
            <w:tcBorders/>
            <w:vAlign w:val="center"/>
          </w:tcPr>
          <w:p>
            <w:pPr>
              <w:pStyle w:val="TableContents"/>
              <w:bidi w:val="0"/>
              <w:spacing w:before="0" w:after="283"/>
              <w:jc w:val="left"/>
              <w:rPr>
                <w:sz w:val="4"/>
                <w:szCs w:val="4"/>
              </w:rPr>
            </w:pPr>
            <w:r>
              <w:rPr>
                <w:sz w:val="4"/>
                <w:szCs w:val="4"/>
              </w:rPr>
            </w:r>
          </w:p>
        </w:tc>
        <w:tc>
          <w:tcPr>
            <w:tcW w:w="6458" w:type="dxa"/>
            <w:gridSpan w:val="2"/>
            <w:tcBorders/>
            <w:vAlign w:val="center"/>
          </w:tcPr>
          <w:p>
            <w:pPr>
              <w:pStyle w:val="TableContents"/>
              <w:bidi w:val="0"/>
              <w:spacing w:before="0" w:after="283"/>
              <w:jc w:val="left"/>
              <w:rPr>
                <w:sz w:val="4"/>
                <w:szCs w:val="4"/>
              </w:rPr>
            </w:pPr>
            <w:r>
              <w:rPr>
                <w:sz w:val="4"/>
                <w:szCs w:val="4"/>
              </w:rPr>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b/>
                <w:i/>
                <w:sz w:val="20"/>
              </w:rPr>
              <w:t>Non-Employee Directors</w:t>
            </w:r>
            <w:r>
              <w:rPr>
                <w:rFonts w:ascii="Times New Roman" w:hAnsi="Times New Roman"/>
                <w:sz w:val="20"/>
              </w:rPr>
              <w:t>:</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sz w:val="4"/>
                <w:szCs w:val="4"/>
              </w:rPr>
            </w:pPr>
            <w:r>
              <w:rPr>
                <w:sz w:val="4"/>
                <w:szCs w:val="4"/>
              </w:rPr>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Director</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Director</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Director</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Director</w:t>
            </w:r>
          </w:p>
        </w:tc>
      </w:tr>
      <w:tr>
        <w:trPr/>
        <w:tc>
          <w:tcPr>
            <w:tcW w:w="3073" w:type="dxa"/>
            <w:tcBorders/>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8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270" w:type="dxa"/>
            <w:tcBorders/>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Alise Reicin, M.D.</w:t>
      </w:r>
      <w:r>
        <w:rPr>
          <w:rFonts w:ascii="Times New Roman" w:hAnsi="Times New Roman"/>
          <w:sz w:val="20"/>
        </w:rPr>
        <w:t xml:space="preserve"> has served as Tectonics President and Chief Executive Officer since August 2020. Prior to joining Tectonic, Dr. Reicin served as President, Global Clinical Development at Celgene Corporation,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pharmaceutical company, from November 2018 to December 2019 and was a member of the Executive Committee. Prior to Celgene, she served as Head of Global Clinical Development at EMD Serono Inc., a privately held pharmaceutical company, from May 2015 to October 2018. Prior to EMD Serono, Dr. Reicin served as Vice President, Program and Pipeline Leadership, Oncology at Merck &amp; Co., Inc., a public pharmaceutical company.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serves on the board of directors of Homology Medicines, Inc., a public biopharmaceutical company and Sana Biotechnology, Inc., a public cell and gene therapy company. Dr. Reicin earned a B.A. in Biochemistry from Barnard College of Columbia University. She earned a M.D. in Medicine from Harvard University. Tectonic believes that Dr. Reicin is qualified to serve on its board of directors due to her clinical expertise and leadership roles in the biotechnology and biopharmaceuticals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Christian Cortis, Ph.D. </w:t>
      </w:r>
      <w:r>
        <w:rPr>
          <w:rFonts w:ascii="Times New Roman" w:hAnsi="Times New Roman"/>
          <w:sz w:val="20"/>
        </w:rPr>
        <w:t xml:space="preserve">was appointed Tectonics Chief Operating Officer in August 2020 and was later also appointed as Tectonics Chief Financial Officer. Prior to that, Dr. Cortis served as Tectonics Interim CEO from August 2019 to August 2020. Prior to joining Tectonic, Dr. Cortis held positions of increasing responsibility at Agenus, Inc. from 2015 to 2019, where he most recently served as the Chief Strategy Officer and Head of Finance. Dr. Cortis experience also includes earlier roles as Head of Business Development for Synta Pharmaceuticals, Inc., and as Principal with Advanced Technology Ventures where he oversaw and participated in investment transactions into private companies in the biotech and healthcare sector. In addition, Dr. Cortis was a member of the board of directors of OpenEye Scientific Software from November 2015 to August 2022 until its acquisition by Cadence Design Systems, Inc. in 2022. Dr. Cortis earned a B.Sc. in Mathematics and Physics from McGill University and a M.Sc. in Applied Physics from Columbia University. Dr. Cortis earned his Ph.D in Applied Mathematics and Theoretical Chemistry from Columbia University. </w:t>
      </w:r>
    </w:p>
    <w:p>
      <w:pPr>
        <w:pStyle w:val="TextBody"/>
        <w:bidi w:val="0"/>
        <w:spacing w:before="240" w:after="0"/>
        <w:jc w:val="left"/>
        <w:rPr>
          <w:rFonts w:ascii="Times New Roman" w:hAnsi="Times New Roman"/>
          <w:sz w:val="20"/>
        </w:rPr>
      </w:pPr>
      <w:r>
        <w:rPr>
          <w:rFonts w:ascii="Times New Roman" w:hAnsi="Times New Roman"/>
          <w:b/>
          <w:i/>
          <w:sz w:val="20"/>
        </w:rPr>
        <w:t>Peter McNamara, Ph.D.</w:t>
      </w:r>
      <w:r>
        <w:rPr>
          <w:rFonts w:ascii="Times New Roman" w:hAnsi="Times New Roman"/>
          <w:sz w:val="20"/>
        </w:rPr>
        <w:t xml:space="preserve"> has served as Tectonics Chief Scientific Officer since June 2022. Prior to that, Dr. McNamara served as Senior Vice President, Head of Research at Tectonic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 </w:t>
      </w:r>
    </w:p>
    <w:p>
      <w:pPr>
        <w:pStyle w:val="TextBody"/>
        <w:bidi w:val="0"/>
        <w:spacing w:before="240" w:after="0"/>
        <w:jc w:val="left"/>
        <w:rPr>
          <w:rFonts w:ascii="Times New Roman" w:hAnsi="Times New Roman"/>
          <w:sz w:val="20"/>
        </w:rPr>
      </w:pPr>
      <w:r>
        <w:rPr>
          <w:rFonts w:ascii="Times New Roman" w:hAnsi="Times New Roman"/>
          <w:b/>
          <w:i/>
          <w:sz w:val="20"/>
        </w:rPr>
        <w:t>Marcella K. Ruddy,</w:t>
      </w:r>
      <w:r>
        <w:rPr>
          <w:rFonts w:ascii="Times New Roman" w:hAnsi="Times New Roman"/>
          <w:sz w:val="20"/>
        </w:rPr>
        <w:t xml:space="preserve"> </w:t>
      </w:r>
      <w:r>
        <w:rPr>
          <w:rFonts w:ascii="Times New Roman" w:hAnsi="Times New Roman"/>
          <w:b/>
          <w:i/>
          <w:sz w:val="20"/>
        </w:rPr>
        <w:t>M.D.</w:t>
      </w:r>
      <w:r>
        <w:rPr>
          <w:rFonts w:ascii="Times New Roman" w:hAnsi="Times New Roman"/>
          <w:sz w:val="20"/>
        </w:rPr>
        <w:t xml:space="preserve"> has served as Tectonics Chief Medical Officer since July 2021. She has over 20 years of experience in drug development across all stages of clinical drug development. She currently serves as a member of the board of directors of Polarean Imaging plc and Upstream Bio, Inc. and has since August 2022 and January 2023, respectively. Prior to joining Tectonics team, Dr. Ruddy was the Head of Clinical Development for the Immunology/Inflammation Therapeutic Area at Regeneron Pharmaceuticals. In that role she led the clinical development of Dupixent®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Marc Schwabish, Ph.D.</w:t>
      </w:r>
      <w:r>
        <w:rPr>
          <w:rFonts w:ascii="Times New Roman" w:hAnsi="Times New Roman"/>
          <w:sz w:val="20"/>
        </w:rPr>
        <w:t xml:space="preserve"> has served as Tectonics Chief Business Officer since March 2021. Prior to joining Tectonic, Dr. Schwabish served as SVP 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Heard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Phillip B. Donenberg</w:t>
      </w:r>
      <w:r>
        <w:rPr>
          <w:rFonts w:ascii="Times New Roman" w:hAnsi="Times New Roman"/>
          <w:sz w:val="20"/>
        </w:rPr>
        <w:t xml:space="preserve"> has served as a member of the AVROBIO Board since June 2018. Mr. Donenberg served as senior 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a gene therapy company, and also has experience serving on the boards of directors of privately held companies. Mr. Donenberg holds a B.S. in accountancy from the University of Illinois Champaign-Urbana College of Business and is a Certified Public Accountant. Mr. Donenberg is expected to be appointed to serve on the board of directors of the combined organization because of his financial expertise and his experience as an executive of companies in the life sciences industry. </w:t>
      </w:r>
    </w:p>
    <w:p>
      <w:pPr>
        <w:pStyle w:val="TextBody"/>
        <w:bidi w:val="0"/>
        <w:spacing w:before="240" w:after="0"/>
        <w:jc w:val="left"/>
        <w:rPr>
          <w:rFonts w:ascii="Times New Roman" w:hAnsi="Times New Roman"/>
          <w:sz w:val="20"/>
        </w:rPr>
      </w:pPr>
      <w:r>
        <w:rPr>
          <w:rFonts w:ascii="Times New Roman" w:hAnsi="Times New Roman"/>
          <w:b/>
          <w:i/>
          <w:sz w:val="20"/>
        </w:rPr>
        <w:t>Terrance McGuire</w:t>
      </w:r>
      <w:r>
        <w:rPr>
          <w:rFonts w:ascii="Times New Roman" w:hAnsi="Times New Roman"/>
          <w:sz w:val="20"/>
        </w:rPr>
        <w:t xml:space="preserve"> has served as a member of the Tectonic Board since Tectonic commenced operations as an independent company in February 2020. Mr. McGuire was a co-founder and is currently a general partner of Polaris Partners. He serves on the board of directors of several private companies and currently serves on the board of directors of Cyclerion Therapeutics Inc., Alector Inc., Seer Inc. and Invivyd Inc. Mr. McGuire has also served on the board of Pulmatrix Inc. Mr. McGuire is the former chairman of the National Venture Capital Association, which represents ninety percent of the venture capitalists in the U.S., chairman of the board of the Thayer School of Engineering at Dartmouth College, and a member of the boards of The David H. Koch Institute for Integrative Cancer Research at the Massachusetts Institute of Technology and The Arthur Rock Center for Entrepreneurship at Harvard Business School. Mr. McGuire earned a B.S. in physics and economics from Hobart College, an M.S. in engineering from The Thayer School at Dartmouth College, and an M.B.A. from Harvard Business School. Mr. McGuire is expected to be appointed to serve on the board of directors of the combined organization because of his extensive experiences as a venture capitalist focused on the biotechnology industry, as well as many years of experience as a director of biotechnology companies guiding them in the execution of their corporate strategy and objectives. </w:t>
      </w:r>
    </w:p>
    <w:p>
      <w:pPr>
        <w:pStyle w:val="TextBody"/>
        <w:bidi w:val="0"/>
        <w:spacing w:before="240" w:after="0"/>
        <w:jc w:val="left"/>
        <w:rPr>
          <w:rFonts w:ascii="Times New Roman" w:hAnsi="Times New Roman"/>
          <w:sz w:val="20"/>
        </w:rPr>
      </w:pPr>
      <w:r>
        <w:rPr>
          <w:rFonts w:ascii="Times New Roman" w:hAnsi="Times New Roman"/>
          <w:b/>
          <w:i/>
          <w:sz w:val="20"/>
        </w:rPr>
        <w:t>Timothy A. Springer</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co-founded Tectonic in June 2019 and has served as a scientific advisor to Tectonic and as a member of the Tectonic Board since June 2019. Dr. Springer served as Chief Executive Officer of Tectonic from June 2019 until August 2019 and as President of Tectonic from June 2019 until August 2020. Since 1989, Dr. Springer has served as the Latham Family Professor at Harvard Medical School. He has also served as Senior Investigator in the Program in Cellular and Molecular Medicine at Boston Childrens Hospital since 2012, and as a Professor of Biological Chemistry and Molecular Pharmacology at Harvard Medical School and Professor of Medicine at Boston Childrens Hospital since 2011. He was also the founder of Morphic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Inc. and has served as a scientific advisor and as a member of its board of directors since June 2015. He has also served Selecta Biosciences Inc. as a scientific advisor since December 2008 and as a member of its Board since June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the Canada International Gairdner Award, and the Lasker Basic Medical Research Award. Dr. Springer received a B.A. in Biochemistry from the University of California, Berkeley, and a Ph.D. in Biochemistry and Molecular Biology from Harvard University. Dr. Springer is expected to be appointed to serve on the board of directors of the combined organization because of his extensive knowledge of the integrin field and his investment, business and board experience with biopharmaceutical companies. </w:t>
      </w:r>
    </w:p>
    <w:p>
      <w:pPr>
        <w:pStyle w:val="TextBody"/>
        <w:bidi w:val="0"/>
        <w:spacing w:before="240" w:after="0"/>
        <w:jc w:val="left"/>
        <w:rPr>
          <w:rFonts w:ascii="Times New Roman" w:hAnsi="Times New Roman"/>
          <w:sz w:val="20"/>
        </w:rPr>
      </w:pPr>
      <w:r>
        <w:rPr>
          <w:rFonts w:ascii="Times New Roman" w:hAnsi="Times New Roman"/>
          <w:b/>
          <w:i/>
          <w:sz w:val="20"/>
        </w:rPr>
        <w:t>Praveen Tipirneni</w:t>
      </w:r>
      <w:r>
        <w:rPr>
          <w:rFonts w:ascii="Times New Roman" w:hAnsi="Times New Roman"/>
          <w:sz w:val="20"/>
        </w:rPr>
        <w:t xml:space="preserve">, </w:t>
      </w:r>
      <w:r>
        <w:rPr>
          <w:rFonts w:ascii="Times New Roman" w:hAnsi="Times New Roman"/>
          <w:b/>
          <w:i/>
          <w:sz w:val="20"/>
        </w:rPr>
        <w:t>M.D.</w:t>
      </w:r>
      <w:r>
        <w:rPr>
          <w:rFonts w:ascii="Times New Roman" w:hAnsi="Times New Roman"/>
          <w:sz w:val="20"/>
        </w:rPr>
        <w:t xml:space="preserve"> has served as a member of the Tectonic Board since February 2020. Dr. Tipirneni currently serves as Chief Executive Officer and as a member of the board of directors of Morphic Holding, Inc., a position he has held since July 2015. Dr. Tipirneni received a B.A. in Mechanical Engineering from Massachusetts Institute of Technology, an M.D. from McGill University and an M.B.A. from the Wharton School of Business of the University of Pennsylvania. Dr. Tipirneni is expected to be appointed to serve on the board of directors of the combined organization because of his experience with biotechnology companies, including working with and serving in various executive positions in life sciences companies. </w:t>
      </w:r>
    </w:p>
    <w:p>
      <w:pPr>
        <w:pStyle w:val="TextBody"/>
        <w:bidi w:val="0"/>
        <w:spacing w:before="240" w:after="0"/>
        <w:jc w:val="left"/>
        <w:rPr>
          <w:rFonts w:ascii="Times New Roman" w:hAnsi="Times New Roman"/>
          <w:sz w:val="20"/>
        </w:rPr>
      </w:pPr>
      <w:r>
        <w:rPr>
          <w:rFonts w:ascii="Times New Roman" w:hAnsi="Times New Roman"/>
          <w:b/>
          <w:i/>
          <w:sz w:val="20"/>
        </w:rPr>
        <w:t>Stefan Vitorovic, M.S., M.B.A.,</w:t>
      </w:r>
      <w:r>
        <w:rPr>
          <w:rFonts w:ascii="Times New Roman" w:hAnsi="Times New Roman"/>
          <w:sz w:val="20"/>
        </w:rPr>
        <w:t xml:space="preserve"> has served as a member of our board of directors since August 2021. Mr. Vitorovic is the co-founder and Managing Director of Vida Ventures, a role he has served in since January 2017.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 Mr. Vitorovic worked on a variety of equity and debt financings, including Aptalis Pharmaceutical Technologies (now Adare Pharma Solutions) and Biomet, Inc. (now Zimmer Biomet Holdings, Inc. (NYSE: ZBH)). Prior to TPG, Mr. Vitorovic was an investment banker at Credit Suisses healthcare banking group from 2004 to 2008. Mr. Vitorovic currently serves on the board of directors of Vigil Neuroscience, Inc. (NASDAQ: VIGL), Volastra Therapeutics, Inc., and Souffle Therapeutics, Inc. He was previously a board observer of Oyster Point Pharma, Inc. (formerly NASDAQ: OYST), Dyne Therapeutics (NASDAQ: DYN) and Sutro Biopharma, Inc. (NASDAQ: STRO), and a board member of Kyverna Therapeutics, Inc. (NASDAQ: KYTX) and Praxis Precision Medicines, Inc. (NASDAQ: PRAX) from 2018 to 2022. He received a B.S. with Honors in Biological Sciences and an M.S. in Biology from Stanford University, where he conducted biomedical research in the lab of Dr. Helen Blau at Stanford Medical School. Mr. Vitorovic received his M.B.A. from Harvard Business School. We believe Mr. Vitorovic is qualified to serve on our board of directors because of his deep expertise in life sciences research and investing, as well as his extensive experience in new company formation and operations. </w:t>
      </w:r>
    </w:p>
    <w:p>
      <w:pPr>
        <w:pStyle w:val="TextBody"/>
        <w:bidi w:val="0"/>
        <w:spacing w:before="360" w:after="0"/>
        <w:jc w:val="left"/>
        <w:rPr>
          <w:rFonts w:ascii="Times New Roman" w:hAnsi="Times New Roman"/>
          <w:b/>
          <w:sz w:val="20"/>
        </w:rPr>
      </w:pPr>
      <w:bookmarkStart w:id="167" w:name="toc770053_172"/>
      <w:bookmarkEnd w:id="167"/>
      <w:r>
        <w:rPr>
          <w:rFonts w:ascii="Times New Roman" w:hAnsi="Times New Roman"/>
          <w:b/>
          <w:sz w:val="20"/>
        </w:rPr>
        <w:t xml:space="preserve">Election of Officers </w:t>
      </w:r>
    </w:p>
    <w:p>
      <w:pPr>
        <w:pStyle w:val="TextBody"/>
        <w:bidi w:val="0"/>
        <w:spacing w:before="120" w:after="0"/>
        <w:jc w:val="left"/>
        <w:rPr>
          <w:rFonts w:ascii="Times New Roman" w:hAnsi="Times New Roman"/>
          <w:sz w:val="20"/>
        </w:rPr>
      </w:pPr>
      <w:r>
        <w:rPr>
          <w:rFonts w:ascii="Times New Roman" w:hAnsi="Times New Roman"/>
          <w:sz w:val="20"/>
        </w:rPr>
        <w:t xml:space="preserve">Each executive officer will serve at the discretion of the combined companys board of directors and holds office until his or her successor is duly elected and qualified or until his or her earlier resignation or removal. </w:t>
      </w:r>
    </w:p>
    <w:p>
      <w:pPr>
        <w:pStyle w:val="TextBody"/>
        <w:bidi w:val="0"/>
        <w:spacing w:before="360" w:after="0"/>
        <w:jc w:val="left"/>
        <w:rPr>
          <w:rFonts w:ascii="Times New Roman" w:hAnsi="Times New Roman"/>
          <w:b/>
          <w:sz w:val="20"/>
        </w:rPr>
      </w:pPr>
      <w:bookmarkStart w:id="168" w:name="toc770053_173"/>
      <w:bookmarkEnd w:id="168"/>
      <w:r>
        <w:rPr>
          <w:rFonts w:ascii="Times New Roman" w:hAnsi="Times New Roman"/>
          <w:b/>
          <w:sz w:val="20"/>
        </w:rPr>
        <w:t xml:space="preserve">Board of Directors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All of AVROBIOs current directors, other than Phillip B. Donenberg, are expected to resign from their positions as directors of AVROBIO, effective as of the effective time. The AVROBIO Board currently consists of seven members, divided into three staggered classes, with one class to be elected at each annual meeting to serve for a three-year term. The staggered structure of the board of directors will remain in place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 following the completion of the merger. It is anticipated that the incoming directors will be appointed to applicable vacant director seats of the combined companys board of directors following the resignation of the AVROBIO directors as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the proposed combined companys directors or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AVROBIO and Tectonic anticipate that the board of directors of the combined company will establish an audit committee, a compensation committee and a nominating and corporate governance committee, each of which will operate pursuant to a charter adopted by the board of directors of the combined company. AVROBIO and Tectonic believe that following the completion of the merger the functioning and composition of these committees will comply with the requirements of Sarbanes-Oxley Act of 2002, Nasdaq listing rules and SEC rules and regulations. The board of directors of the combined company may also establish other committees from time to time to assist the combined company and its board of directors. Each of the audit committee, compensation committee and nominating and corporate governance committee is expected to have the responsibilities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audit committee are expected to be Phillip Donenberg, Terrance McGuire and Stefan Vitorovic, each of whom qualifies as an independent director for audit committee purposes, as defined under the rules of the SEC and the applicable Nasdaq listing rules and has sufficient knowledge in financial and auditing matters to serve on the combined companys audit committee. Phillip Donenberg is expected to chair the audit committee. Philip Donenberg is an audit committee financial expert as defined in Item 407(d)(5)(ii) of Regulation S-K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audit committee will be to oversee the combined companys accounting and financial reporting processes, including the audits of the financial statements, and the internal and external audit processes. The audit committee will also oversee the system of internal controls established by management and AVROBIOs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compensation committee are expected to be Praveen Tipirneni and Stefan Vitorovic, each of whom qualifies as an independent director, as defined under applicable Nasdaq listing rules and also meets the additional, heightened independence criteria applicable to members of the compensation committee. Praveen Tipirneni is expected to chair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objectives and setting the officers compensation. The compensation committee will also administer and make recommendations to the combined companys board of directors regarding equity incentive plans that are subject to the board of directors approval and approve the grant of equity awards under the plans. </w:t>
      </w:r>
    </w:p>
    <w:p>
      <w:pPr>
        <w:pStyle w:val="TextBody"/>
        <w:bidi w:val="0"/>
        <w:spacing w:before="36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nominating and corporate governance committee are expected to be Timothy Springer and Terrance McGuire, each of whom qualifies as an independent director, as defined under applicable Nasdaq listing rules. Timothy Springer is expected to chair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nominating and corporate governance committee will be responsible for engaging in succession planning for the combined companys board of directors, developing and recommending to the combined companys board of directors criteria for identifying and evaluating qualified director candidates and making recommendations to the combined companys board of directors regarding candidates for election or reelection to the board of directors at each annual stockholders meeting. In addition, the nominating and corporate governance committee will be responsible for overseeing the combined companys corporate governance practices and making recommendations to the board of directors concerning corporate governance matters. The nominating and corporate governance committee will also be responsible for making recommendations to the board of directors concerning the structure, composition and functioning of the combined companys board of directors and its committees. </w:t>
      </w:r>
    </w:p>
    <w:p>
      <w:pPr>
        <w:pStyle w:val="TextBody"/>
        <w:bidi w:val="0"/>
        <w:spacing w:before="360" w:after="0"/>
        <w:jc w:val="left"/>
        <w:rPr>
          <w:rFonts w:ascii="Times New Roman" w:hAnsi="Times New Roman"/>
          <w:b/>
          <w:sz w:val="20"/>
        </w:rPr>
      </w:pPr>
      <w:bookmarkStart w:id="169" w:name="toc770053_174"/>
      <w:bookmarkEnd w:id="169"/>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the combined companys compensation committee has at any time been one of the officers or employees of the combined company since its inception.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companys board of directors or compensation committee following the completion of the merger. </w:t>
      </w:r>
    </w:p>
    <w:p>
      <w:pPr>
        <w:pStyle w:val="TextBody"/>
        <w:bidi w:val="0"/>
        <w:spacing w:before="360" w:after="0"/>
        <w:jc w:val="left"/>
        <w:rPr>
          <w:rFonts w:ascii="Times New Roman" w:hAnsi="Times New Roman"/>
          <w:b/>
          <w:sz w:val="20"/>
        </w:rPr>
      </w:pPr>
      <w:bookmarkStart w:id="170" w:name="toc770053_175"/>
      <w:bookmarkEnd w:id="170"/>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combined company will adopt a Code of Conduct and Ethics that establishes the standards of ethical conduct applicable to all of the combined companys directors, officers and employees. The full text of the combined companys Code of Conduct and Ethics will be posted on the combined companys website at </w:t>
      </w:r>
      <w:r>
        <w:rPr>
          <w:rFonts w:ascii="Times New Roman" w:hAnsi="Times New Roman"/>
          <w:i/>
          <w:sz w:val="20"/>
        </w:rPr>
        <w:t>www.tectonictx.com</w:t>
      </w:r>
      <w:r>
        <w:rPr>
          <w:rFonts w:ascii="Times New Roman" w:hAnsi="Times New Roman"/>
          <w:sz w:val="20"/>
        </w:rPr>
        <w:t xml:space="preserve">. The Code of Conduct and Ethics will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 </w:t>
      </w:r>
    </w:p>
    <w:p>
      <w:pPr>
        <w:pStyle w:val="TextBody"/>
        <w:bidi w:val="0"/>
        <w:spacing w:before="360" w:after="0"/>
        <w:jc w:val="left"/>
        <w:rPr>
          <w:rFonts w:ascii="Times New Roman" w:hAnsi="Times New Roman"/>
          <w:b/>
          <w:sz w:val="20"/>
        </w:rPr>
      </w:pPr>
      <w:bookmarkStart w:id="171" w:name="toc770053_176"/>
      <w:bookmarkEnd w:id="171"/>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Prior to the merger, Tectonic did not have a formal policy to provide any cash or equity compensation to its non-employee directors for their service on the Tectonic Board or committees of the Tectonic Board. Tectonics non-employee director compensation is described in the section titled </w:t>
      </w:r>
      <w:r>
        <w:rPr>
          <w:rFonts w:ascii="Times New Roman" w:hAnsi="Times New Roman"/>
          <w:i/>
          <w:sz w:val="20"/>
        </w:rPr>
        <w:t>Tectonics Executive and Director Compensation</w:t>
      </w:r>
      <w:r>
        <w:rPr>
          <w:rFonts w:ascii="Times New Roman" w:hAnsi="Times New Roman"/>
          <w:sz w:val="20"/>
        </w:rPr>
        <w:t xml:space="preserve"> beginning on page 297 of this proxy statement/prospectus. Except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determinations with respect to director compensation after the closing have not yet been made. In connection with closing of the merger, it is expected that the board of directors of the combined company will adopt a non-employee director compensation policy, designed to enable the combined company to attract and retain, on a long-term basis, highly qualified non-employee directors and align its directors interests with those of its stockholders. Employee directors will not receive additional compensation for their services as directors. Each director who is not an employee will be paid cash compensation for serving on the board of directors of the combined company, the amount and terms of which have not yet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non-employee elected or appointed to the board of directors of the combined company will be granted an initial stock option award and an annual stock option award, the amount and terms of which have not yet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reimburse its non-employee directors for reasonable travel and out-of-pocket expenses incurred in connection with attending the board of director and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2" w:name="toc770053_177"/>
      <w:bookmarkEnd w:id="172"/>
      <w:r>
        <w:rPr>
          <w:rFonts w:ascii="Times New Roman" w:hAnsi="Times New Roman"/>
          <w:b/>
          <w:sz w:val="20"/>
        </w:rPr>
        <w:t xml:space="preserve">CERTAIN RELATIONSHIPS AND RELATED PARTY TRANSACTIONS </w:t>
      </w:r>
    </w:p>
    <w:p>
      <w:pPr>
        <w:pStyle w:val="TextBody"/>
        <w:bidi w:val="0"/>
        <w:spacing w:before="0" w:after="0"/>
        <w:jc w:val="center"/>
        <w:rPr>
          <w:rFonts w:ascii="Times New Roman" w:hAnsi="Times New Roman"/>
          <w:b/>
          <w:sz w:val="20"/>
        </w:rPr>
      </w:pPr>
      <w:r>
        <w:rPr>
          <w:rFonts w:ascii="Times New Roman" w:hAnsi="Times New Roman"/>
          <w:b/>
          <w:sz w:val="20"/>
        </w:rPr>
        <w:t xml:space="preserve">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agreements and other arrangements with AVROBIOs and Tectonics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w:t>
      </w:r>
      <w:r>
        <w:rPr>
          <w:rFonts w:ascii="Times New Roman" w:hAnsi="Times New Roman"/>
          <w:i/>
          <w:sz w:val="20"/>
        </w:rPr>
        <w:t>Tectonic Executive and Director Compensation</w:t>
      </w:r>
      <w:r>
        <w:rPr>
          <w:rFonts w:ascii="Times New Roman" w:hAnsi="Times New Roman"/>
          <w:sz w:val="20"/>
        </w:rPr>
        <w:t> and </w:t>
      </w:r>
      <w:r>
        <w:rPr>
          <w:rFonts w:ascii="Times New Roman" w:hAnsi="Times New Roman"/>
          <w:i/>
          <w:sz w:val="20"/>
        </w:rPr>
        <w:t>AVROBIO Executive Compensation</w:t>
      </w:r>
      <w:r>
        <w:rPr>
          <w:rFonts w:ascii="Times New Roman" w:hAnsi="Times New Roman"/>
          <w:sz w:val="20"/>
        </w:rPr>
        <w:t xml:space="preserve">, beginning on pages 427 and 284, respectively, of this proxy statement/prospectus, the following is a description of each transaction involving AVROBIO since January 1, 2022, each transaction involving Tectonic since January 1, 2022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Tectonic or AVROBIO has been or is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Tectonics or AVROBIOs total assets at year-end for the last two completed fiscal years,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Tectonics or AVROBIOs directors, executive officers or holders of more than 5% of Tectonics or AVROBIOs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Tectonic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Private Financings </w:t>
      </w:r>
    </w:p>
    <w:p>
      <w:pPr>
        <w:pStyle w:val="TextBody"/>
        <w:bidi w:val="0"/>
        <w:spacing w:before="120" w:after="0"/>
        <w:jc w:val="left"/>
        <w:rPr>
          <w:rFonts w:ascii="Times New Roman" w:hAnsi="Times New Roman"/>
          <w:i/>
          <w:sz w:val="20"/>
        </w:rPr>
      </w:pPr>
      <w:r>
        <w:rPr>
          <w:rFonts w:ascii="Times New Roman" w:hAnsi="Times New Roman"/>
          <w:i/>
          <w:sz w:val="20"/>
        </w:rPr>
        <w:t xml:space="preserve">Series A Preferred Stock Financing  Subsequent Milestone Closing </w:t>
      </w:r>
    </w:p>
    <w:p>
      <w:pPr>
        <w:pStyle w:val="TextBody"/>
        <w:bidi w:val="0"/>
        <w:spacing w:before="240" w:after="0"/>
        <w:jc w:val="left"/>
        <w:rPr>
          <w:rFonts w:ascii="Times New Roman" w:hAnsi="Times New Roman"/>
          <w:sz w:val="20"/>
        </w:rPr>
      </w:pPr>
      <w:r>
        <w:rPr>
          <w:rFonts w:ascii="Times New Roman" w:hAnsi="Times New Roman"/>
          <w:sz w:val="20"/>
        </w:rPr>
        <w:t xml:space="preserve">In June 2022, the Tectonic Board determined that Tectonic had achieved the milestone events pursuant to the terms of its Series A Preferred Stock Purchase Agreement and issued and sold to certain investors (i) an aggregate additional 2,450,163 shares of Tectonics Series A-1 Preferred Stock, and (ii) an additional 437,282 shares of Tectonics Series A-2 Preferred Stock in a subsequent closing, at a purchase price of $13.1876 per share for an aggregate purchase price of $38,028,475.61 (the Milestone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Tectonic Series A Preferred Stock by Tectonics related persons in the Milestone Closing: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10"/>
        <w:gridCol w:w="245"/>
        <w:gridCol w:w="70"/>
        <w:gridCol w:w="966"/>
        <w:gridCol w:w="60"/>
        <w:gridCol w:w="245"/>
        <w:gridCol w:w="70"/>
        <w:gridCol w:w="966"/>
        <w:gridCol w:w="60"/>
        <w:gridCol w:w="245"/>
        <w:gridCol w:w="60"/>
        <w:gridCol w:w="1108"/>
        <w:gridCol w:w="67"/>
      </w:tblGrid>
      <w:tr>
        <w:trPr/>
        <w:tc>
          <w:tcPr>
            <w:tcW w:w="441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410" w:type="dxa"/>
            <w:tcBorders/>
            <w:vAlign w:val="bottom"/>
          </w:tcPr>
          <w:p>
            <w:pPr>
              <w:pStyle w:val="TableContents"/>
              <w:bidi w:val="0"/>
              <w:spacing w:before="0" w:after="283"/>
              <w:jc w:val="left"/>
              <w:rPr>
                <w:b/>
              </w:rPr>
            </w:pPr>
            <w:r>
              <w:rPr>
                <w:b/>
              </w:rPr>
              <w:t>Stockholder</w:t>
            </w:r>
          </w:p>
        </w:tc>
        <w:tc>
          <w:tcPr>
            <w:tcW w:w="245"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Series A-1</w:t>
              <w:br/>
              <w:t>Preferred</w:t>
              <w:br/>
              <w:t>Stock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Series A-2</w:t>
              <w:br/>
              <w:t>Preferred</w:t>
              <w:br/>
              <w:t>Stock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Purchase</w:t>
              <w:br/>
              <w:t>Price ($)</w:t>
            </w:r>
          </w:p>
        </w:tc>
        <w:tc>
          <w:tcPr>
            <w:tcW w:w="67" w:type="dxa"/>
            <w:tcBorders/>
            <w:vAlign w:val="bottom"/>
          </w:tcPr>
          <w:p>
            <w:pPr>
              <w:pStyle w:val="TableContents"/>
              <w:bidi w:val="0"/>
              <w:spacing w:before="0" w:after="283"/>
              <w:jc w:val="left"/>
              <w:rPr/>
            </w:pPr>
            <w:r>
              <w:rPr/>
              <w:t> </w:t>
            </w:r>
          </w:p>
        </w:tc>
      </w:tr>
      <w:tr>
        <w:trPr/>
        <w:tc>
          <w:tcPr>
            <w:tcW w:w="4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Timothy A. Springer</w:t>
            </w:r>
          </w:p>
        </w:tc>
        <w:tc>
          <w:tcPr>
            <w:tcW w:w="24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971,238</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437,282</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18,574,998</w:t>
            </w:r>
          </w:p>
        </w:tc>
        <w:tc>
          <w:tcPr>
            <w:tcW w:w="67" w:type="dxa"/>
            <w:tcBorders/>
            <w:shd w:fill="CCEEFF" w:val="clear"/>
            <w:vAlign w:val="bottom"/>
          </w:tcPr>
          <w:p>
            <w:pPr>
              <w:pStyle w:val="TableContents"/>
              <w:bidi w:val="0"/>
              <w:spacing w:before="0" w:after="283"/>
              <w:jc w:val="left"/>
              <w:rPr/>
            </w:pPr>
            <w:r>
              <w:rPr/>
              <w:t> </w:t>
            </w:r>
          </w:p>
        </w:tc>
      </w:tr>
      <w:tr>
        <w:trPr/>
        <w:tc>
          <w:tcPr>
            <w:tcW w:w="441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Ventures(1)</w:t>
            </w:r>
          </w:p>
        </w:tc>
        <w:tc>
          <w:tcPr>
            <w:tcW w:w="2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659,980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8,703,552</w:t>
            </w:r>
          </w:p>
        </w:tc>
        <w:tc>
          <w:tcPr>
            <w:tcW w:w="67" w:type="dxa"/>
            <w:tcBorders/>
            <w:vAlign w:val="bottom"/>
          </w:tcPr>
          <w:p>
            <w:pPr>
              <w:pStyle w:val="TableContents"/>
              <w:bidi w:val="0"/>
              <w:spacing w:before="0" w:after="283"/>
              <w:jc w:val="left"/>
              <w:rPr/>
            </w:pPr>
            <w:r>
              <w:rPr/>
              <w:t> </w:t>
            </w:r>
          </w:p>
        </w:tc>
      </w:tr>
      <w:tr>
        <w:trPr/>
        <w:tc>
          <w:tcPr>
            <w:tcW w:w="4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Polaris Partners IX, L.P.(2)</w:t>
            </w:r>
          </w:p>
        </w:tc>
        <w:tc>
          <w:tcPr>
            <w:tcW w:w="24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568,716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7,499,999</w:t>
            </w:r>
          </w:p>
        </w:tc>
        <w:tc>
          <w:tcPr>
            <w:tcW w:w="67" w:type="dxa"/>
            <w:tcBorders/>
            <w:shd w:fill="CCEEFF" w:val="clear"/>
            <w:vAlign w:val="bottom"/>
          </w:tcPr>
          <w:p>
            <w:pPr>
              <w:pStyle w:val="TableContents"/>
              <w:bidi w:val="0"/>
              <w:spacing w:before="0" w:after="283"/>
              <w:jc w:val="left"/>
              <w:rPr/>
            </w:pPr>
            <w:r>
              <w:rPr/>
              <w:t> </w:t>
            </w:r>
          </w:p>
        </w:tc>
      </w:tr>
      <w:tr>
        <w:trPr/>
        <w:tc>
          <w:tcPr>
            <w:tcW w:w="4410" w:type="dxa"/>
            <w:tcBorders/>
          </w:tcPr>
          <w:p>
            <w:pPr>
              <w:pStyle w:val="TableContents"/>
              <w:bidi w:val="0"/>
              <w:spacing w:before="0" w:after="0"/>
              <w:jc w:val="left"/>
              <w:rPr>
                <w:rFonts w:ascii="Times New Roman" w:hAnsi="Times New Roman"/>
                <w:sz w:val="20"/>
              </w:rPr>
            </w:pPr>
            <w:r>
              <w:rPr>
                <w:rFonts w:ascii="Times New Roman" w:hAnsi="Times New Roman"/>
                <w:sz w:val="20"/>
              </w:rPr>
              <w:t>Polaris Founders Capital Fund I, L.P.(3)</w:t>
            </w:r>
          </w:p>
        </w:tc>
        <w:tc>
          <w:tcPr>
            <w:tcW w:w="2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18,957</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249,997</w:t>
            </w:r>
          </w:p>
        </w:tc>
        <w:tc>
          <w:tcPr>
            <w:tcW w:w="67" w:type="dxa"/>
            <w:tcBorders/>
            <w:vAlign w:val="bottom"/>
          </w:tcPr>
          <w:p>
            <w:pPr>
              <w:pStyle w:val="TableContents"/>
              <w:bidi w:val="0"/>
              <w:spacing w:before="0" w:after="283"/>
              <w:jc w:val="left"/>
              <w:rPr/>
            </w:pPr>
            <w:r>
              <w:rPr/>
              <w:t> </w:t>
            </w:r>
          </w:p>
        </w:tc>
      </w:tr>
      <w:tr>
        <w:trPr/>
        <w:tc>
          <w:tcPr>
            <w:tcW w:w="4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Reicin Inc.(4)</w:t>
            </w:r>
          </w:p>
        </w:tc>
        <w:tc>
          <w:tcPr>
            <w:tcW w:w="24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11,374</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149,995</w:t>
            </w:r>
          </w:p>
        </w:tc>
        <w:tc>
          <w:tcPr>
            <w:tcW w:w="67"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642,161 shares purchased by Vida Ventures II, LLC (Vida II Main Fund) and (ii) 17,819 shares purchased by Vida Ventures II-A, LLC (Vida II Parallel Fund, and together with the Vida II Main Fund, Vida II). VV Manager II, LLC (VV Manager II) is the manager of Vida II. Stefan Vitorovic serves as a director on the Tectonic Board and is a member of the investment committee of VV Manager II, which is affiliated with Vida Ventures. Entities affiliated with Vida Ventures collectively hold more than five percent of Tectonics outstanding capital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Polaris Partners IX, L.P. (PP IX) owns more than five percent of Tectonics outstanding capital stock. Terrance McGuire serves as a director on the Tectonic Board and holds an interest in Polaris Partners GP IX, L.L.C., the general partner of PP IX.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Terrance McGuire serves as a director on the Tectonic Board and is a managing member of Polaris Founders Capital Management Co. I, L.L.C., the general partner of Polaris Founders Capital Fund I,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Reicin Inc. is controlled by Cheryl Reicin. Dr. Reicin is the sister of Dr. Reicin, who serves as the Chief Executive Officer of Tectonic and a director on the Tectonic Board.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Tectonic Subscription Agreement and Company SAFEs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concurrently with the execution and delivery of the Merger Agreement, Tectonic entered into the Subscription Agreement with certain investors named therein, pursuant to which such investors agreed to purchase shares of Tectonic common stock, at a purchase price of $12.39908 per share, and certain investors have consummated or will consummate certain additional purchases of Tectonic common stock pursuant to the terms of the Company SAFEs entered into by such investors and Tectonic, for an aggregate purchase price among the private financings contemplated by the Subscription Agreement and such Company SAFEs of approximately $130.7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commitments to purchase Tectonic common stock pursuant to the Subscription Agreement and the entry into the Company SAFEs by Tectonics related persons: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9"/>
        <w:gridCol w:w="286"/>
        <w:gridCol w:w="60"/>
        <w:gridCol w:w="1111"/>
        <w:gridCol w:w="63"/>
      </w:tblGrid>
      <w:tr>
        <w:trPr/>
        <w:tc>
          <w:tcPr>
            <w:tcW w:w="5419"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286"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Purchase</w:t>
              <w:br/>
              <w:t>Price ($)</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Timothy A. Springer, Ph.D.(1)</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41,999,997</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Polaris Partners IX, L.P.(2)</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8,999,989</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Ventures(3)</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7,499,987</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Polaris Founders Capital Fund II, L.P.(4)</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1,499,991</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Kruse, Ph.D.(5)</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125,000</w:t>
            </w:r>
          </w:p>
        </w:tc>
        <w:tc>
          <w:tcPr>
            <w:tcW w:w="6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Dr. Timothy A. Springer serves as a director on the Tectonic Board.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PP IX owns more than five percent of Tectonics outstanding capital stock. Terrance McGuire serves as a director on the Tectonic Board and holds an interest in Polaris Partners GP IX, L.L.C., the general partner of PP IX.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Stefan Vitorovic serves as a director on the Tectonic Board and is a member of the investment committee of VV Manager II, LLC, which is affiliated with Vida Ventures. Entities affiliated with Vida Ventures collectively own more than five percent of Tectonics outstanding capital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commitments to purchase Tectonic common stock pursuant to the Subscription Agreement. Terrance McGuire serves as a director on the Tectonic Board and is a managing member of Polaris Founders Capital Management Co. II, L.L.C., the general partner of Polaris Founders Capital Fund II,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Dr. Andrew Kruse serves as a director on the Tectonic Board.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Tectonics Series A preferred stock financing, Tectonic entered into investors rights, voting and right of first refusal and co-sale agreements containing registration rights, information rights, voting rights and rights of first refusal, among other things, with certain holders of Tectonics preferred stock and certain holders of Tectonics common stock. These stockholder agreements will terminate upon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Under the Merger </w:t>
      </w:r>
    </w:p>
    <w:p>
      <w:pPr>
        <w:pStyle w:val="TextBody"/>
        <w:bidi w:val="0"/>
        <w:spacing w:before="120" w:after="0"/>
        <w:jc w:val="left"/>
        <w:rPr>
          <w:rFonts w:ascii="Times New Roman" w:hAnsi="Times New Roman"/>
          <w:sz w:val="20"/>
        </w:rPr>
      </w:pPr>
      <w:r>
        <w:rPr>
          <w:rFonts w:ascii="Times New Roman" w:hAnsi="Times New Roman"/>
          <w:sz w:val="20"/>
        </w:rPr>
        <w:t xml:space="preserve">Certain Tectonic stockholders are parties to support agreements with Tectonic pursuant to which, among other things, each such stockholder, solely in his, her or its capacity as a Tectonic stockholder, has agreed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30, 2024, the Tectonic stockholders that are party to a support agreement with Tectonic held shares of Tectonic capital stock representing approximately 88.0% of the voting power of Tectonic. These stockholders include executive officers and directors of Tectonic, as well as certain other stockholders owning a significant portion of the outstanding shares of Tectonic capital stock.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contemplated by the Merger Agreement will execute a written consent providing for such adoption and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Tectonic has entered, or will enter prior to the closing of the merger, into indemnification agreements with each of its directors and executive officers. These agreements will, among other things, require Tectonic to indemnify these individuals for certain expenses (including attorneys fees), judgments, fines and settlement amounts reasonably incurred by such person in any action or proceeding, including any action by or in Tectonics right, on account of any services undertaken by such person on Tectonics behalf or that persons status as a member of the Tectonic Board to the maximum extent allowed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executive officers, directors and stockholders of AVROBIO and Tectonic have entered into the Lock-Up Agreements with AVROBIO, pursuant to which such parties have agreed not to, except in limited circumstances, sell or transfer their shares of AVROBIO common stock, for the 180-day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Tectonic stockholders who have executed Lock-Up Agreements as of January 30, 2024, owned in the aggregate, approximately 88.0% of the shares of Tectonics outstanding capital stock.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Lock-Up Agreements does not purport to be complete and is qualified in its entirety by the full text of the form of Lock-Up Agreement, which is attached hereto as</w:t>
      </w:r>
      <w:r>
        <w:rPr>
          <w:rFonts w:ascii="Times New Roman" w:hAnsi="Times New Roman"/>
          <w:sz w:val="20"/>
          <w:u w:val="single"/>
        </w:rPr>
        <w:t> Annex 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While Tectonic does not have a formal written policy or procedure for the review, approval or ratification of related party transactions, it has been the practice of the Tectonic Board to consider the nature of and business reason for such transactions, how the terms of such transactions compared to those which might be obtained from unaffiliated third parties and whether such transactions were otherwise fair to and in the best interests of, or not contrary to, Tectonics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merger, the audit committee of the board of directors of the combined organization will apply AVROBIOs related party transaction policy, described above, until such time as the board of directors of the combined organization shall amend the policy. All of the Tectonic transactions described in this section were entered into prior to the application of this policy to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73" w:name="toc770053_179"/>
      <w:bookmarkEnd w:id="173"/>
      <w:r>
        <w:rPr>
          <w:rFonts w:ascii="Times New Roman" w:hAnsi="Times New Roman"/>
          <w:b/>
          <w:sz w:val="20"/>
        </w:rPr>
        <w:t xml:space="preserve">AVROBIO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a smaller reporting company, AVROBIO is required under SEC rules to disclose any transaction for the last two completed fiscal years or any currently proposed transaction in which AVROBIO is a participant and in which any related person has or will have a direct or indirect material interest involving an amount in excess of $120,000 or 1% of the average of AVROBIOs total assets at year-end for the last two fiscal years. A related person is any executive officer, director, nominee for director or holder of 5% or more of AVROBIOs common stock or an immediate family member of any of those persons. </w:t>
      </w:r>
    </w:p>
    <w:p>
      <w:pPr>
        <w:pStyle w:val="TextBody"/>
        <w:bidi w:val="0"/>
        <w:spacing w:before="240" w:after="0"/>
        <w:jc w:val="left"/>
        <w:rPr>
          <w:rFonts w:ascii="Times New Roman" w:hAnsi="Times New Roman"/>
          <w:sz w:val="20"/>
        </w:rPr>
      </w:pPr>
      <w:r>
        <w:rPr>
          <w:rFonts w:ascii="Times New Roman" w:hAnsi="Times New Roman"/>
          <w:sz w:val="20"/>
        </w:rPr>
        <w:t>Other than the compensation agreements and other arrangements described under the sections titled </w:t>
      </w:r>
      <w:r>
        <w:rPr>
          <w:rFonts w:ascii="Times New Roman" w:hAnsi="Times New Roman"/>
          <w:i/>
          <w:sz w:val="20"/>
        </w:rPr>
        <w:t>AVROBIOs Executive Compensation</w:t>
      </w:r>
      <w:r>
        <w:rPr>
          <w:rFonts w:ascii="Times New Roman" w:hAnsi="Times New Roman"/>
          <w:sz w:val="20"/>
        </w:rPr>
        <w:t> and </w:t>
      </w:r>
      <w:r>
        <w:rPr>
          <w:rFonts w:ascii="Times New Roman" w:hAnsi="Times New Roman"/>
          <w:i/>
          <w:sz w:val="20"/>
        </w:rPr>
        <w:t>AVROBIOs Director Compensation</w:t>
      </w:r>
      <w:r>
        <w:rPr>
          <w:rFonts w:ascii="Times New Roman" w:hAnsi="Times New Roman"/>
          <w:sz w:val="20"/>
        </w:rPr>
        <w:t xml:space="preserve"> beginning on pages 284 and 294, respectively, of this proxy statement/prospectus and the transactions described below, since January 1, 2022, there has not been and there is not currently proposed, any transaction or series of similar transactions to which AVROBIO is, or will be, a party in which the amount involved exceeded, or will exceed, $120,000 (or, if less, one percent of the average of AVROBIOs total assets amounts at December 31, 2022 and 2023) and in which any director, executive officer, holder of five percent or more of any class of AVROBIOs capital stock or any member of the immediate family of, or entities affiliated with, any of the foregoing persons, had, or will have, a direct or indirect material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Agreements and Related Agreements with University Health Network </w:t>
      </w:r>
    </w:p>
    <w:p>
      <w:pPr>
        <w:pStyle w:val="TextBody"/>
        <w:bidi w:val="0"/>
        <w:spacing w:before="120" w:after="0"/>
        <w:jc w:val="left"/>
        <w:rPr>
          <w:rFonts w:ascii="Times New Roman" w:hAnsi="Times New Roman"/>
          <w:i/>
          <w:sz w:val="20"/>
        </w:rPr>
      </w:pPr>
      <w:r>
        <w:rPr>
          <w:rFonts w:ascii="Times New Roman" w:hAnsi="Times New Roman"/>
          <w:i/>
          <w:sz w:val="20"/>
        </w:rPr>
        <w:t xml:space="preserve">Fabry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2016, AVROBIO entered into an option agreement with UHN pursuant to which UHN granted AVROBIO an exclusive option to enter into an exclusive license under certain intellectual property rights related to Fabry disease. On November 4, 2016, AVROBIO executed its option and entered into an exclusive license agreement with UHN. Under this agreement (the Fabry license agreement), UHN granted AVROBIO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Fabry license agreement, AVROBIO paid to UHN a one-time upfront fee and was obligated to pay an annual maintenance fee until the first sale of a licensed product in certain markets. AVROBIO was also required to make payments to UHN in connection with the achievement of certain development and regulatory milestones in an aggregate amount of up to CAD$2.45 million, as well as royalties on a country-by-country basis of a low to mid-single digit percentage on annual sales of licensed products and a lower single digit royalty in certain circumstances. Additionally, AVROBIO was required to pay a low double digit percentage of all sublicensing revenue. AVROBIO also made a philanthropic commitment to donate funds to organizations for the benefit of the Canadian Fabry community in an amount equal to a low double digit percentage of AVROBIOs royalty payments and regulatory milestone payments, up to a maximum of CAD$500,000 in any calendar year. In connection with this agreement, AVROBIO also entered into three separate letter agreements with UHN, dated November 4, 2016, June 2, 2017 and December 11, 2019, pursuant to which AVROBIO agreed to provide certain funding and costs and expenses associated with a clinical trial conducted by UHN for the treatment of Fabry disease. For the years ended December 31, 2022 and 2023, AVROBIO paid $161 and $93 thousand, respectively, to UHN in connection with these agreements, which consists of reimbursable funded study trial costs and license maintenance fees. Effective as of January 4, 2024, AVROBIO terminated the Fabry license agreement with UHN. Following the termination of the Fabry license agreement, AVROBIO does not have any remaining financial obligations to UHN pursuant to the Fabry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Interleukin-12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2016, AVROBIO entered into an exclusive license agreement (the IL-12 Agreement) with UHN pursuant to which UHN granted AVROBIO an exclusive license to certain intellectual property rights relating to Interleukin-12 proteins (IL-12). AVROBIO entered into an amendment to the IL-12 Agreement on September 28, 2017. Under the IL-12 Agreement, as amended (the Amended IL-12 Agreement),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 an upfront license fee and reimbursement of certain patent expenses, and AVROBIO was also obligated to pay an annual license fee as well as payments in connection with the achievement of certain performance and development milestones for an aggregate total of up to CAD$19.275 million in milestone payments. Additionally, the Amended IL-12 Agreement required AVROBIO to pay a low to mid-single digit royalty percentage on annual sales of licensed products, and a low double digit percentage of all sublicensing revenue. For the years ended December 31, 2022 and 2023, AVROBIO paid $39 and $37 thousand to UHN under the Amended IL-12 Agreement, respectively, which consists of license maintenance fees. Effective as of August 24, 2023, AVROBIO and UHN agreed to terminate the Amended IL-12 Agreement. Following the termination of the Amended IL-12 Agreement, AVROBIO does not have any remaining financial obligations to UHN pursuant to the Amended IL-12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Amended IL-12 Agreement, AVROBIO has also entered into two separate sponsored research agreements with UHN, one in March 2017 and one in July 2017. The March 2017 agreement was amended and restated and subsequently amended in November 2017. Pursuant to each of these sponsored research agreements, AVROBIO agreed to fund certain research projects related to IL-12 and Fabry disease, including salaries of certain researchers of up to CAD$200,000 and CAD$164,652 under the March 2017 and July 2017 agreements, respectively. </w:t>
      </w:r>
    </w:p>
    <w:p>
      <w:pPr>
        <w:pStyle w:val="TextBody"/>
        <w:bidi w:val="0"/>
        <w:spacing w:before="240" w:after="0"/>
        <w:jc w:val="left"/>
        <w:rPr>
          <w:rFonts w:ascii="Times New Roman" w:hAnsi="Times New Roman"/>
          <w:sz w:val="20"/>
        </w:rPr>
      </w:pPr>
      <w:r>
        <w:rPr>
          <w:rFonts w:ascii="Times New Roman" w:hAnsi="Times New Roman"/>
          <w:sz w:val="20"/>
        </w:rPr>
        <w:t xml:space="preserve">At the time AVROBIO entered into each of the above agreements with UHN, other than the letter agreement dated December 11, 2019, UHN was a greater than 5% beneficial owner of AVROBIOs outstanding capital stock. Additionally, Christopher Paige is a senior scientist at UHN and is currently a member of the AVROBIO Board. As an inventor of certain of the intellectual property rights related to IL-12 that AVROBIO licenses from UHN, Dr. Paige would have been entitled to a portion of the consideration that AVROBIO would have been required to pay to UHN pursuant to the Amended IL-12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AVROBIOs prior preferred stock financings, AVROBIO entered into investors rights, voting and right of first refusal and co-sale agreements containing registration rights, information rights, voting rights and rights of first refusal, among other things, with certain holders of AVROBIOs preferred stock and certain holders of AVROBIOs common stock. These stockholder agreements terminated upon the closing of AVROBIOs IPO, except for the registration rights granted under its investors rights agreement, which terminated five years following AVROBIOs IPO.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certain stockholders of AVROBIO holding approximately 10.8% of the outstanding shares of AVROBIO common stock as of January 30, 2024 entered into support agreements with AVRO. These stockholders include executive officers and directors of AVROBIO, as well as certain other stockholders owning a significant portion of the outstanding shares of AVROBIO capital stock. </w:t>
      </w:r>
    </w:p>
    <w:p>
      <w:pPr>
        <w:pStyle w:val="TextBody"/>
        <w:bidi w:val="0"/>
        <w:spacing w:before="240" w:after="0"/>
        <w:jc w:val="left"/>
        <w:rPr>
          <w:rFonts w:ascii="Times New Roman" w:hAnsi="Times New Roman"/>
          <w:sz w:val="20"/>
        </w:rPr>
      </w:pPr>
      <w:r>
        <w:rPr>
          <w:rFonts w:ascii="Times New Roman" w:hAnsi="Times New Roman"/>
          <w:sz w:val="20"/>
        </w:rPr>
        <w:t>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The foregoing description of the support agreements does not purport to be complete and is qualified in its entirety by the full text of the form of AVROBIO support agreement, which is attached hereto as </w:t>
      </w:r>
      <w:r>
        <w:rPr>
          <w:rFonts w:ascii="Times New Roman" w:hAnsi="Times New Roman"/>
          <w:sz w:val="20"/>
          <w:u w:val="single"/>
        </w:rPr>
        <w:t>Annex C</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AVROBIO has entered into and in the future plans to enter into agreements to indemnify AVROBIOs directors and executive officers. These agreements, among other things, require AVROBIO to indemnify these individuals for certain expenses (including attorneys fees), judgments, fines and settlement amounts reasonably incurred by such person in any action or proceeding, including any action by or in AVROBIOs right, on account of any services undertaken by such person on behalf of AVROBIO or that persons status as a member of the AVROBIO Board or as an officer of AVROBIO to the maximum extent allowed under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executive officers, directors and stockholders of AVROBIO and Tectonic have entered into the Lock-Up Agreements with AVROBIO, pursuant to which such parties have agreed not to, except in limited circumstances, sell or transfer their shares of AVROBIO common stock, for the 180-day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AVROBIO stockholders who have executed Lock-Up Agreements as of January 30, 2024, owned in the aggregate, approximately 10.8% of the shares of AVROBIOs then outstanding capital stock. </w:t>
      </w:r>
    </w:p>
    <w:p>
      <w:pPr>
        <w:pStyle w:val="TextBody"/>
        <w:bidi w:val="0"/>
        <w:spacing w:before="240" w:after="0"/>
        <w:jc w:val="left"/>
        <w:rPr>
          <w:rFonts w:ascii="Times New Roman" w:hAnsi="Times New Roman"/>
          <w:sz w:val="20"/>
        </w:rPr>
      </w:pPr>
      <w:r>
        <w:rPr>
          <w:rFonts w:ascii="Times New Roman" w:hAnsi="Times New Roman"/>
          <w:sz w:val="20"/>
        </w:rPr>
        <w:t>For a more detailed discussion of the Lock-Up Agreements, please see the section titled </w:t>
      </w:r>
      <w:r>
        <w:rPr>
          <w:rFonts w:ascii="Times New Roman" w:hAnsi="Times New Roman"/>
          <w:i/>
          <w:sz w:val="20"/>
        </w:rPr>
        <w:t>Agreements Related to the MergerLock-Up Agreements</w:t>
      </w:r>
      <w:r>
        <w:rPr>
          <w:rFonts w:ascii="Times New Roman" w:hAnsi="Times New Roman"/>
          <w:sz w:val="20"/>
        </w:rPr>
        <w:t xml:space="preserve"> beginning on page 264 of this proxy statement/prospectus. The foregoing description of the Lock-Up Agreements does not purport to be complete and is qualified in its entirety by the full text of the form of Lock-Up Agreement, which is attached hereto as </w:t>
      </w:r>
      <w:r>
        <w:rPr>
          <w:rFonts w:ascii="Times New Roman" w:hAnsi="Times New Roman"/>
          <w:sz w:val="20"/>
          <w:u w:val="single"/>
        </w:rPr>
        <w:t>Annex 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reviews and approves transactions with directors, officers and holders of five percent or more of AVROBIOs voting securities and their affiliates, each a related party. AVROBIO adopted a written related person transaction policy that requires related party transactions to be approved by AVROBIOs Audit Committee. Pursuant to this policy, the Audit Committee has the primary responsibility for reviewing and approving or disapproving related party transactions, which are transactions between AVROBIO and related persons in which a related person has or will have a direct or indirect material interest. For purposes of this policy, a related person will be defined as a director, executive officer, nominee for director, or greater than 5% beneficial owner of AVROBIO common stock, in each case since the beginning of the most recently completed year, and their immediate family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4" w:name="toc770053_180"/>
      <w:bookmarkEnd w:id="174"/>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discussion in this section, a one-for-ten reverse stock split of AVROBIO common stock has been assumed, and any references herein to the proposed one-for-ten reverse stock split shall account for such assumption.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2024, AVROBIO, Inc. (AVROBIO), Tectonic Therapeutic, Inc. (Tectonic), and AVROBIO Merger Subsidiary, Inc., a direct, wholly owned subsidiary of AVROBIO (Merger Sub) entered into an agreement and plan of merger and reorganization (the Merger Agreement), pursuant to which Merger Sub will merge with and into Tectonic, with Tectonic surviving as a wholly owned subsidiary of AVROBIO (such transaction, the merger). Upon completion of the merger, the business of Tectonic will continue as the business of the surviving corporation, referred to herein as the combined company. After the completion of the merger, AVROBIO will change its corporate name to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merger (the effective time or the Closing) and related transactions, each share of Tectonic common stock outstanding immediately prior to the effective time, including outstanding and unvested Tectonic Restricted Stock (defined in Note 1 of the accompanying notes), will be converted into the right to receive 14,895,913 shares of AVROBIO common stock in the aggregate, 16,057 shares of which will be subject to the same vesting provisions as those immediately prior to the merger, based on an exchange ratio determined in accordance with the terms of the Merger Agreement (the Exchange Ratio). The number of shares of Tectonic common stock outstanding immediately prior to the effective time includes Tectonic common stock issued upon conversion of each share of Tectonic convertible preferred stock, and shares of Tectonic common stock issued in connection with the Subscription Agreements and Company SAFEs as defined in Note 1 of the accompanying notes (together with the merger, the Transactions). The Exchange Ratio is currently estimated to be 0.74 shares of AVROBIO common stock for each share of Tectonic common stock after giving effect to the proposed one-for-ten reverse stock split of AVROBIO common stock, and is subject to change to account for, among other things, whether AVROBIOs net cash balance (as defined in the Merger Agreement) is less than $64.5 million or greater than $65.5 million as of the Closing. The preliminary estimated Exchange Ratio reflects the assumption that AVROBIOs net cash as of the Closing will be $65.0 million. Management currently anticipates that AVROBIOs net cash as of the Closing will be approximately $65.0 million to $75.0 million, see Note 1 of the accompanying notes for additional discussion.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AVROBIO and Tectonic as of December 31, 2023, and depicts the accounting of the Transactions under U.S. generally accepted accounting principles (pro forma balance sheet transaction accounting adjustments). The unaudited pro forma condensed combined statement of operations for the year ended December 31, 2023 combines the historical results of AVROBIO and Tectonic for this period and depicts the pro forma balance sheet transaction accounting adjustments assuming that those adjustments were made as of January 1, 2023 (pro forma statement of operations transaction accounting adjustments). Collectively, pro forma balance sheet transaction accounting adjustments and pro forma statement of operations transaction accounting adjustments are referred to as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Tectonic for the years ended December 31, 2023 and 2022, and the related notes included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AVROBIO for the years ended December 31, 2023 and 2022, and the related notes included elsewhere in this proxy statement/prospectus;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sections titled </w:t>
            </w:r>
            <w:r>
              <w:rPr>
                <w:rFonts w:ascii="Times New Roman" w:hAnsi="Times New Roman"/>
                <w:i/>
                <w:sz w:val="20"/>
              </w:rPr>
              <w:t>AVROBIOs Managements Discussion and Analysis of Financial Condition and Results of Operations</w:t>
            </w:r>
            <w:r>
              <w:rPr>
                <w:rFonts w:ascii="Times New Roman" w:hAnsi="Times New Roman"/>
                <w:sz w:val="20"/>
              </w:rPr>
              <w:t>, </w:t>
            </w:r>
            <w:r>
              <w:rPr>
                <w:rFonts w:ascii="Times New Roman" w:hAnsi="Times New Roman"/>
                <w:i/>
                <w:sz w:val="20"/>
              </w:rPr>
              <w:t>Tectonics Managements Discussion and Analysis of Financial Condition and Results of Operation</w:t>
            </w:r>
            <w:r>
              <w:rPr>
                <w:rFonts w:ascii="Times New Roman" w:hAnsi="Times New Roman"/>
                <w:sz w:val="20"/>
              </w:rPr>
              <w:t xml:space="preserve">, and other financial information relating to AVROBIO and Tectonic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AVROBIO and Tectonic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2023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0"/>
        <w:gridCol w:w="232"/>
        <w:gridCol w:w="224"/>
        <w:gridCol w:w="1435"/>
        <w:gridCol w:w="155"/>
        <w:gridCol w:w="178"/>
        <w:gridCol w:w="197"/>
        <w:gridCol w:w="1100"/>
        <w:gridCol w:w="155"/>
        <w:gridCol w:w="178"/>
        <w:gridCol w:w="180"/>
        <w:gridCol w:w="1156"/>
        <w:gridCol w:w="155"/>
        <w:gridCol w:w="178"/>
        <w:gridCol w:w="60"/>
        <w:gridCol w:w="140"/>
        <w:gridCol w:w="350"/>
        <w:gridCol w:w="178"/>
        <w:gridCol w:w="169"/>
        <w:gridCol w:w="984"/>
        <w:gridCol w:w="161"/>
      </w:tblGrid>
      <w:tr>
        <w:trPr/>
        <w:tc>
          <w:tcPr>
            <w:tcW w:w="264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2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550" w:type="dxa"/>
            <w:gridSpan w:val="10"/>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br/>
              <w:t>AVROBIO Inc.</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w:t>
              <w:br/>
              <w:t>Tectonic</w:t>
              <w:br/>
              <w:t>Therapeutic</w:t>
              <w:br/>
              <w:t>Inc.</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0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98,020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28,769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94,600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(e)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219,023</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(a)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(b)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(3,079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(c)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683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(k)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(k)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1,958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2,115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(1,388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(i)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2,685</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Total current assets</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100,261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30,884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90,563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221,708</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right-of-use assets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432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2,669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(432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(j)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2,669</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Finance right-of-use assets, net</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1,437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1,437</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Property, equipment and improvements, net</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3,122</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Deferred offering costs</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669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(669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(g)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Restricted cash, net of current portion</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400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(400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(k)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587</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31</w:t>
            </w:r>
          </w:p>
        </w:tc>
        <w:tc>
          <w:tcPr>
            <w:tcW w:w="161" w:type="dxa"/>
            <w:tcBorders/>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assets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101,093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39,399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89,062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229,554</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b/>
                <w:sz w:val="16"/>
              </w:rPr>
            </w:pPr>
            <w:r>
              <w:rPr>
                <w:rFonts w:ascii="Times New Roman" w:hAnsi="Times New Roman"/>
                <w:b/>
                <w:sz w:val="16"/>
              </w:rPr>
              <w:t>Liabilities, Convertible Preferred Stock and Stockholders Equity (Deficit)</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409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436</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Accrued expenses and other current liabilities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5,449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8,141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6,781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(g)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28,588</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1,121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(c)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7,096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(h)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SAFE liabilities</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30,515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(f)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(34,125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(f)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Operating lease liabilitycurrent portion</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878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1,348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(878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(j)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1,348</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Finance lease liabilitycurrent portion</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475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475</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Total current liabilities</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6,354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40,888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(16,395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30,847</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liabilitynet of current portion</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1,644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1,644</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Finance lease liabilitynet of current portion</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876</w:t>
            </w:r>
          </w:p>
        </w:tc>
        <w:tc>
          <w:tcPr>
            <w:tcW w:w="161" w:type="dxa"/>
            <w:tcBorders/>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liabilities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6,354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43,408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(16,395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33,367</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Tectonic convertible preferred stock (Series A-1, A-2, A-3 and A-4), </w:t>
              <w:br/>
              <w:t>$0.0001 par value</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80,627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(80,627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(d)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Stockholders equity (deficit):</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AVROBIO common stock, $0.0001 par value</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(b)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(l)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(l)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Tectonic common stock, $0.0001 par value</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(d)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(e)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(f)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(a)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(l)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572,010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5,979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80,626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(d)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290,410</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94,599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(e)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34,125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(f)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(a)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(7,450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(g)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(b)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(489,509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(l)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loss</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(477,275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(90,604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(f)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(94,214</w:t>
            </w:r>
          </w:p>
        </w:tc>
        <w:tc>
          <w:tcPr>
            <w:tcW w:w="161"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(4,200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(c)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(7,096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(h)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(1,388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(i)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446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(j) </w:t>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640" w:type="dxa"/>
            <w:tcBorders/>
            <w:shd w:fill="CCEEFF" w:val="clear"/>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489,513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(l) </w:t>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16"/>
              </w:rPr>
            </w:pPr>
            <w:r>
              <w:rPr>
                <w:rFonts w:ascii="Times New Roman" w:hAnsi="Times New Roman"/>
                <w:sz w:val="16"/>
              </w:rPr>
              <w:t>Total stockholders equity (deficit)</w:t>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94,739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(84,636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186,084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196,187</w:t>
            </w:r>
          </w:p>
        </w:tc>
        <w:tc>
          <w:tcPr>
            <w:tcW w:w="161" w:type="dxa"/>
            <w:tcBorders/>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liabilities, convertible preferred stock and stockholders equity (deficit)</w:t>
            </w:r>
          </w:p>
        </w:tc>
        <w:tc>
          <w:tcPr>
            <w:tcW w:w="23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101,093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39,399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89,062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229,554</w:t>
            </w:r>
          </w:p>
        </w:tc>
        <w:tc>
          <w:tcPr>
            <w:tcW w:w="161" w:type="dxa"/>
            <w:tcBorders/>
            <w:shd w:fill="CCEEFF" w:val="clear"/>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i/>
          <w:sz w:val="18"/>
        </w:rPr>
      </w:pPr>
      <w:r>
        <w:rPr>
          <w:rFonts w:ascii="Times New Roman" w:hAnsi="Times New Roman"/>
          <w:i/>
          <w:sz w:val="18"/>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9"/>
        <w:gridCol w:w="101"/>
        <w:gridCol w:w="183"/>
        <w:gridCol w:w="1457"/>
        <w:gridCol w:w="155"/>
        <w:gridCol w:w="101"/>
        <w:gridCol w:w="215"/>
        <w:gridCol w:w="1533"/>
        <w:gridCol w:w="155"/>
        <w:gridCol w:w="101"/>
        <w:gridCol w:w="205"/>
        <w:gridCol w:w="1108"/>
        <w:gridCol w:w="155"/>
        <w:gridCol w:w="101"/>
        <w:gridCol w:w="438"/>
        <w:gridCol w:w="101"/>
        <w:gridCol w:w="140"/>
        <w:gridCol w:w="1103"/>
        <w:gridCol w:w="155"/>
        <w:gridCol w:w="101"/>
        <w:gridCol w:w="408"/>
      </w:tblGrid>
      <w:tr>
        <w:trPr/>
        <w:tc>
          <w:tcPr>
            <w:tcW w:w="218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6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351" w:type="dxa"/>
            <w:gridSpan w:val="8"/>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t>
              <w:br/>
              <w:t>AVROBIO Inc.</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7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w:t>
              <w:br/>
              <w:t>Tectonic</w:t>
              <w:br/>
              <w:t>Therapeutic Inc.</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57" w:type="dxa"/>
            <w:tcBorders/>
            <w:vAlign w:val="bottom"/>
          </w:tcPr>
          <w:p>
            <w:pPr>
              <w:pStyle w:val="TableContents"/>
              <w:bidi w:val="0"/>
              <w:spacing w:before="0" w:after="283"/>
              <w:jc w:val="right"/>
              <w:rPr/>
            </w:pPr>
            <w:r>
              <w:rPr/>
              <w:t>47,700</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533" w:type="dxa"/>
            <w:tcBorders/>
            <w:vAlign w:val="bottom"/>
          </w:tcPr>
          <w:p>
            <w:pPr>
              <w:pStyle w:val="TableContents"/>
              <w:bidi w:val="0"/>
              <w:spacing w:before="0" w:after="283"/>
              <w:jc w:val="right"/>
              <w:rPr/>
            </w:pPr>
            <w:r>
              <w:rPr/>
              <w:t>36,966</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572</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7(c)</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87,082</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1,844</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right"/>
              <w:rPr/>
            </w:pPr>
            <w:r>
              <w:rPr/>
              <w:t>7(a)</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23,967</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7,682</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7,096</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7(b)</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41,917</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816</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right"/>
              <w:rPr/>
            </w:pPr>
            <w:r>
              <w:rPr/>
              <w:t>7(c)</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4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2,356</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7(a)</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71,667</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44,648</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12,684</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128,999</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83,736</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83,736</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(1,877</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(1,877</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10,192</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(44,648</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(12,684</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(47,140</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2,420</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581</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3,001</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396</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446</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7(e)</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764</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1,255</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7(d)</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(2,355</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2,342</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1,825</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(3,164</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1,003</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12,534</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(42,823</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(15,848</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(46,137</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5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57" w:type="dxa"/>
            <w:tcBorders/>
            <w:vAlign w:val="bottom"/>
          </w:tcPr>
          <w:p>
            <w:pPr>
              <w:pStyle w:val="TableContents"/>
              <w:bidi w:val="0"/>
              <w:spacing w:before="0" w:after="283"/>
              <w:jc w:val="right"/>
              <w:rPr/>
            </w:pPr>
            <w:r>
              <w:rPr/>
              <w:t>12,157</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533" w:type="dxa"/>
            <w:tcBorders/>
            <w:vAlign w:val="bottom"/>
          </w:tcPr>
          <w:p>
            <w:pPr>
              <w:pStyle w:val="TableContents"/>
              <w:bidi w:val="0"/>
              <w:spacing w:before="0" w:after="283"/>
              <w:jc w:val="right"/>
              <w:rPr/>
            </w:pPr>
            <w:r>
              <w:rPr/>
              <w:t>(42,823</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(15,848</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(46,514</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5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for the period attributable to equity holders</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457" w:type="dxa"/>
            <w:tcBorders/>
            <w:shd w:fill="CCEEFF" w:val="clear"/>
            <w:vAlign w:val="bottom"/>
          </w:tcPr>
          <w:p>
            <w:pPr>
              <w:pStyle w:val="TableContents"/>
              <w:bidi w:val="0"/>
              <w:spacing w:before="0" w:after="283"/>
              <w:jc w:val="right"/>
              <w:rPr/>
            </w:pPr>
            <w:r>
              <w:rPr/>
              <w:t>12,157</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533" w:type="dxa"/>
            <w:tcBorders/>
            <w:shd w:fill="CCEEFF" w:val="clear"/>
            <w:vAlign w:val="bottom"/>
          </w:tcPr>
          <w:p>
            <w:pPr>
              <w:pStyle w:val="TableContents"/>
              <w:bidi w:val="0"/>
              <w:spacing w:before="0" w:after="283"/>
              <w:jc w:val="right"/>
              <w:rPr/>
            </w:pPr>
            <w:r>
              <w:rPr/>
              <w:t>(42,823</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(46,514)</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5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 - basic</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44,327,204</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2,373,674</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19,224,806</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7(f)</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5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 - basic</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457" w:type="dxa"/>
            <w:tcBorders/>
            <w:shd w:fill="CCEEFF" w:val="clear"/>
            <w:vAlign w:val="bottom"/>
          </w:tcPr>
          <w:p>
            <w:pPr>
              <w:pStyle w:val="TableContents"/>
              <w:bidi w:val="0"/>
              <w:spacing w:before="0" w:after="283"/>
              <w:jc w:val="right"/>
              <w:rPr/>
            </w:pPr>
            <w:r>
              <w:rPr/>
              <w:t>0.27</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533" w:type="dxa"/>
            <w:tcBorders/>
            <w:shd w:fill="CCEEFF" w:val="clear"/>
            <w:vAlign w:val="bottom"/>
          </w:tcPr>
          <w:p>
            <w:pPr>
              <w:pStyle w:val="TableContents"/>
              <w:bidi w:val="0"/>
              <w:spacing w:before="0" w:after="283"/>
              <w:jc w:val="right"/>
              <w:rPr/>
            </w:pPr>
            <w:r>
              <w:rPr/>
              <w:t>(18.04</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(2.42)</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5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 - diluted</w:t>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44,567,918</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2,373,674</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19,248,878</w:t>
            </w:r>
          </w:p>
        </w:tc>
        <w:tc>
          <w:tcPr>
            <w:tcW w:w="15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7(f)</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5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 - diluted</w:t>
            </w:r>
          </w:p>
        </w:tc>
        <w:tc>
          <w:tcPr>
            <w:tcW w:w="10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457" w:type="dxa"/>
            <w:tcBorders/>
            <w:shd w:fill="CCEEFF" w:val="clear"/>
            <w:vAlign w:val="bottom"/>
          </w:tcPr>
          <w:p>
            <w:pPr>
              <w:pStyle w:val="TableContents"/>
              <w:bidi w:val="0"/>
              <w:spacing w:before="0" w:after="283"/>
              <w:jc w:val="right"/>
              <w:rPr/>
            </w:pPr>
            <w:r>
              <w:rPr/>
              <w:t>0.27</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533" w:type="dxa"/>
            <w:tcBorders/>
            <w:shd w:fill="CCEEFF" w:val="clear"/>
            <w:vAlign w:val="bottom"/>
          </w:tcPr>
          <w:p>
            <w:pPr>
              <w:pStyle w:val="TableContents"/>
              <w:bidi w:val="0"/>
              <w:spacing w:before="0" w:after="283"/>
              <w:jc w:val="right"/>
              <w:rPr/>
            </w:pPr>
            <w:r>
              <w:rPr/>
              <w:t>(18.04</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(2.42)</w:t>
            </w:r>
          </w:p>
        </w:tc>
        <w:tc>
          <w:tcPr>
            <w:tcW w:w="15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5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center"/>
        <w:rPr>
          <w:rFonts w:ascii="Times New Roman" w:hAnsi="Times New Roman"/>
          <w:sz w:val="20"/>
        </w:rPr>
      </w:pPr>
      <w:r>
        <w:rPr>
          <w:rFonts w:ascii="Times New Roman" w:hAnsi="Times New Roman"/>
          <w:sz w:val="20"/>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5" w:name="toc770053_181"/>
      <w:bookmarkEnd w:id="175"/>
      <w:r>
        <w:rPr>
          <w:rFonts w:ascii="Times New Roman" w:hAnsi="Times New Roman"/>
          <w:b/>
          <w:sz w:val="20"/>
        </w:rPr>
        <w:t xml:space="preserve">NOTES TO UNAUDITED PRO FORMA CONDENSED COMBINED FINANCIAL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30, 2024, AVROBIO, Tectonic and Merger Sub entered into the Merger Agreement pursuant to which Merger Sub will merge with and into Tectonic, with Tectonic surviving as a wholly owned subsidiary of AVROBIO. Subject to the terms and conditions of the Merger Agreement, at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Tectonic common stock, including outstanding and unvested Tectonic Restricted Stock (defined below), after giving effect to the Transactions, will be converted into the right to receive a number of shares of AVROBIOs common stock, based on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and unexercised option to purchase shares of Tectonic common stock (Tectonic options) immediately prior to Closing will be assumed by AVROBIO and will be converted into an option to purchase shares of AVROBIO common stock, with necessary adjustments to the number of shares and exercise price to reflect the Exchange Ratio;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Tectonic restricted common stock outstanding and unvested immediately prior to Closing (Tectonic Restricted Stock) that is assumed by AVROBIO in the merger will remain unvested to the same extent and will be subject to the same repurchase option, risk of forfeiture or other condition under any applicable restricted stock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board of directors of AVROBIO will take actions to accelerate the vesting of certain outstanding options to purchase AVROBIO common stock, after giving effect to the proposed one-for-ten reverse stock split, held by a current employee, director or consultant of AVROBIO as of the closing of the merger, and accelerate the vesting and settle into shares of AVROBIO common stock each outstanding restricted stock unit (RSU) in respect of AVROBIO common stock that vests solely on the basis of time. The acceleration of vesting of AVROBIOs options and RSUs occurs either upon a change of control as defined, pursuant to the terms of the original awards, or a modification of the awards as a result of the merger. The post-merger stock-based compensation expense, including the incremental fair value of the AVROBIOs options and RSUs associated with the modification to accelerate vesting is expected to be immaterial at Closing and is not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AVROBIO stockholders as of immediately prior to the merger are expected to own approximately 22.3% of the outstanding capital stock of the combined company on a fully diluted basis, former Tectonic stockholders are expected to own approximately 39.8% of the outstanding capital stock of the combined company on a fully diluted basis, and investors participating in the Subscription Agreements and Company SAFEs are expected to own approximately 28% and 10% of the outstanding capital stock of the combined company, respectively, on a fully diluted basis. Tectonic stockholders are expected to receive approximately 14,895,913 shares of AVROBIO common stock in connection with the merger, including 16,057 shares of AVROBIO common stock subject to vesting terms, based on the number of shares of Tectonic common stock outstanding immediately prior to the merger, including Tectonic Restricted Stock, the number of shares Tectonic common stock issued to investors participating in the Subscription Agreements and Company SAFEs, and Tectonic convertible preferred stock outstanding as of December 31, 2023, which will be converted into shares of Tectonic common stock on a one-for-one basis immediately prior to the closing of the merger. These estimates are subject to certain inputs, which include, but are not limited to, (i) the assumption that AVROBIOs net cash at the Closing will be approximately $65.0 million, (ii) the proposed one-for-ten reverse stock split of AVROBIO common stock, and (iii) aggregate proceeds from the Private Financing Transactions (defined below) of $130.7 million. Tectonic Management does not currently expect the proceeds received from the Private Financing Transactions to change from the assumed $130.7 million. The following table summarizes the pro forma number of shares of common stock of the combined company outstanding following the consummation of the Transactions for the estimated range of AVROBIO net cash at Closing. Management currently anticipates that AVROBIOs net cash as of the Closing will be approximately $65.0 million to $75.0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345" w:type="dxa"/>
        <w:jc w:val="center"/>
        <w:tblInd w:w="0" w:type="dxa"/>
        <w:tblLayout w:type="fixed"/>
        <w:tblCellMar>
          <w:top w:w="0" w:type="dxa"/>
          <w:left w:w="0" w:type="dxa"/>
          <w:bottom w:w="0" w:type="dxa"/>
          <w:right w:w="0" w:type="dxa"/>
        </w:tblCellMar>
      </w:tblPr>
      <w:tblGrid>
        <w:gridCol w:w="4955"/>
        <w:gridCol w:w="120"/>
        <w:gridCol w:w="92"/>
        <w:gridCol w:w="1413"/>
        <w:gridCol w:w="60"/>
        <w:gridCol w:w="120"/>
        <w:gridCol w:w="156"/>
        <w:gridCol w:w="989"/>
        <w:gridCol w:w="275"/>
        <w:gridCol w:w="60"/>
        <w:gridCol w:w="89"/>
        <w:gridCol w:w="1416"/>
        <w:gridCol w:w="60"/>
        <w:gridCol w:w="120"/>
        <w:gridCol w:w="156"/>
        <w:gridCol w:w="989"/>
        <w:gridCol w:w="275"/>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br/>
              <w:t>(Assuming AVROBIO Net</w:t>
              <w:br/>
              <w:t>Cash at Closing of</w:t>
              <w:br/>
              <w:t>$65.0 Million)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Assuming AVROBIO Net</w:t>
              <w:br/>
              <w:t>Cash at Closing of</w:t>
              <w:br/>
              <w:t>$75.0 Million</w:t>
            </w:r>
          </w:p>
        </w:tc>
        <w:tc>
          <w:tcPr>
            <w:tcW w:w="27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Capitalization Summary Upon Consummation of the Merger</w:t>
            </w:r>
          </w:p>
        </w:tc>
        <w:tc>
          <w:tcPr>
            <w:tcW w:w="12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Ownership</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Ownership</w:t>
            </w:r>
          </w:p>
        </w:tc>
        <w:tc>
          <w:tcPr>
            <w:tcW w:w="275" w:type="dxa"/>
            <w:tcBorders/>
            <w:vAlign w:val="bottom"/>
          </w:tcPr>
          <w:p>
            <w:pPr>
              <w:pStyle w:val="TableContents"/>
              <w:bidi w:val="0"/>
              <w:spacing w:before="0" w:after="283"/>
              <w:jc w:val="left"/>
              <w:rPr/>
            </w:pPr>
            <w:r>
              <w:rPr/>
              <w:t> </w:t>
            </w:r>
          </w:p>
        </w:tc>
      </w:tr>
      <w:tr>
        <w:trPr/>
        <w:tc>
          <w:tcPr>
            <w:tcW w:w="4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Tectonic stockholders (1)</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7,045,695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6,276,338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r>
      <w:tr>
        <w:trPr/>
        <w:tc>
          <w:tcPr>
            <w:tcW w:w="4955" w:type="dxa"/>
            <w:tcBorders/>
          </w:tcPr>
          <w:p>
            <w:pPr>
              <w:pStyle w:val="TableContents"/>
              <w:bidi w:val="0"/>
              <w:spacing w:before="0" w:after="0"/>
              <w:jc w:val="left"/>
              <w:rPr>
                <w:rFonts w:ascii="Times New Roman" w:hAnsi="Times New Roman"/>
                <w:sz w:val="20"/>
              </w:rPr>
            </w:pPr>
            <w:r>
              <w:rPr>
                <w:rFonts w:ascii="Times New Roman" w:hAnsi="Times New Roman"/>
                <w:sz w:val="20"/>
              </w:rPr>
              <w:t>AVROBIO stockholders</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4,555,562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4,555,562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r>
      <w:tr>
        <w:trPr/>
        <w:tc>
          <w:tcPr>
            <w:tcW w:w="4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Company SAFEs</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2,049,253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1,825,485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r>
      <w:tr>
        <w:trPr/>
        <w:tc>
          <w:tcPr>
            <w:tcW w:w="4955" w:type="dxa"/>
            <w:tcBorders/>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Subscription Agreements</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5,800,965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5,167,527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4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19,451,475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17,824,912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4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4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pro forma assumption that AVROBIO net cash at Closing will be $65.0 million, shares of common stock of the combined company expected to be received by former Tectonic stockholders include 16,057 shares that are subject to vesting conditions, based on the number of shares of Tectonic Restricted Stock on the date of this proxy statement/prospectus and the preliminary estimated Exchange Ratio of 0.74. Assuming AVROBIO net cash at Closing of $75.0 million, 14,304 shares of common stock of the combined company expected to be received by former Tectonic stockholders will be subject to the vesting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Assuming AVROBIO net cash at Closing of $75.0 million, the pro forma combined basic and diluted net loss per share for the year ended December 31, 2023 would be $(2.64).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AVROBIO stockholders, including approval to amend AVROBIOs certificate of incorporation to effect the proposed one-for-ten reverse stock split of AVROBIO common stock, (2) approval by the requisite Tectonic stockholders of the adoption and approval of the Merger Agreement and the transactions contemplated thereby, (3) Nasdaqs approval of the listing of the shares of AVROBIO common stock to be issued in connection with the merger and (4) the effectiveness of a registration statement filed with the SEC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for AVROBIO employees include entitlement to change in control payments for certain executives, and severance and retention bonus payments for certain non-executives, the aggregate of which will be treated as pre-merger compensation expense of AVROBIO and will be reflected as an increase to accrued expenses of AVROBIO, which will be assumed by the combined company at Closing. Prior to the Closing, AVROBIO also discontinued its research and development activities and terminated and/or expired its leases. Additionally, AVROBIOs current Directors &amp; Officers (D&amp;O) policy will be fully utilized at Closing. </w:t>
      </w:r>
    </w:p>
    <w:p>
      <w:pPr>
        <w:pStyle w:val="TextBody"/>
        <w:bidi w:val="0"/>
        <w:spacing w:before="360" w:after="0"/>
        <w:jc w:val="left"/>
        <w:rPr>
          <w:rFonts w:ascii="Times New Roman" w:hAnsi="Times New Roman"/>
          <w:i/>
          <w:sz w:val="20"/>
        </w:rPr>
      </w:pPr>
      <w:r>
        <w:rPr>
          <w:rFonts w:ascii="Times New Roman" w:hAnsi="Times New Roman"/>
          <w:i/>
          <w:sz w:val="20"/>
        </w:rPr>
        <w:t xml:space="preserve">Private Financing Transactions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parties have entered into certain subscription agreements (the Subscription Agreements) with Tectonic to purchase, prior to the consummation of the merger, approximately 7,790,889 shares of Tectonic common stock at a purchase price of $12.40 per share for an aggregate purchase price of approximately $96.6 million. Shares of Tectonic common stock issued pursuant to the Subscription Agreements will be converted into shares of AVROBIO common stock at the Closing based on the Exchange Ratio, pursuant to the Merger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Company SAFEs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to December 2023, Tectonic entered into various simple agreements for future equity (the Company SAFEs) with existing investors, who are also related parties of Tectonic and received $34.1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representing the aggregate purchase amount. Tectonic accounts for the Company SAFEs as a liability pursuant to Accounting Standards Codification 480, </w:t>
      </w:r>
      <w:r>
        <w:rPr>
          <w:rFonts w:ascii="Times New Roman" w:hAnsi="Times New Roman"/>
          <w:i/>
          <w:sz w:val="20"/>
        </w:rPr>
        <w:t xml:space="preserve">Distinguishing Liabilities from Equity. </w:t>
      </w:r>
      <w:r>
        <w:rPr>
          <w:rFonts w:ascii="Times New Roman" w:hAnsi="Times New Roman"/>
          <w:sz w:val="20"/>
        </w:rPr>
        <w:t xml:space="preserve">The Company SAFEs were initially measured at their fair value upon issuance. In addition, until redemption, the Company SAFEs are measured at fair value on a recurring basis with subsequent changes in fair value recorded in the Tectonics statement of operations and comprehensive loss. Under the terms of the Company SAFEs, in the event of a public listing transaction such as on initial public offering or a reverse merger with a public company, the Company SAFEs will be redeemed through delivery of a variable number of shares of Tectonic common stock determined by dividing the Company SAFEs purchase amount by the offering or conversion price in the respective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from the private financing transactions (the Subscription Agreements and the Company SAFEs) is approximately $130.7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AVROBIO and its designated rights agent will enter into a Contingent Value Rights Agreement (the CVR Agreement). Pursuant to the CVR Agreement, each holder of AVROBIO common stock immediately prior to the effective time, will be entitled to receive a contractual contingent value right (CVR) subject to and in accordance with the terms and conditions of the CVR Agreement, representing the contractual right to receive a pro rata portion of 80% of the net proceeds, if any, as a result of an AVROBIO disposition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CVRs represent contingent consideration in the merger, however the unaudited pro forma condensed combined financial information does not include the fair value of contingent consideration related to the CVRs as the fair value of the CVRs is expected to be nominal at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is prepared in accordance with Article 11 of SEC Regulation S-X. The adjustments presented in the unaudited pro forma condensed combined financial information have been identified and presented to provide relevant information necessary for an understanding of the combined company upon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cash used in AVROBIOs operations, and (iii) other changes in AVROBIOs assets and liabilities, which are expected to be completed after the Closing, and these differences could have a material impact on the accompanying unaudited pro forma condensed combined financial information and the combined companys future results of operations and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the accompanying unaudited pro forma combined financial information, Management was not aware of any material differences between Tectonics accounting policies and the accounting policies of AVROBIO. Following the consummation of the merger, Tectonic will conduct a more detailed review of AVROBIOs accounting policies. As a result, Tectonic may identify differences between the accounting policies of the two companies that, when conformed, could have had a material impact on the accompanying unaudited pro forma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for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will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stockholders will own a substantial majority of the voting rights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largest stockholder will retain the largest interest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 will designate a majority of the initial members of the board of directors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Tectonics executive management team will become the management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Tectonic Therapeutic, Inc. and will be headquartered in Massachusetts.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Tectonic being treated as the accounting acquirer, Tectonics 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Any difference between the consideration transferred and the fair value of the net assets of AVROBIO following the determination of the actual consideration transferred for AVROBIO will be reflected as an adjustment to additional paid-in capital. For periods prior to Closing, the historical financial statements of Tectonic shall become the historical financial statements of the combined company.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Preliminary Estimated Consideration Transferred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estimated preliminary purchase price, which represents the consideration transferred to AVROBIO stockholders in the merger, is calculated based on the fair value of the common stock of the combined company that AVROBIO stockholders will own as of the Closing of the Transaction because, with no active trading market for shares of Tectonic, the fair value of the AVROBIO common stock represents a more reliable measure of the fair value of consideration transferred in the merger. Accordingly, the accompanying unaudited pro forma combined financial information reflects an estimated preliminary purchase price of approximately $59.9 million. The following summarizes the preliminary estimate of the purchase price to be paid in the merger, after giving effect to the proposed one-for-ten reverse stock split of AVROBIO common stock (in thousands, except share and per share amounts):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38"/>
        <w:gridCol w:w="612"/>
        <w:gridCol w:w="140"/>
        <w:gridCol w:w="986"/>
        <w:gridCol w:w="63"/>
      </w:tblGrid>
      <w:tr>
        <w:trPr/>
        <w:tc>
          <w:tcPr>
            <w:tcW w:w="5138"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number of common shares of the combined company to be owned by AVROBIO stockholders (1)</w:t>
            </w:r>
          </w:p>
        </w:tc>
        <w:tc>
          <w:tcPr>
            <w:tcW w:w="6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4,539,525</w:t>
            </w:r>
          </w:p>
        </w:tc>
        <w:tc>
          <w:tcPr>
            <w:tcW w:w="63" w:type="dxa"/>
            <w:tcBorders/>
            <w:shd w:fill="CCEEFF" w:val="clear"/>
            <w:vAlign w:val="bottom"/>
          </w:tcPr>
          <w:p>
            <w:pPr>
              <w:pStyle w:val="TableContents"/>
              <w:bidi w:val="0"/>
              <w:spacing w:before="0" w:after="283"/>
              <w:jc w:val="left"/>
              <w:rPr/>
            </w:pPr>
            <w:r>
              <w:rPr/>
              <w:t> </w:t>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Multiplied by the estimated fair value per share of AVROBIO common stock (2)</w:t>
            </w:r>
          </w:p>
        </w:tc>
        <w:tc>
          <w:tcPr>
            <w:tcW w:w="6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13.00</w:t>
            </w:r>
          </w:p>
        </w:tc>
        <w:tc>
          <w:tcPr>
            <w:tcW w:w="63" w:type="dxa"/>
            <w:tcBorders/>
            <w:vAlign w:val="bottom"/>
          </w:tcPr>
          <w:p>
            <w:pPr>
              <w:pStyle w:val="TableContents"/>
              <w:bidi w:val="0"/>
              <w:spacing w:before="0" w:after="283"/>
              <w:jc w:val="left"/>
              <w:rPr/>
            </w:pPr>
            <w:r>
              <w:rPr/>
              <w:t> </w:t>
            </w:r>
          </w:p>
        </w:tc>
      </w:tr>
      <w:tr>
        <w:trPr/>
        <w:tc>
          <w:tcPr>
            <w:tcW w:w="5138"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59,014</w:t>
            </w:r>
          </w:p>
        </w:tc>
        <w:tc>
          <w:tcPr>
            <w:tcW w:w="63" w:type="dxa"/>
            <w:tcBorders/>
            <w:shd w:fill="CCEEFF" w:val="clear"/>
            <w:vAlign w:val="bottom"/>
          </w:tcPr>
          <w:p>
            <w:pPr>
              <w:pStyle w:val="TableContents"/>
              <w:bidi w:val="0"/>
              <w:spacing w:before="0" w:after="283"/>
              <w:jc w:val="left"/>
              <w:rPr/>
            </w:pPr>
            <w:r>
              <w:rPr/>
              <w:t> </w:t>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Estimated fair value of assumed AVROBIO stock-based awards based on pre-merger service (3)</w:t>
            </w:r>
          </w:p>
        </w:tc>
        <w:tc>
          <w:tcPr>
            <w:tcW w:w="6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923</w:t>
            </w:r>
          </w:p>
        </w:tc>
        <w:tc>
          <w:tcPr>
            <w:tcW w:w="63" w:type="dxa"/>
            <w:tcBorders/>
            <w:vAlign w:val="bottom"/>
          </w:tcPr>
          <w:p>
            <w:pPr>
              <w:pStyle w:val="TableContents"/>
              <w:bidi w:val="0"/>
              <w:spacing w:before="0" w:after="283"/>
              <w:jc w:val="left"/>
              <w:rPr/>
            </w:pPr>
            <w:r>
              <w:rPr/>
              <w:t> </w:t>
            </w:r>
          </w:p>
        </w:tc>
      </w:tr>
      <w:tr>
        <w:trPr/>
        <w:tc>
          <w:tcPr>
            <w:tcW w:w="5138"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estimated purchase price</w:t>
            </w:r>
          </w:p>
        </w:tc>
        <w:tc>
          <w:tcPr>
            <w:tcW w:w="6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59,937</w:t>
            </w:r>
          </w:p>
        </w:tc>
        <w:tc>
          <w:tcPr>
            <w:tcW w:w="63" w:type="dxa"/>
            <w:tcBorders/>
            <w:shd w:fill="CCEEFF" w:val="clear"/>
            <w:vAlign w:val="bottom"/>
          </w:tcPr>
          <w:p>
            <w:pPr>
              <w:pStyle w:val="TableContents"/>
              <w:bidi w:val="0"/>
              <w:spacing w:before="0" w:after="283"/>
              <w:jc w:val="left"/>
              <w:rPr/>
            </w:pPr>
            <w:r>
              <w:rPr/>
              <w:t> </w:t>
            </w:r>
          </w:p>
        </w:tc>
      </w:tr>
      <w:tr>
        <w:trPr/>
        <w:tc>
          <w:tcPr>
            <w:tcW w:w="5138"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final purchase price will be determined based on the number of shares of AVROBIO common stock that AVROBIO stockholders own immediately prior to the closing of the merger. For purposes of this unaudited pro forma condensed combined financial information, the estimated number of shares, after giving effect to the proposed one-for-ten reverse stock split of AVROBIO common stock, represents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4,465,374 shares of AVROBIO common stock outstanding as of December 31, 2023, 22,409 shares of AVROBIO common stock issued subsequent to December 31, 2023 and 51,742 unvested RSUs outstanding as of the date of this proxy statement/prospectus which will become vested in full upon the closing of the merger in accordance with the terms of the original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preliminary purchase price is based on the closing price of AVROBIO common stock on the Nasdaq Global Market on March 15, 2024, and adjusted to give effect to the proposed one-for-ten reverse stock split of AVROBIO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acquisition-date fair value of the assumed AVROBIO equity awards attributable to pre-merger service expected to be outstanding as of the effective time. This is included as an adjustment to the unaudited pro forma condensed combined balance sheet by crediting and debiting additional paid-in capital, resulting in no impact to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actual purchase price for the net assets of AVROBIO will vary based on, among other things, the net cash calculation prior to Closing, the exchange ratio and the AVROBIO share price at Closing. As such, the estimated purchase price consideration reflected in the unaudited pro forma condensed combined financial information does not purport to represent what the actual purchase price consideration will be when the merger is completed. The actual purchase price will fluctuate until the effective time, and the final valuation of the purchase price consideration could differ significantly from the current estimate.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of AVROBIO Common Stock Issued to Tectonic Stockholders upon Closing of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Closing, all outstanding shares of Tectonic common stock (including shares of Tectonic common stock issued upon conversion of Tectonic convertible preferred stock and shares of Tectonic common stock issued in connection with the Subscription Agreements and Company SAFEs) will be exchanged for shares of AVROBIO common stock based on the preliminary estimated Exchange Ratio of 0.74, determined in accordance with the terms of the Merger Agreement and after giving effect to the proposed one-for-ten reverse stock split of AVROBIO common stock. The estimated number of shares of AVROBIO common stock that AVROBIO expects to issue to Tectonics stockholders assumes AVROBIOs net cash at Closing is $65.0 million and is determined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28"/>
        <w:gridCol w:w="284"/>
        <w:gridCol w:w="60"/>
        <w:gridCol w:w="1105"/>
        <w:gridCol w:w="62"/>
      </w:tblGrid>
      <w:tr>
        <w:trPr/>
        <w:tc>
          <w:tcPr>
            <w:tcW w:w="5428"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Tectonic common stock outstanding as of December 31, 2023 (1)</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2,634,246</w:t>
            </w:r>
          </w:p>
        </w:tc>
        <w:tc>
          <w:tcPr>
            <w:tcW w:w="62" w:type="dxa"/>
            <w:tcBorders/>
            <w:shd w:fill="CCEEFF" w:val="clear"/>
            <w:vAlign w:val="bottom"/>
          </w:tcPr>
          <w:p>
            <w:pPr>
              <w:pStyle w:val="TableContents"/>
              <w:bidi w:val="0"/>
              <w:spacing w:before="0" w:after="283"/>
              <w:jc w:val="left"/>
              <w:rPr/>
            </w:pPr>
            <w:r>
              <w:rPr/>
              <w:t> </w:t>
            </w:r>
          </w:p>
        </w:tc>
      </w:tr>
      <w:tr>
        <w:trPr/>
        <w:tc>
          <w:tcPr>
            <w:tcW w:w="5428" w:type="dxa"/>
            <w:tcBorders/>
          </w:tcPr>
          <w:p>
            <w:pPr>
              <w:pStyle w:val="TableContents"/>
              <w:bidi w:val="0"/>
              <w:spacing w:before="0" w:after="0"/>
              <w:jc w:val="left"/>
              <w:rPr>
                <w:rFonts w:ascii="Times New Roman" w:hAnsi="Times New Roman"/>
                <w:sz w:val="20"/>
              </w:rPr>
            </w:pPr>
            <w:r>
              <w:rPr>
                <w:rFonts w:ascii="Times New Roman" w:hAnsi="Times New Roman"/>
                <w:sz w:val="20"/>
              </w:rPr>
              <w:t>Tectonic stock option exercises subsequent to December 31, 2023</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2,874</w:t>
            </w:r>
          </w:p>
        </w:tc>
        <w:tc>
          <w:tcPr>
            <w:tcW w:w="62" w:type="dxa"/>
            <w:tcBorders/>
            <w:vAlign w:val="bottom"/>
          </w:tcPr>
          <w:p>
            <w:pPr>
              <w:pStyle w:val="TableContents"/>
              <w:bidi w:val="0"/>
              <w:spacing w:before="0" w:after="283"/>
              <w:jc w:val="left"/>
              <w:rPr/>
            </w:pPr>
            <w:r>
              <w:rPr/>
              <w:t> </w:t>
            </w:r>
          </w:p>
        </w:tc>
      </w:tr>
      <w:tr>
        <w:trPr/>
        <w:tc>
          <w:tcPr>
            <w:tcW w:w="5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Tectonic common stock to be issued upon conversion of Tectonic convertible preferred stock, see Note 6(d)</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6,825,483</w:t>
            </w:r>
          </w:p>
        </w:tc>
        <w:tc>
          <w:tcPr>
            <w:tcW w:w="62" w:type="dxa"/>
            <w:tcBorders/>
            <w:shd w:fill="CCEEFF" w:val="clear"/>
            <w:vAlign w:val="bottom"/>
          </w:tcPr>
          <w:p>
            <w:pPr>
              <w:pStyle w:val="TableContents"/>
              <w:bidi w:val="0"/>
              <w:spacing w:before="0" w:after="283"/>
              <w:jc w:val="left"/>
              <w:rPr/>
            </w:pPr>
            <w:r>
              <w:rPr/>
              <w:t> </w:t>
            </w:r>
          </w:p>
        </w:tc>
      </w:tr>
      <w:tr>
        <w:trPr/>
        <w:tc>
          <w:tcPr>
            <w:tcW w:w="5428"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Tectonic common stock to be issued in connection with the Subscription Agreements, see Note 6(e)</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7,790,889</w:t>
            </w:r>
          </w:p>
        </w:tc>
        <w:tc>
          <w:tcPr>
            <w:tcW w:w="62" w:type="dxa"/>
            <w:tcBorders/>
            <w:vAlign w:val="bottom"/>
          </w:tcPr>
          <w:p>
            <w:pPr>
              <w:pStyle w:val="TableContents"/>
              <w:bidi w:val="0"/>
              <w:spacing w:before="0" w:after="283"/>
              <w:jc w:val="left"/>
              <w:rPr/>
            </w:pPr>
            <w:r>
              <w:rPr/>
              <w:t> </w:t>
            </w:r>
          </w:p>
        </w:tc>
      </w:tr>
      <w:tr>
        <w:trPr/>
        <w:tc>
          <w:tcPr>
            <w:tcW w:w="5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shares of Tectonic common stock to be issued upon redemption of the Company SAFEs, see Note 6(f)</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2,752,216</w:t>
            </w:r>
          </w:p>
        </w:tc>
        <w:tc>
          <w:tcPr>
            <w:tcW w:w="62" w:type="dxa"/>
            <w:tcBorders/>
            <w:shd w:fill="CCEEFF" w:val="clear"/>
            <w:vAlign w:val="bottom"/>
          </w:tcPr>
          <w:p>
            <w:pPr>
              <w:pStyle w:val="TableContents"/>
              <w:bidi w:val="0"/>
              <w:spacing w:before="0" w:after="283"/>
              <w:jc w:val="left"/>
              <w:rPr/>
            </w:pPr>
            <w:r>
              <w:rPr/>
              <w:t> </w:t>
            </w:r>
          </w:p>
        </w:tc>
      </w:tr>
      <w:tr>
        <w:trPr/>
        <w:tc>
          <w:tcPr>
            <w:tcW w:w="5428"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28" w:type="dxa"/>
            <w:tcBorders/>
          </w:tcPr>
          <w:p>
            <w:pPr>
              <w:pStyle w:val="TableContents"/>
              <w:bidi w:val="0"/>
              <w:spacing w:before="0" w:after="0"/>
              <w:jc w:val="left"/>
              <w:rPr>
                <w:rFonts w:ascii="Times New Roman" w:hAnsi="Times New Roman"/>
                <w:sz w:val="20"/>
              </w:rPr>
            </w:pPr>
            <w:r>
              <w:rPr>
                <w:rFonts w:ascii="Times New Roman" w:hAnsi="Times New Roman"/>
                <w:sz w:val="20"/>
              </w:rPr>
              <w:t>Total Tectonic common shares outstanding prior to the closing of the merger</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20,005,708</w:t>
            </w:r>
          </w:p>
        </w:tc>
        <w:tc>
          <w:tcPr>
            <w:tcW w:w="62" w:type="dxa"/>
            <w:tcBorders/>
            <w:vAlign w:val="bottom"/>
          </w:tcPr>
          <w:p>
            <w:pPr>
              <w:pStyle w:val="TableContents"/>
              <w:bidi w:val="0"/>
              <w:spacing w:before="0" w:after="283"/>
              <w:jc w:val="left"/>
              <w:rPr/>
            </w:pPr>
            <w:r>
              <w:rPr/>
              <w:t> </w:t>
            </w:r>
          </w:p>
        </w:tc>
      </w:tr>
      <w:tr>
        <w:trPr/>
        <w:tc>
          <w:tcPr>
            <w:tcW w:w="5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0.74</w:t>
            </w:r>
          </w:p>
        </w:tc>
        <w:tc>
          <w:tcPr>
            <w:tcW w:w="62" w:type="dxa"/>
            <w:tcBorders/>
            <w:shd w:fill="CCEEFF" w:val="clear"/>
            <w:vAlign w:val="bottom"/>
          </w:tcPr>
          <w:p>
            <w:pPr>
              <w:pStyle w:val="TableContents"/>
              <w:bidi w:val="0"/>
              <w:spacing w:before="0" w:after="283"/>
              <w:jc w:val="left"/>
              <w:rPr/>
            </w:pPr>
            <w:r>
              <w:rPr/>
              <w:t> </w:t>
            </w:r>
          </w:p>
        </w:tc>
      </w:tr>
      <w:tr>
        <w:trPr/>
        <w:tc>
          <w:tcPr>
            <w:tcW w:w="5428"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shares of AVROBIO common stock expected to be issued to Tectonic stockholders </w:t>
              <w:br/>
              <w:t>upon closing of the merger (2)</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14,895,913</w:t>
            </w:r>
          </w:p>
        </w:tc>
        <w:tc>
          <w:tcPr>
            <w:tcW w:w="62" w:type="dxa"/>
            <w:tcBorders/>
            <w:vAlign w:val="bottom"/>
          </w:tcPr>
          <w:p>
            <w:pPr>
              <w:pStyle w:val="TableContents"/>
              <w:bidi w:val="0"/>
              <w:spacing w:before="0" w:after="283"/>
              <w:jc w:val="left"/>
              <w:rPr/>
            </w:pPr>
            <w:r>
              <w:rPr/>
              <w:t> </w:t>
            </w:r>
          </w:p>
        </w:tc>
      </w:tr>
      <w:tr>
        <w:trPr/>
        <w:tc>
          <w:tcPr>
            <w:tcW w:w="5428"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Tectonic common stock outstanding include 35,494 shares of unvested Tectonic Restricted Stock as of December 31,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estimated shares of AVROBIO common stock expected to be issued to Tectonic stockholders at Closing, including 16,057 shares of AVROBIO common stock subject to the same vesting conditions, based on 21,565 shares of Tectonic Restricted Stock on the date of this proxy statement/prospectus and the preliminary estimated Exchange Ratio of 0.74.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merger, AVROBIO will assume all of the outstanding options to acquire Tectonic common stock and such stock options will become exercisable for shares of AVROBIO common stock following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Balance Sheet as of December 31,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balance sheet of AVROBIO as of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balance sheet of Tectonic as of December 31,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exercise of 2,874 Tectonic stock options subsequent to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AVROBIOs common stock activity subsequent to December 31, 2023, including the exercise of 2,835 stock options, release of 19,097 RSUs and the issuance of 477 shares under AVROBIOs 2018 Employee Stock Purchase Plan, after giving effect to the proposed one-for-ten reverse stock split of AVROBIO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incremental compensation expense of $4.2 million related to severance, retention bonuses and change in control payments resulting from pre-existing employment agreements or from approval from AVROBIOs board of directors that is expected to be incurred upon closing of the merger. The pro forma adjustment is reflected as a decrease in cash of $3.1 million for the severance and retention bonuses payments made subsequent to December 31, 2023, an increase in accrued expenses of $1.1 million for the remaining amounts to be paid subsequent to the Closing, and an increase to accumulated deficit of $4.2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automatic conversion, on a one-to-one basis, of all outstanding shares of Tectonic convertible preferred stock, with a carrying amount of $80.6 million, into 6,825,483 shares of Tectonic common stock immediately prior to the merger. Tectonic convertible preferred stock outstanding is comprised of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5"/>
        <w:gridCol w:w="267"/>
        <w:gridCol w:w="60"/>
        <w:gridCol w:w="985"/>
        <w:gridCol w:w="62"/>
      </w:tblGrid>
      <w:tr>
        <w:trPr/>
        <w:tc>
          <w:tcPr>
            <w:tcW w:w="5565"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Tectonic Convertible Preferred Stock</w:t>
            </w:r>
          </w:p>
        </w:tc>
        <w:tc>
          <w:tcPr>
            <w:tcW w:w="267"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4,118,120</w:t>
            </w:r>
          </w:p>
        </w:tc>
        <w:tc>
          <w:tcPr>
            <w:tcW w:w="62"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1,649,188</w:t>
            </w:r>
          </w:p>
        </w:tc>
        <w:tc>
          <w:tcPr>
            <w:tcW w:w="62"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A-3</w:t>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696,516</w:t>
            </w:r>
          </w:p>
        </w:tc>
        <w:tc>
          <w:tcPr>
            <w:tcW w:w="62"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Series A-4</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361,659</w:t>
            </w:r>
          </w:p>
        </w:tc>
        <w:tc>
          <w:tcPr>
            <w:tcW w:w="62"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shares of Tectonic convertible preferred stock converted to shares of Tectonic common stock immediately prior to the merger</w:t>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6,825,483</w:t>
            </w:r>
          </w:p>
        </w:tc>
        <w:tc>
          <w:tcPr>
            <w:tcW w:w="62" w:type="dxa"/>
            <w:tcBorders/>
            <w:shd w:fill="CCEEFF" w:val="clear"/>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issuance of 7,790,889 shares of Tectonic common stock pursuant to the Subscription Agreements entered into concurrently with the execution of the Merger Agreement, for an aggregate purchase price of $96.6 million. The proceeds received in connection with the Subscription Agreements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recorded net of transaction costs deemed to be direct and incremental costs of the equity financing in the amount of approximately $2.0 million. The issuance of shares in connection with the Subscription Agreements are recorded as the issuance of Tectonic common stock at par value, with the remaining amount recorded to additional paid-in-capital.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pursuant to the terms of the Company SAFEs, the automatic redemption of the principal balance of the Company SAFEs of $34.1 million, in the event of a public listing transaction, into 2,752,216 shares of Tectonic common stock at the estimated conversion price of $12.40 per share immediately prior to the closing of the merger, and the change in fair value of the SAFE liabilities of $3.6 million immediately prior to the redemption, which represents the difference between principal balance and the fair value of the Company SAFEs as of December 31, 2023, as an increase to accumulated deficit. The redemption is recorded as the issuance of Tectonic common stock at par value, with the remaining amount recorded to additional paid-in-capital.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transaction costs of $7.5 million that are expected to be incurred by Tectonic in connection with the merger, such as advisory, legal and auditor fees, as an increase in accrued expenses of $6.8 million for transaction costs not yet reflected in the historical financial statements, the derecognition of the deferred offering costs of $0.7 million included in the historical financial statements, and a reduction to additional paid-in capital of $7.5 million in the unaudited pro forma condensed combined balance sheet. As the merger will be accounted for as a reverse recapitalization equivalent to the issuance of equity for the net assets, primarily cash, of AVROBIO, these direct and incremental costs are treated as a reduction of the net proceeds received within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transaction costs of $7.1 million, not yet reflected in the historical financial statements, which are expected to be incurred by AVROBIO in connection with the merger, such as advisory, legal and auditor fees and including the estimated $2.5 million cost of a D&amp;O tail policy, as an increase in accrued expenses and accumulated deficit in the unaudited pro forma condensed combined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derecognize $1.4 million of AVROBIOs prepaid expenses consisting of $0.6 million of prepaid research and development expenses related to discontinued research and development activities and $0.8 million of prepaid insurance primarily related to the current AVROBIOs D&amp;O policy that will be fully utilized at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6(j)</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derecognition of AVROBIOs operating leases that will be terminated or expire prior to the closing of the merger. The operating lease right-of-use assets of $0.4 million and related operating lease liabilities of $0.9 million, will be derecognized, resulting in a $0.5 million gain on termination of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release of $0.7 million of AVROBIOs restricted cash, consisting of cash used to secure letters of credit in connection with AVROBIOs lease agreements and corporate credit card program that will be terminated prior to the closing of the merger, to cash and cash equivalents.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6(l)</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recapitalization of Tectonic, pursuant to the Merger Agreement, through the contribution of 20,005,708 shares of Tectonic common stock (see Note 5), and the issuance of 14,895,913 shares of AVROBIO common stock, reflecting the estimated Exchange Ratio of 0.74 after giving effect to the proposed one-for-ten reverse stock split of AVROBIO common stock, and to reflect the derecognition of the accumulated deficit of AVROBIO which is reversed to additional paid-in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derecognition of accumulated deficit of AVROBIO of $489.5 million is determined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67"/>
        <w:gridCol w:w="456"/>
        <w:gridCol w:w="147"/>
        <w:gridCol w:w="909"/>
        <w:gridCol w:w="160"/>
      </w:tblGrid>
      <w:tr>
        <w:trPr/>
        <w:tc>
          <w:tcPr>
            <w:tcW w:w="5267"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 of AVROBIO as of December 31, 2023</w:t>
            </w:r>
          </w:p>
        </w:tc>
        <w:tc>
          <w:tcPr>
            <w:tcW w:w="4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9" w:type="dxa"/>
            <w:tcBorders/>
            <w:shd w:fill="CCEEFF" w:val="clear"/>
            <w:vAlign w:val="bottom"/>
          </w:tcPr>
          <w:p>
            <w:pPr>
              <w:pStyle w:val="TableContents"/>
              <w:bidi w:val="0"/>
              <w:spacing w:before="0" w:after="283"/>
              <w:jc w:val="right"/>
              <w:rPr/>
            </w:pPr>
            <w:r>
              <w:rPr/>
              <w:t>477,275</w:t>
            </w:r>
          </w:p>
        </w:tc>
        <w:tc>
          <w:tcPr>
            <w:tcW w:w="160" w:type="dxa"/>
            <w:tcBorders/>
            <w:shd w:fill="CCEEFF" w:val="clear"/>
            <w:vAlign w:val="bottom"/>
          </w:tcPr>
          <w:p>
            <w:pPr>
              <w:pStyle w:val="TableContents"/>
              <w:bidi w:val="0"/>
              <w:spacing w:before="0" w:after="283"/>
              <w:jc w:val="left"/>
              <w:rPr/>
            </w:pPr>
            <w:r>
              <w:rPr/>
              <w:t> </w:t>
            </w:r>
          </w:p>
        </w:tc>
      </w:tr>
      <w:tr>
        <w:trPr/>
        <w:tc>
          <w:tcPr>
            <w:tcW w:w="5267"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severance, retention bonuses and change in control payments, see Note 6(c)</w:t>
            </w:r>
          </w:p>
        </w:tc>
        <w:tc>
          <w:tcPr>
            <w:tcW w:w="4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4,200</w:t>
            </w:r>
          </w:p>
        </w:tc>
        <w:tc>
          <w:tcPr>
            <w:tcW w:w="160" w:type="dxa"/>
            <w:tcBorders/>
            <w:vAlign w:val="bottom"/>
          </w:tcPr>
          <w:p>
            <w:pPr>
              <w:pStyle w:val="TableContents"/>
              <w:bidi w:val="0"/>
              <w:spacing w:before="0" w:after="283"/>
              <w:jc w:val="left"/>
              <w:rPr/>
            </w:pPr>
            <w:r>
              <w:rPr/>
              <w:t> </w:t>
            </w:r>
          </w:p>
        </w:tc>
      </w:tr>
      <w:tr>
        <w:trPr/>
        <w:tc>
          <w:tcPr>
            <w:tcW w:w="5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AVROBIO, see Note 6(h)</w:t>
            </w:r>
          </w:p>
        </w:tc>
        <w:tc>
          <w:tcPr>
            <w:tcW w:w="4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7,096</w:t>
            </w:r>
          </w:p>
        </w:tc>
        <w:tc>
          <w:tcPr>
            <w:tcW w:w="160" w:type="dxa"/>
            <w:tcBorders/>
            <w:shd w:fill="CCEEFF" w:val="clear"/>
            <w:vAlign w:val="bottom"/>
          </w:tcPr>
          <w:p>
            <w:pPr>
              <w:pStyle w:val="TableContents"/>
              <w:bidi w:val="0"/>
              <w:spacing w:before="0" w:after="283"/>
              <w:jc w:val="left"/>
              <w:rPr/>
            </w:pPr>
            <w:r>
              <w:rPr/>
              <w:t> </w:t>
            </w:r>
          </w:p>
        </w:tc>
      </w:tr>
      <w:tr>
        <w:trPr/>
        <w:tc>
          <w:tcPr>
            <w:tcW w:w="5267"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of prepaid research and development and prepaid insurance, see Note 6(i)</w:t>
            </w:r>
          </w:p>
        </w:tc>
        <w:tc>
          <w:tcPr>
            <w:tcW w:w="4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1,388</w:t>
            </w:r>
          </w:p>
        </w:tc>
        <w:tc>
          <w:tcPr>
            <w:tcW w:w="160" w:type="dxa"/>
            <w:tcBorders/>
            <w:vAlign w:val="bottom"/>
          </w:tcPr>
          <w:p>
            <w:pPr>
              <w:pStyle w:val="TableContents"/>
              <w:bidi w:val="0"/>
              <w:spacing w:before="0" w:after="283"/>
              <w:jc w:val="left"/>
              <w:rPr/>
            </w:pPr>
            <w:r>
              <w:rPr/>
              <w:t> </w:t>
            </w:r>
          </w:p>
        </w:tc>
      </w:tr>
      <w:tr>
        <w:trPr/>
        <w:tc>
          <w:tcPr>
            <w:tcW w:w="5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termination of operating leases, see Note 6(j)</w:t>
            </w:r>
          </w:p>
        </w:tc>
        <w:tc>
          <w:tcPr>
            <w:tcW w:w="4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(446</w:t>
            </w:r>
          </w:p>
        </w:tc>
        <w:tc>
          <w:tcPr>
            <w:tcW w:w="160" w:type="dxa"/>
            <w:tcBorders/>
            <w:shd w:fill="CCEEFF" w:val="clear"/>
            <w:vAlign w:val="bottom"/>
          </w:tcPr>
          <w:p>
            <w:pPr>
              <w:pStyle w:val="TableContents"/>
              <w:bidi w:val="0"/>
              <w:spacing w:before="0" w:after="283"/>
              <w:jc w:val="left"/>
              <w:rPr/>
            </w:pPr>
            <w:r>
              <w:rPr/>
              <w:t>) </w:t>
            </w:r>
          </w:p>
        </w:tc>
      </w:tr>
      <w:tr>
        <w:trPr/>
        <w:tc>
          <w:tcPr>
            <w:tcW w:w="5267"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67" w:type="dxa"/>
            <w:tcBorders/>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AVROBIO</w:t>
            </w:r>
          </w:p>
        </w:tc>
        <w:tc>
          <w:tcPr>
            <w:tcW w:w="4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9" w:type="dxa"/>
            <w:tcBorders/>
            <w:vAlign w:val="bottom"/>
          </w:tcPr>
          <w:p>
            <w:pPr>
              <w:pStyle w:val="TableContents"/>
              <w:bidi w:val="0"/>
              <w:spacing w:before="0" w:after="283"/>
              <w:jc w:val="right"/>
              <w:rPr/>
            </w:pPr>
            <w:r>
              <w:rPr/>
              <w:t>489,513</w:t>
            </w:r>
          </w:p>
        </w:tc>
        <w:tc>
          <w:tcPr>
            <w:tcW w:w="160" w:type="dxa"/>
            <w:tcBorders/>
            <w:vAlign w:val="bottom"/>
          </w:tcPr>
          <w:p>
            <w:pPr>
              <w:pStyle w:val="TableContents"/>
              <w:bidi w:val="0"/>
              <w:spacing w:before="0" w:after="283"/>
              <w:jc w:val="left"/>
              <w:rPr/>
            </w:pPr>
            <w:r>
              <w:rPr/>
              <w:t> </w:t>
            </w:r>
          </w:p>
        </w:tc>
      </w:tr>
      <w:tr>
        <w:trPr/>
        <w:tc>
          <w:tcPr>
            <w:tcW w:w="5267"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operations and comprehensive income (loss) of AVROBIO for the year ended December 31,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operations and comprehensive loss of Tectonic for the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Tectonics history of net losses and valuation allowance, management assumed an effective tax rate of 0%. Therefore, the pro forma adjustments to the unaudited pro forma condensed combined statement of operations resulted in no additional income tax adjustment to the unaudited pro forma condensed combined financial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Statement of Operations 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incremental compensation expense related to severance, retention bonuses and change in control payments recorded in research and development expenses of $1.8 million and general and administrative expenses of $2.4 million, resulting from pre-existing employment agreements or from approval from AVROBIOs board of directors that will be incurred upon Closing assuming that the adjustment described in Note 6(c) was made on January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AVROBIOs estimated advisory, legal, audit and other costs related to the merger, including the estimated cost of a D&amp;O tail policy, that are not recorded in its historical financial statements as an increase to general and administrative expenses in the unaudited pro forma condensed combined statement of operations for the year ended December 31, 2023 assuming that the adjustment described in Note 6(h) was made on January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derecognition of AVROBIOs prepaid research and development expenses of $0.6 million related to discontinued research and development activities, and prepaid insurance of $0.8 million primarily related to the current AVROBIO D&amp;O policy that will be fully utilized at Closing, assuming the adjustment made in Note 6(i) was made on January 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adjustment of the SAFE liabilities to fair value immediately prior to the redemption of the Company SAFEs, assuming that the adjustment described in Note 6(f) was made on January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gain on termination of AVROBIOs operating leases of $0.5 million, relating to AVROBIOs operating leases that will be terminated or expire prior to the closing of the merger assuming that the adjustment described in Note 6(j) was made on January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combined basic and diluted net income (loss) per share has been adjusted to reflect the pro forma net loss for the year ended December 31, 2023. In addition, the number of shares used in calculating the pro forma combined basic and diluted net loss per share has been adjusted to reflect the estimated total number of shares of common stock of the combined company for the presenting period, after giving effect to the proposed one-for-ten reverse stock split of AVROBIO common stock. For the year ended December 31, 2023, the pro forma weighted average shares have been calculated as follows: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756"/>
        <w:gridCol w:w="120"/>
        <w:gridCol w:w="60"/>
        <w:gridCol w:w="1166"/>
        <w:gridCol w:w="60"/>
        <w:gridCol w:w="120"/>
        <w:gridCol w:w="60"/>
        <w:gridCol w:w="1166"/>
        <w:gridCol w:w="64"/>
      </w:tblGrid>
      <w:tr>
        <w:trPr/>
        <w:tc>
          <w:tcPr>
            <w:tcW w:w="57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5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4"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Basic</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Diluted</w:t>
            </w:r>
          </w:p>
        </w:tc>
        <w:tc>
          <w:tcPr>
            <w:tcW w:w="64"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Historical weighted-average number of Tectonic common shares outstanding</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2,373,674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2,373,674</w:t>
            </w:r>
          </w:p>
        </w:tc>
        <w:tc>
          <w:tcPr>
            <w:tcW w:w="64"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Tectonic stock option exercises subsequent to December 31,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2,874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2,874</w:t>
            </w:r>
          </w:p>
        </w:tc>
        <w:tc>
          <w:tcPr>
            <w:tcW w:w="64"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Tectonic convertible preferred stock assuming conversion as of January 1, 2023, see Note 6(d)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6,825,483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6,825,483</w:t>
            </w:r>
          </w:p>
        </w:tc>
        <w:tc>
          <w:tcPr>
            <w:tcW w:w="64"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Impact of Tectonic private financing transactions assuming consummation of the merger as of January 1, 2023, see Note 6(e) and 6(f)</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10,543,105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10,543,105</w:t>
            </w:r>
          </w:p>
        </w:tc>
        <w:tc>
          <w:tcPr>
            <w:tcW w:w="64"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19,745,136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19,745,136</w:t>
            </w:r>
          </w:p>
        </w:tc>
        <w:tc>
          <w:tcPr>
            <w:tcW w:w="64"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exchange ratio to historical Tectonic weighted-average shares outstanding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0.74</w:t>
            </w:r>
          </w:p>
        </w:tc>
        <w:tc>
          <w:tcPr>
            <w:tcW w:w="64"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Tectonic weighted-average number of common shares outstanding</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14,701,898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14,701,898</w:t>
            </w:r>
          </w:p>
        </w:tc>
        <w:tc>
          <w:tcPr>
            <w:tcW w:w="64"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weighted-average number of AVROBIO common shares outstanding, after giving effect to the proposed one-for-ten reverse stock split of AVROBIO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4,432,720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4,456,792</w:t>
            </w:r>
          </w:p>
        </w:tc>
        <w:tc>
          <w:tcPr>
            <w:tcW w:w="64"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AVROBIO common stock issued subsequent to December 31, 2023, assuming consummation of the merger as of January 1, 2023, see Note 6(b)</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22,409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22,409</w:t>
            </w:r>
          </w:p>
        </w:tc>
        <w:tc>
          <w:tcPr>
            <w:tcW w:w="64"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Equity awards subject to outstanding AVROBIO RSUs that fully vest upon consummation of the merger (1)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67,779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67,779</w:t>
            </w:r>
          </w:p>
        </w:tc>
        <w:tc>
          <w:tcPr>
            <w:tcW w:w="64"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19,224,806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19,248,878</w:t>
            </w:r>
          </w:p>
        </w:tc>
        <w:tc>
          <w:tcPr>
            <w:tcW w:w="64" w:type="dxa"/>
            <w:tcBorders/>
            <w:shd w:fill="CCEEFF" w:val="clear"/>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AVROBIO RSUs expected to be outstanding as of the Closing, after giving effect to the proposed one-for-ten reverse stock split of AVROBIO common stock, including 51,742 RSUs that vest in full immediately prior to the Closing in accordance with the terms of the original awards and 16,037 RSUs that vest in full as a result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6" w:name="toc770053_182"/>
      <w:bookmarkEnd w:id="176"/>
      <w:r>
        <w:rPr>
          <w:rFonts w:ascii="Times New Roman" w:hAnsi="Times New Roman"/>
          <w:b/>
          <w:sz w:val="20"/>
        </w:rPr>
        <w:t xml:space="preserve">DESCRIPTION OF AVROBIO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AVROBIO capital stock and provisions of AVROBIOs charter and bylaws are summaries and are qualified by reference to such charter and bylaws and applicable provisions of Delaware corporate law. Copies of these documents are filed as exhibits to the registration statement of which this proxy statement/prospectus forms part. </w:t>
      </w:r>
    </w:p>
    <w:p>
      <w:pPr>
        <w:pStyle w:val="TextBody"/>
        <w:bidi w:val="0"/>
        <w:spacing w:before="360" w:after="0"/>
        <w:jc w:val="left"/>
        <w:rPr>
          <w:rFonts w:ascii="Times New Roman" w:hAnsi="Times New Roman"/>
          <w:b/>
          <w:sz w:val="20"/>
        </w:rPr>
      </w:pPr>
      <w:bookmarkStart w:id="177" w:name="toc770053_183"/>
      <w:bookmarkEnd w:id="177"/>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AVROBIOs authorized capital stock consists of 150,000,000 shares of AVROBIO common stock, par value $0.0001 per share, and 10,000,000 shares of AVROBIO preferred stock, par value $0.0001 per share. </w:t>
      </w:r>
    </w:p>
    <w:p>
      <w:pPr>
        <w:pStyle w:val="TextBody"/>
        <w:bidi w:val="0"/>
        <w:spacing w:before="360" w:after="0"/>
        <w:jc w:val="left"/>
        <w:rPr>
          <w:rFonts w:ascii="Times New Roman" w:hAnsi="Times New Roman"/>
          <w:b/>
          <w:sz w:val="20"/>
        </w:rPr>
      </w:pPr>
      <w:bookmarkStart w:id="178" w:name="toc770053_184"/>
      <w:bookmarkEnd w:id="178"/>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entitled to receive dividends ratably, if any, as may be declared by the AVROBIO Board out of legally available funds, subject to any preferential dividend rights of any AVROBIO preferred stock then outstanding. </w:t>
      </w:r>
    </w:p>
    <w:p>
      <w:pPr>
        <w:pStyle w:val="TextBody"/>
        <w:bidi w:val="0"/>
        <w:spacing w:before="360" w:after="0"/>
        <w:jc w:val="left"/>
        <w:rPr>
          <w:rFonts w:ascii="Times New Roman" w:hAnsi="Times New Roman"/>
          <w:i/>
          <w:sz w:val="20"/>
        </w:rPr>
      </w:pPr>
      <w:r>
        <w:rPr>
          <w:rFonts w:ascii="Times New Roman" w:hAnsi="Times New Roman"/>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entitled to one vote for each share of AVROBIO common stock held of record for the election of directors of AVROBIO and on all matters submitted to a vote of the stockholders. The holders of AVROBIO common stock do not have any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AVROBIOs dissolution, liquidation or winding up, holders of AVROBIOs common stock are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not entitled to preemptive, subscription, redemption or conversion rights, and no sinking fund provisions are applicable to AVROBIO common stock. </w:t>
      </w:r>
    </w:p>
    <w:p>
      <w:pPr>
        <w:pStyle w:val="TextBody"/>
        <w:bidi w:val="0"/>
        <w:spacing w:before="360" w:after="0"/>
        <w:jc w:val="left"/>
        <w:rPr>
          <w:rFonts w:ascii="Times New Roman" w:hAnsi="Times New Roman"/>
          <w:b/>
          <w:sz w:val="20"/>
        </w:rPr>
      </w:pPr>
      <w:bookmarkStart w:id="179" w:name="toc770053_185"/>
      <w:bookmarkEnd w:id="179"/>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for 10,000,000 authorized shares of preferred stock. The existence of authorized but unissued shares of preferred stock may enable the AVROBIO Board to discourage an attempt to obtain control of AVROBIO by means of a merger, tender offer, proxy contest or otherwise. For example, if in the due exercise of its fiduciary obligations, the AVROBIO Board were to determine that a takeover proposal is not in the best interests of AVROBIO stockholders, the AVROBIO Board could cause shares of preferred stock to be issued without stockholder approval in one or more private offerings or other transactions that might dilute the voting or other rights of the proposed acquirer or insurgent stockholder or stockholder group. In this regard, AVROBIOs charter grants the AVROBIO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80" w:name="toc770053_186"/>
      <w:bookmarkEnd w:id="180"/>
      <w:r>
        <w:rPr>
          <w:rFonts w:ascii="Times New Roman" w:hAnsi="Times New Roman"/>
          <w:b/>
          <w:sz w:val="20"/>
        </w:rPr>
        <w:t xml:space="preserve">Anti-Takeover Effects of Delaware Law and Provisions of AVROBIOs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of AVROBIOs charter and bylaws could have the effect of delaying, deferring or discouraging another party from acquiring control of AVROBIO. These provisions, which are summarized below, are expected to discourage certain types of coercive takeover practices and inadequate takeover bids and, as a consequence, they might also inhibit temporary fluctuations in the market price of AVROBIO common stock that often result from actual or rumored hostile takeover attempts. These provisions are also designed in part to encourage anyone seeking to acquire control of AVROBIO to first negotiate with its board of directors. These provisions might also have the effect of preventing changes in AVROBIOs management. It is possible that these provisions could make it more difficult to accomplish transactions that stockholders might otherwise deem to be in their best interests. However, AVROBIO holds that the advantages gained by protecting its ability to negotiate with any unsolicited and potentially unfriendly acquirer outweigh the disadvantages of discouraging such proposals, including those priced above the then-current market value of AVROBIO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or by any direct or indirect majority-owned subsidiary of the corporation of any stock of the corporation or any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or any direct or indirect majority-owned subsidiary.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for the division of the AVROBIO Board into three classes serving staggered three-year terms, with one class being elected each year. AVROBIOs charter also provides that directors may be removed only for cause and then only by the affirmative vote of the holders of two-thirds or more of the shares then entitled to vote at an election of directors. Furthermore, any vacancy on the AVROBIO Board, however occurring, including a vacancy resulting from an increase in the size of the AVROBIO Board, may only be filled by the affirmative vote of a majority of AVROBIOs directors then in office even if less than a quorum. The classification of directors, together with the limitations on removal of directors and treatment of vacancies, has the effect of making it more difficult for stockholders to change the composition of the AVROBIO Board. </w:t>
      </w:r>
    </w:p>
    <w:p>
      <w:pPr>
        <w:pStyle w:val="TextBody"/>
        <w:bidi w:val="0"/>
        <w:spacing w:before="360" w:after="0"/>
        <w:jc w:val="left"/>
        <w:rPr>
          <w:rFonts w:ascii="Times New Roman" w:hAnsi="Times New Roman"/>
          <w:i/>
          <w:sz w:val="20"/>
        </w:rPr>
      </w:pPr>
      <w:r>
        <w:rPr>
          <w:rFonts w:ascii="Times New Roman" w:hAnsi="Times New Roman"/>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AVROBIOs bylaws or removal of directors by AVROBIO stockholders without holding a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of Stockholder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and bylaws provide that only a majority of the members of the AVROBIO Board then in office may call special meetings of stockholders and only those matters set forth in the notice of the special meeting may be considered or acted upon at a special meeting of stockholders. AVROBIOs bylaws limits the business that may be conducted at an annual meeting of stockholders to those matters properly brought before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AVROBIOs bylaws establishes advance notice procedures with regard to stockholder proposals relating to the nomination of candidates for election as directors or new business to be brought before meetings of AVROBIO stockholders. These procedures provide that notice of stockholder proposals must be timely given in writing to AVROBIOs corporate secretary prior to the meeting at which the action is to be taken. Generally, to be timely, notice must be received at AVROBIOs principal executive offices not less than 90 days nor more than 120 days prior to the first anniversary date of the annual meeting for the preceding year. AVROBIOs bylaws specify the requirements as to form and content of all stockholders notices. These requirements may preclude stockholders from bringing matters before the stockholders at an annual or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1" w:name="toc770053_182a"/>
      <w:bookmarkEnd w:id="181"/>
      <w:r>
        <w:rPr>
          <w:rFonts w:ascii="Times New Roman" w:hAnsi="Times New Roman"/>
          <w:b/>
          <w:sz w:val="20"/>
        </w:rPr>
        <w:t xml:space="preserve">SECURITIES ACT RESTRICTIONS ON RESALE OF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144, a person who has beneficially owned restricted AVROBIO common stock for at least six months would be entitled to sell their securities provided that (i) such person is not deemed to have been an affiliate of AVROBIO at the time of, or at any time during the three months preceding, a sale and (ii) AVROBIO is subject to the Exchange Act periodic reporting requirements for at least three months before the sale and has filed all required reports under Section 13 or 15(d) of the Exchange Act during the 12 months (or such shorter period as AVROBIO was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AVROBIO common stock for at least six months but who are affiliates of AVROBIO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AVROBIO common stock then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shares of AVROBIO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of AVROBIO under Rule 144 are also limited by manner of sale provisions and notice requirements and to the availability of current public information about AVROBIO. </w:t>
      </w:r>
    </w:p>
    <w:p>
      <w:pPr>
        <w:pStyle w:val="TextBody"/>
        <w:bidi w:val="0"/>
        <w:spacing w:before="360" w:after="0"/>
        <w:jc w:val="left"/>
        <w:rPr>
          <w:rFonts w:ascii="Times New Roman" w:hAnsi="Times New Roman"/>
          <w:sz w:val="20"/>
        </w:rPr>
      </w:pPr>
      <w:r>
        <w:rPr>
          <w:rFonts w:ascii="Times New Roman" w:hAnsi="Times New Roman"/>
          <w:b/>
          <w:sz w:val="20"/>
        </w:rPr>
        <w:t>Restrictions on the Use of Rule 144 by Shell Companies or Former Shell Companies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AVROBIO halted its remaining development programs and AVROBIO had previously implemented the Cystinosis Sale. As such, AVROBIO is subject to the SEC requirements applicable to reporting shell company business combinations. 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anticipate that following the consummation of the merger, the combined company will no longer be a shell company, and so, once the conditions set forth in the exceptions listed above are satisfied, Rule 144 will become available for the resale of the above noted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2" w:name="toc770053_187"/>
      <w:bookmarkEnd w:id="182"/>
      <w:r>
        <w:rPr>
          <w:rFonts w:ascii="Times New Roman" w:hAnsi="Times New Roman"/>
          <w:b/>
          <w:sz w:val="20"/>
        </w:rPr>
        <w:t xml:space="preserve">COMPARISON OF RIGHTS OF HOLDERS OF AVROBIO CAPITAL STOCK AND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Tectonic stockholders will receive shares of AVROBIO common stock, pursuant to the terms of the Merger Agreement. Immediately prior to the closing, assuming that Proposal Nos. 2 and 3 are approved by AVROBIO stockholders, AVROBIOs charter will be amended to effect the reverse stock split and the officer exculpation, as set forth in the form of certificate of amendments attached as </w:t>
      </w:r>
      <w:r>
        <w:rPr>
          <w:rFonts w:ascii="Times New Roman" w:hAnsi="Times New Roman"/>
          <w:sz w:val="20"/>
          <w:u w:val="single"/>
        </w:rPr>
        <w:t>Annex G</w:t>
      </w:r>
      <w:r>
        <w:rPr>
          <w:rFonts w:ascii="Times New Roman" w:hAnsi="Times New Roman"/>
          <w:sz w:val="20"/>
        </w:rPr>
        <w:t xml:space="preserve"> and </w:t>
      </w:r>
      <w:r>
        <w:rPr>
          <w:rFonts w:ascii="Times New Roman" w:hAnsi="Times New Roman"/>
          <w:sz w:val="20"/>
          <w:u w:val="single"/>
        </w:rPr>
        <w:t>Annex H</w:t>
      </w:r>
      <w:r>
        <w:rPr>
          <w:rFonts w:ascii="Times New Roman" w:hAnsi="Times New Roman"/>
          <w:sz w:val="20"/>
        </w:rPr>
        <w:t xml:space="preserve">, respectively, to this proxy statement/prospectus. In addition, after the completion of the merger, AVROBIOs charter will be amended to change its corporate name to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AVROBIO and Tectonic are both incorporated under the laws of the State of Delaware. The rights of AVROBIO stockholders and Tectonic stockholders are generally governed by the DGCL. Upon completion of the merger, Tectonic stockholders will become AVROBIO stockholders, and their rights will be governed by the DGCL, AVROBIOs bylaws and AVROBIOs charter, as amended and restated in connection with the merger.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Tectonic stockholders under the Tectonic certificate of incorporation and bylaws and their rights as AVROBIO stockholders, after the merger, under AVROBIOs charter and AVROBIOs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AVROBIO or Tectonic before the merger and being a stockholder of the combined company following the completion of the merger. For more information on how to obtain these documents,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tcPr>
          <w:p>
            <w:pPr>
              <w:pStyle w:val="TableContents"/>
              <w:bidi w:val="0"/>
              <w:spacing w:before="0" w:after="283"/>
              <w:jc w:val="center"/>
              <w:rPr>
                <w:i/>
              </w:rPr>
            </w:pPr>
            <w:r>
              <w:rPr>
                <w:i/>
              </w:rPr>
              <w:t>Organizational Documents</w:t>
            </w:r>
          </w:p>
        </w:tc>
      </w:tr>
      <w:tr>
        <w:trPr/>
        <w:tc>
          <w:tcPr>
            <w:tcW w:w="5205" w:type="dxa"/>
            <w:tcBorders/>
          </w:tcPr>
          <w:p>
            <w:pPr>
              <w:pStyle w:val="TableContents"/>
              <w:bidi w:val="0"/>
              <w:spacing w:before="0" w:after="283"/>
              <w:jc w:val="left"/>
              <w:rPr/>
            </w:pPr>
            <w:r>
              <w:rPr/>
              <w:t>The rights of AVROBIO stockholders are governed by AVROBIOs charter, bylaws and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rights of Tectonic stockholders are governed by Tectonics amended and restated certificate of incorporation, Tectonics amended and restated bylaws and the DGCL.</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Authorized Capital Stock</w:t>
            </w:r>
          </w:p>
        </w:tc>
      </w:tr>
      <w:tr>
        <w:trPr/>
        <w:tc>
          <w:tcPr>
            <w:tcW w:w="5205" w:type="dxa"/>
            <w:tcBorders/>
          </w:tcPr>
          <w:p>
            <w:pPr>
              <w:pStyle w:val="TableContents"/>
              <w:bidi w:val="0"/>
              <w:spacing w:before="0" w:after="283"/>
              <w:jc w:val="left"/>
              <w:rPr/>
            </w:pPr>
            <w:r>
              <w:rPr/>
              <w:t>AVROBIO is authorized to issue two classes of capital stock which are designated, respectively, common stock and undesignated preferred stock. The total number of shares that AVROBIO is authorized to issue is 160,000,000, of which 150,000,000 shares are common stock, par value $0.0001 per share, and 10,000,000 shares are undesignated preferred stock, par value $0.0001 per share. The number of authorized shares of AVROBIO undesignated preferred stock and common stock may from time to time be increased or decreased (but not below the number of shares of such class then outstanding) by the affirmative vote of the holders of a majority of the voting power of the outstanding shares of capital stock of AVROBIO entitled to vote thereon, irrespective of the provisions of Section 242(b)(2) of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Tectonic is authorized to issue two classes of capital stock which are designated, respectively, common stock and preferred stock. The total number of shares that Tectonic is authorized to issue is 18,773,041, of which 11,947,558 shares are common stock, par value $0.0001 per share, and 6,825,483 shares are preferred stock, par value $0.0001 per share. The affirmative vote of the holders of at least a majority of the outstanding shares of voting preferred stock voting together on an as-converted to common stock basis is needed to (i) create, or authorize the creation of, or issue or obligate itself to issue shares of, or reclassify, any capital stock unless the same ranks junior to the preferred stock with respect to its rights, preferences and privileges, or (ii) increase the authorized number of shares of preferred stock or any additional class or series of capital stock of Tectonic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unless the same ranks junior to the preferred stock with respect to its rights, preferences and privileges. The number of authorized shares of Tectonic common stock may be increased or decreased (but not below the number of shares thereof then outstanding) by (in addition to any vote of the holders of one or more series of preferred stock that may be required) the affirmative vote of the holders of shares of capital stock of Tectonic representing a majority of the votes represented by all outstanding shares of capital stock of Tectonic entitled to vote, irrespective of the provisions of Section 242(b)(2) of the DGCL.</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Common Stock</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AVROBIOs authorized common stock consists of 150,000,000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AVROBIO common stock is entitled to one vote for each such share held of record on the applicable record date on each matter voted on at a meeting of stockholders.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Tectonics authorized common stock consists of 11,947,558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Tectonic common stock is entitled to one vote for each such share held of record on the applicable record date on each matter voted on at a meeting of stockholders.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Preferred Stock</w:t>
            </w:r>
          </w:p>
        </w:tc>
      </w:tr>
      <w:tr>
        <w:trPr/>
        <w:tc>
          <w:tcPr>
            <w:tcW w:w="5204" w:type="dxa"/>
            <w:tcBorders/>
          </w:tcPr>
          <w:p>
            <w:pPr>
              <w:pStyle w:val="TableContents"/>
              <w:bidi w:val="0"/>
              <w:spacing w:before="0" w:after="283"/>
              <w:jc w:val="left"/>
              <w:rPr/>
            </w:pPr>
            <w:r>
              <w:rPr/>
              <w:t>AVROBIOs authorized preferred stock consists of 10,000,000 shares of undesignated preferred stock. No shares of AVROBIO undesignated preferred stock are currently outstanding.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Tectonics authorized preferred stock consists of 6,825,483 shares of preferred stock, of which 4,118,120 are designated Series A-1 Preferred Stock, 1,649,188 are designated Series A-2 Preferred Stock, 696,516 are designated Series A-3 Preferred Stock, and 361,659 are designated Series A-4 Preferred Stock. 6,825,483 shares of Tectonics preferred stock are currently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Tectonic Series A-1 Preferred Stock, Series A-3 Preferred Stock and Series A-4 Preferred Stock is entitled to one vote for each such share held of record on the applicable record date on each matter voted on at a meeting of stockholders (the Voting Preferred Stock).</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Number and Qualification of Directors</w:t>
            </w:r>
          </w:p>
        </w:tc>
      </w:tr>
      <w:tr>
        <w:trPr/>
        <w:tc>
          <w:tcPr>
            <w:tcW w:w="5204" w:type="dxa"/>
            <w:tcBorders/>
          </w:tcPr>
          <w:p>
            <w:pPr>
              <w:pStyle w:val="TableContents"/>
              <w:bidi w:val="0"/>
              <w:spacing w:before="0" w:after="283"/>
              <w:jc w:val="left"/>
              <w:rPr/>
            </w:pPr>
            <w:r>
              <w:rPr/>
              <w:t>The number of AVROBIO directors is fixed from time to time by resolution of the AVROBIO Board. The AVROBIO Board currently consists of seven members. No decrease in the authorized number of directors constituting the AVROBIO Board will shorten the term of any incumbent director. Directors of AVROBIO need not be stockholders of AVROBIO.</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number of Tectonic directors is fixed from time to time by resolution of the Tectonic board. The Tectonic board currently consists of six members. Directors of Tectonic need not be stockholders of Tectonic. The vote of the holders of at least a majority of the outstanding shares of Voting Preferred Stock voting together on an as-converted to common stock basis is needed to increase or decrease the authorized number of directors constituting Tectonic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tcPr>
          <w:p>
            <w:pPr>
              <w:pStyle w:val="TableContents"/>
              <w:bidi w:val="0"/>
              <w:spacing w:before="0" w:after="283"/>
              <w:jc w:val="center"/>
              <w:rPr>
                <w:i/>
              </w:rPr>
            </w:pPr>
            <w:r>
              <w:rPr>
                <w:i/>
              </w:rPr>
              <w:t>Structure of Board of Directors; Term of Directors; Election of Directors</w:t>
            </w:r>
          </w:p>
        </w:tc>
      </w:tr>
      <w:tr>
        <w:trPr/>
        <w:tc>
          <w:tcPr>
            <w:tcW w:w="5204" w:type="dxa"/>
            <w:tcBorders/>
          </w:tcPr>
          <w:p>
            <w:pPr>
              <w:pStyle w:val="TableContents"/>
              <w:bidi w:val="0"/>
              <w:spacing w:before="0" w:after="283"/>
              <w:jc w:val="left"/>
              <w:rPr/>
            </w:pPr>
            <w:r>
              <w:rPr/>
              <w:t>Other than any directors elected by the separate vote of the holders of any series of AVROBIO undesignated preferred stock, the AVROBIO Board is divided into three classes, designated as Class I, Class II and Class III, respectively. Directors are assigned to each class in accordance with a resolution or resolutions adopted by the AVROBIO Board. At the first annual meeting of stockholders following the effectiveness of AVROBIOs IPO, the term of office of the Class I directors expired and Class I directors were elected for a full term of three years. At the second annual meeting of stockholders following AVROBIOs IPO, the term of office of the Class II directors expired and Class II directors were elected for a full term of three years. At the third annual meeting of stockholders following AVROBIOs IPO, the term of office of the Class III directors expired and Class III directors were elected for a full term of three years. At each succeeding annual meeting of stockholders, directors are elected for a full term of three years to succeed the directors of the class whose terms expire at such annual meeting. Notwithstanding the foregoing, directors elected to each class hold office until their successors are duly elected and qualified or until their earlier resignation, death or removal.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holders of record of the shares of Voting Preferred Stock, exclusively and as a separate class (voting together on an as converted to common stock basis) shall be entitled to elect three directors and the holders of record of the shares of Tectonic common stock, exclusively and as a separate class, shall be entitled to elect two directors. If the holders of shares of Voting Preferred Stock or Tectonic common stock, as the case may be, fail to elect a sufficient number of directors to fill all directorships for which they are entitled to elect directors, voting exclusively and as a separate class, then any directorship not so filled shall remain vacant until such time as the holders of the Tectonic preferred stock or Tectonic common stock, as the case may be, elect a person to fill such directorship by vote or written consent in lieu of a meeting; and no such directorship may be filled by stockholders of Tectonic other than by the stockholders of Tectonic that are entitled to elect a person to fill such directorship, voting exclusively and as a separate class. The holders of record of the shares of Tectonic common stock and of any other class or series of voting stock (including the Voting Preferred Stock), exclusively and voting together as a single class, shall be entitled to elect the balance of the total number of directors of Tectonic. Pursuant to the terms of a Voting Agreement dated March 31, 2021 (the Voting Agreement), Vida Ventures II, LLC and its affiliates, Polaris Partners IX, L.P. and its affiliates and Timothy A. Springer each have the right to designate one of the directors elected by the holders of preferred stock.</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Removal of Directors</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AVROBIO undesignated preferred stock to elect directors, or except as otherwise provided by the DGCL or AVROBIOs charter, any director may be removed from office at any time, but only with cause and only by the affirmative vote of the holders of two thirds (2/3) of the outstanding shares of capital stock of AVROBIO entitled to vote at an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 decrease in the authorized number of directors constituting the AVROBIO Board will shorten the term of any incumbent director. In the event of a vacancy in the AVROBIO Board, the remaining directors, except as otherwise provided by law, shall exercise the powers of the full AVROBIO Board until the vacancy is filled.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Tectonic director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Vacancies on the Board of Directors</w:t>
            </w:r>
          </w:p>
        </w:tc>
      </w:tr>
      <w:tr>
        <w:trPr/>
        <w:tc>
          <w:tcPr>
            <w:tcW w:w="5204" w:type="dxa"/>
            <w:tcBorders/>
          </w:tcPr>
          <w:p>
            <w:pPr>
              <w:pStyle w:val="TableContents"/>
              <w:bidi w:val="0"/>
              <w:spacing w:before="0" w:after="283"/>
              <w:jc w:val="left"/>
              <w:rPr/>
            </w:pPr>
            <w:r>
              <w:rPr/>
              <w:t>Any director may resign at any time by electronic transmission or upon notice in writing to AVROBIO Chairman of the AVROBIO Board, President or Secretary. Such resignation shall be effective upon receipt, unless the resignation otherwise provides. Subject to the rights of the holders of any series of AVROBIO undesignated preferred stock, any vacancies and any newly created directorships resulting from any increase in the number of directors, will be filled solely and exclusively by the affirmative vote of a majority of the remaining directors then in office, even if less than a quorum, and not by the stockholders. Any director elected in accordance with the preceding sentence will hold office for the remainder of the full term of the director for which the vacancy was created or occurred and until such directors successor is elected and qualified or until his or her earlier resignation, death or removal.</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Any director may resign at any time by delivering such directors notice in writing or by electronic transmission to the Secretary, such resignation to specify whether it will be effective at a particular time, upon receipt by the Secretary or at the pleasure of the Tectonic Board. If no such specification is made, it will be deemed effective at the pleasure of the Tectonic Board.</w:t>
            </w:r>
          </w:p>
          <w:p>
            <w:pPr>
              <w:pStyle w:val="TableContents"/>
              <w:bidi w:val="0"/>
              <w:spacing w:before="0" w:after="20"/>
              <w:jc w:val="left"/>
              <w:rPr>
                <w:rFonts w:ascii="Times New Roman" w:hAnsi="Times New Roman"/>
                <w:sz w:val="20"/>
              </w:rPr>
            </w:pPr>
            <w:r>
              <w:rPr>
                <w:rFonts w:ascii="Times New Roman" w:hAnsi="Times New Roman"/>
                <w:sz w:val="20"/>
              </w:rPr>
              <w:t>A vacancy in any directorship filled by the holders of any class or classes or series shall be filled only by vote or written consent in lieu of a meeting of the holders of such class or classes or series or by any remaining director or directors elected by the holders of such class or classes or series entitled to make such elections. Whenever the holders of any class or classes of stock or series thereof are entitled to elect one or more directors by the provisions of Tectonics charter, vacancies and newly created directorships of such class or classes or series will, unless the Tectonic board determines by resolution that any such vacancies or newly created directorships must be filled by stockholders, be filled by a majority of the directors elected by such class or classes or series thereof then in office, or by a sole remaining director so elected.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Stockholder Action by Written Consent</w:t>
            </w:r>
          </w:p>
        </w:tc>
      </w:tr>
      <w:tr>
        <w:trPr/>
        <w:tc>
          <w:tcPr>
            <w:tcW w:w="5204" w:type="dxa"/>
            <w:tcBorders/>
          </w:tcPr>
          <w:p>
            <w:pPr>
              <w:pStyle w:val="TableContents"/>
              <w:bidi w:val="0"/>
              <w:spacing w:before="0" w:after="283"/>
              <w:jc w:val="left"/>
              <w:rPr/>
            </w:pPr>
            <w:r>
              <w:rPr/>
              <w:t>No action may be taken by the stockholders except at an annual or special meeting of stockholders called in accordance with AVROBIOs amended and restated bylaws, and no action may be taken by the stockholders by written consent in lieu of a meeting.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Any action required by statute to be taken at any annual or special meeting of the stockholders, or any action that may be taken at any annual or special meeting of the stockholders, may be taken without a meeting, without prior notice and without a vote, if a consent or consents setting forth the action so taken, will be signed by the holders of outstanding stock having not less than the minimum number of votes that would be necessary to authorize or take such action at a meeting at which all shares entitled to vote thereon were present and voted.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Quorum</w:t>
            </w:r>
          </w:p>
        </w:tc>
      </w:tr>
      <w:tr>
        <w:trPr/>
        <w:tc>
          <w:tcPr>
            <w:tcW w:w="5204" w:type="dxa"/>
            <w:tcBorders/>
          </w:tcPr>
          <w:p>
            <w:pPr>
              <w:pStyle w:val="TableContents"/>
              <w:bidi w:val="0"/>
              <w:spacing w:before="0" w:after="283"/>
              <w:jc w:val="left"/>
              <w:rPr/>
            </w:pPr>
            <w:r>
              <w:rPr/>
              <w:t>Unless otherwise provided by law or AVROBIOs charter or bylaws, at each meeting of stockholders the holders of a majority of the outstanding shares of stock entitled to vote at the meeting, present in person or represented by proxy, will constitute a quorum for the transaction of business. If a quorum fails to attend any meeting or the AVROBIO Board determines its necessary of otherwise in the best interest of</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At all meetings of stockholders, the presence, in person, by remote communication, if applicable, or by proxy duly authorized, of the holders of a majority of the outstanding shares of stock entitled to vote will constitute a quorum for the transaction of business. In the absence of a quorum, any meeting of stockholders may be adjourned, from time to time, either by the chair of the meeting or by vote of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5205" w:type="dxa"/>
            <w:tcBorders/>
          </w:tcPr>
          <w:p>
            <w:pPr>
              <w:pStyle w:val="TableContents"/>
              <w:bidi w:val="0"/>
              <w:spacing w:before="0" w:after="283"/>
              <w:jc w:val="left"/>
              <w:rPr/>
            </w:pPr>
            <w:r>
              <w:rPr/>
              <w:t>AVROBIO, the presiding officer of the meeting or the holders of a majority of the shares entitled to vote who are present at the meeting may adjourn the meeting. The stockholders present at a duly constituted meeting may continue to transact business until adjournment notwithstanding the withdrawal of enough stockholders to reduce the voting shares below a quorum.</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holders of a majority of the shares represented thereat, but no other business will be transacted at such meeting. The stockholders present at a duly called or convened meeting, at which a quorum is present, may continue to transact business until adjournment, notwithstanding the withdrawal of enough stockholders to leave less than a quorum.</w:t>
            </w:r>
          </w:p>
        </w:tc>
      </w:tr>
      <w:tr>
        <w:trPr/>
        <w:tc>
          <w:tcPr>
            <w:tcW w:w="10205" w:type="dxa"/>
            <w:gridSpan w:val="3"/>
            <w:tcBorders/>
          </w:tcPr>
          <w:p>
            <w:pPr>
              <w:pStyle w:val="TableContents"/>
              <w:bidi w:val="0"/>
              <w:spacing w:before="0" w:after="283"/>
              <w:jc w:val="center"/>
              <w:rPr>
                <w:i/>
              </w:rPr>
            </w:pPr>
            <w:r>
              <w:rPr>
                <w:i/>
              </w:rPr>
              <w:t>Special Meetings of Stockholders</w:t>
            </w:r>
          </w:p>
        </w:tc>
      </w:tr>
      <w:tr>
        <w:trPr/>
        <w:tc>
          <w:tcPr>
            <w:tcW w:w="5205" w:type="dxa"/>
            <w:tcBorders/>
          </w:tcPr>
          <w:p>
            <w:pPr>
              <w:pStyle w:val="TableContents"/>
              <w:bidi w:val="0"/>
              <w:spacing w:before="0" w:after="283"/>
              <w:jc w:val="left"/>
              <w:rPr/>
            </w:pPr>
            <w:r>
              <w:rPr/>
              <w:t>Special meetings of stockholders may be called only by the AVROBIO Board acting pursuant to a resolution approved by the affirmative vote of a majority of the directors then in office and special meetings of stockholders may not be called by any other person or persons. The AVROBIO Board will determine the time and place, if any, of such special meeting. Only those matters set forth in the notice of the special meeting shall be considered or acted upon at such special meeting.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Special meetings of the stockholders of Tectonic may be called, for any purpose or purposes, by (i) the Chair of the Tectonic Board, (ii) the Chief Executive Officer, (iii) the Tectonic Board pursuant to a resolution adopted by directors representing a quorum of the directors then serving on the Tectonic Board or (iv) by the holders of shares entitled to cast not less than 20% of the votes at the meeting, and will be held at such place, on such date, and at such time as the Tectonic Board will fix.</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Notice of Stockholder Meetings</w:t>
            </w:r>
          </w:p>
        </w:tc>
      </w:tr>
      <w:tr>
        <w:trPr/>
        <w:tc>
          <w:tcPr>
            <w:tcW w:w="5205" w:type="dxa"/>
            <w:tcBorders/>
          </w:tcPr>
          <w:p>
            <w:pPr>
              <w:pStyle w:val="TableContents"/>
              <w:bidi w:val="0"/>
              <w:spacing w:before="0" w:after="283"/>
              <w:jc w:val="left"/>
              <w:rPr/>
            </w:pPr>
            <w:r>
              <w:rPr/>
              <w:t>Notice of all meetings of AVROBIO stockholders shall state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AVROBIOs bylaws) not less than ten nor more than sixty days before the meeting to each stockholder entitled to vote thereat and to each stockholder who, under AVROBIOs charter or bylaws is entitled to such notice. If mailed, notice is given when deposited in the mail, postage prepaid, directed to such stockholder at such stockholders address as it appears in AVROBIOs records. Without limiting the manner by which notice may otherwise be effectively given to stockholders, any notice to stockholders may be given by electronic transmission in the manner provided in Section 232 of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Notice, given in writing or by electronic transmission, of each meeting of stockholders will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such stockholders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will be bound by the proceedings of any such meeting in all respects as if due notice thereof had been given.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Advance Notice Requirements for Stockholder Proposals</w:t>
            </w:r>
          </w:p>
        </w:tc>
      </w:tr>
      <w:tr>
        <w:trPr/>
        <w:tc>
          <w:tcPr>
            <w:tcW w:w="5205" w:type="dxa"/>
            <w:tcBorders/>
          </w:tcPr>
          <w:p>
            <w:pPr>
              <w:pStyle w:val="TableContents"/>
              <w:bidi w:val="0"/>
              <w:spacing w:before="0" w:after="283"/>
              <w:jc w:val="left"/>
              <w:rPr/>
            </w:pPr>
            <w:r>
              <w:rPr/>
              <w:t>Nominations of persons for election to the AVROBIO Board and the proposal of business other than nominations to be considered by the stockholders may be made at an annual meeting of stockholders only (i) by or at the direction of the AVROBIO Board or (ii) by any stockholder of AVROBIO who is a stockholder of record at the time of giving notice provided for in AVROBIOs amended and restated bylaws, who is entitled to vote at the meeting, who is present (in person or by proxy) at the meeting and who complies with the notice procedures set forth in AVROBIOs bylaws. For the avoidance of doubt, the foregoing clause (ii) is the exclusive means for a stockholder to make director nominations and submit other business (other than matters properly included in the corporations notice of meeting of stockholders and proxy statement under Rule 14a-8 under the Exchange Act) before an annual meeting of stockholders.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Tectonics bylaws do not contain advance notice requirements for stockholder proposals.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Amendment of Certificate of Incorporation</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affirmative vote of the majority of the outstanding shares of capital stock entitled to vote, and the affirmative vote of the majority of the outstanding shares of each class entitled to vote thereon as a class, at a duly constituted meeting of stockholders called expressly for such purpose, will be required to amend certain provisions of AVROBIOs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Notwithstanding any other provisions of AVROBIOs charter or bylaws, or any provision of law which might otherwise permit a lesser vote or no vote, stockholders may vote to amend AVROBIOs charter pursuant to Section 242 of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Subject to Section 242 of the DGCL, affirmative vote of the majority of the outstanding shares of capital stock entitled to vote and the affirmative vote of the holders of at least a majority of the outstanding shares of Tectonic preferred stock, voting together on an as-converted to Tectonic common stock basis, will be required to amend, alter, waive or repeal any provision of Tectonics charter in a manner that adversely affects the powers, preferences or rights of the holders of Tectonic preferred stock.</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Amendment of Bylaws</w:t>
            </w:r>
          </w:p>
        </w:tc>
      </w:tr>
      <w:tr>
        <w:trPr/>
        <w:tc>
          <w:tcPr>
            <w:tcW w:w="5205" w:type="dxa"/>
            <w:tcBorders/>
          </w:tcPr>
          <w:p>
            <w:pPr>
              <w:pStyle w:val="TableContents"/>
              <w:bidi w:val="0"/>
              <w:spacing w:before="0" w:after="283"/>
              <w:jc w:val="left"/>
              <w:rPr/>
            </w:pPr>
            <w:r>
              <w:rPr/>
              <w:t>AVROBIOs bylaws may be amended or repealed by the AVROBIO stockholders or the AVROBIO Board. The affirmative vote of a majority of the outstanding shares of capital stock entitled to vote, voting together as a single class, is required to amend or repeal AVROBIOs bylaws. The AVROBIO Board also has the power to amend or repeal AVROBIOs bylaws by the affirmative vote of a majority of the directors then in office.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Tectonic Board is expressly empowered to adopt, amend or repeal Tectonics bylaws. Tectonic stockholders also have power to adopt, amend or repeal Tectonics bylaws; provided, however, that, in addition to any vote of the holders of any class or series of stock of the corporation required by law or by Tectonics charter, such action by stockholders requires the affirmative vote of the holders of a majority of the voting power of all of the then outstanding shares of the capital stock of Tectonic entitled to vote generally in the election of directors, voting together as a single class.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affirmative vote of the holders of at least a majority of the outstanding shares of Voting Preferred Stock, voting together on an as-converted to Tectonic common stock basis, is required to amend, alter, waive or repeal any provision of Tectonics bylaws in a manner that adversely affects the powers, preferences or rights of the holders of Tectonic preferred stock.</w:t>
            </w:r>
          </w:p>
        </w:tc>
      </w:tr>
      <w:tr>
        <w:trPr/>
        <w:tc>
          <w:tcPr>
            <w:tcW w:w="10205" w:type="dxa"/>
            <w:gridSpan w:val="3"/>
            <w:tcBorders/>
          </w:tcPr>
          <w:p>
            <w:pPr>
              <w:pStyle w:val="TableContents"/>
              <w:bidi w:val="0"/>
              <w:spacing w:before="0" w:after="283"/>
              <w:jc w:val="center"/>
              <w:rPr>
                <w:i/>
              </w:rPr>
            </w:pPr>
            <w:r>
              <w:rPr>
                <w:i/>
              </w:rPr>
              <w:t>Limitation on Director Liability</w:t>
            </w:r>
          </w:p>
        </w:tc>
      </w:tr>
      <w:tr>
        <w:trPr/>
        <w:tc>
          <w:tcPr>
            <w:tcW w:w="5205" w:type="dxa"/>
            <w:tcBorders/>
          </w:tcPr>
          <w:p>
            <w:pPr>
              <w:pStyle w:val="TableContents"/>
              <w:bidi w:val="0"/>
              <w:spacing w:before="0" w:after="283"/>
              <w:jc w:val="left"/>
              <w:rPr/>
            </w:pPr>
            <w:r>
              <w:rPr/>
              <w:t>The liability of the AVROBIO directors to AVROBIO or AVROBIO stockholders for monetary damages is and will be eliminated to the fullest extent under applicable law. If applicable law is amended to authorize corporate action further eliminating or limiting the personal liability of directors, then the liability of a director to AVROBIO will be eliminated or limited to the fullest extent permitted by applicable law as so amended. Any amendment, repeal or modification of applicable law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 Tectonic director shall not be personally liable to Tectonic or its stockholders for monetary damages for breach of fiduciary duty as a director.</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Indemnification</w:t>
            </w:r>
          </w:p>
        </w:tc>
      </w:tr>
      <w:tr>
        <w:trPr/>
        <w:tc>
          <w:tcPr>
            <w:tcW w:w="5205" w:type="dxa"/>
            <w:tcBorders/>
          </w:tcPr>
          <w:p>
            <w:pPr>
              <w:pStyle w:val="TableContents"/>
              <w:bidi w:val="0"/>
              <w:spacing w:before="0" w:after="283"/>
              <w:jc w:val="left"/>
              <w:rPr/>
            </w:pPr>
            <w:r>
              <w:rPr/>
              <w:t>To the fullest extent permitted by applicable law, AVROBIO is authorized to provide indemnification of (and advancement of expenses to) directors, officers and agents of AVROBIO (and any other persons to which applicable law permits AVROBIO to provide indemnification) through provisions of AVROBIOs amended and restated bylaws, agreements with such agents or other persons, vote of stockholders or disinterested directors or otherwise in excess of the indemnification and advancement otherwise permitted by such applicable law. If applicable law is amended to authorize broader indemnification rights than such law permitted AVROBIO to provide prior to such amendment, then the liability of a director to AVROBIO will be eliminated or limited to the fullest extent permitted by applicable law as so amended.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To the fullest extent permitted by applicable law, Tectonic is authorized to provide indemnification of (and advancement of expenses to) directors, officers and agents of Tectonic (and any other persons to which the DGCL permits Tectonic to provide indemnification) through bylaw provisions, agreements with such agents or other persons, vote of stockholders or disinterested directors or otherwise, in excess of the indemnification and advancement otherwise permitted by Section 145 of the DGCL.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Conversion Rights</w:t>
            </w:r>
          </w:p>
        </w:tc>
      </w:tr>
      <w:tr>
        <w:trPr/>
        <w:tc>
          <w:tcPr>
            <w:tcW w:w="5204" w:type="dxa"/>
            <w:tcBorders/>
          </w:tcPr>
          <w:p>
            <w:pPr>
              <w:pStyle w:val="TableContents"/>
              <w:bidi w:val="0"/>
              <w:spacing w:before="0" w:after="283"/>
              <w:jc w:val="left"/>
              <w:rPr/>
            </w:pPr>
            <w:r>
              <w:rPr/>
              <w:t>AVROBIO does not have any outstanding shares of undesignated preferred stock.</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Tectonics charter provides that holders of Tectonic preferred stock have the right to convert such shares into shares of common stock at any time at a conversion rate in accordance with the terms of Tectonics charter. In addition, upon the earliest of (a) the closing of the sale of shares of Tectonic common stock to the public at a price of at least $39.56280 per share in a firm-commitment underwritten public offering pursuant to an effective registration statement under the Securities Act, resulting in at least $75,000,000 of gross proceeds to Tectonic or (b) the date and time, or the occurrence of an event, specified by vote or written consent of the holders of at least a majority of the outstanding shares of Voting Preferred Stock voting together on an as-converted to common stock basis, then (i) all outstanding shares of Tectonic preferred stock shall automatically be converted into shares of Tectonic common stock, at the then effective conversion rate as calculated pursuant to Tectonics charter. Each share of Series A-2 preferred stock shall be convertible into one share of Series A-1 preferred stock.</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Right of First Refusal</w:t>
            </w:r>
          </w:p>
        </w:tc>
      </w:tr>
      <w:tr>
        <w:trPr/>
        <w:tc>
          <w:tcPr>
            <w:tcW w:w="5204" w:type="dxa"/>
            <w:tcBorders/>
          </w:tcPr>
          <w:p>
            <w:pPr>
              <w:pStyle w:val="TableContents"/>
              <w:bidi w:val="0"/>
              <w:spacing w:before="0" w:after="283"/>
              <w:jc w:val="left"/>
              <w:rPr/>
            </w:pPr>
            <w:r>
              <w:rPr/>
              <w:t>AVROBIO does not have a right of first refusal in place.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a Right of First Refusal and Co-Sale Agreement dated March 31, 2021 (the Right of First Refusal Agreement) certain of Tectonic stockholders (each, a Key Holder), wishing to transfer any shares of Tectonic capital stock must first provide Tectonic with the right to purchase such shares. In such an event, if Tectonic does not elect to exercise its right of first refusal in full, certain stockholders party to the Right of First Refusal, or Investors, have a secondary right of first refusal to purchase all or any portion of the shares of Tectonic capital stock which are proposed for sale or transfer by the Key Holders.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Right of Co-Sale</w:t>
            </w:r>
          </w:p>
        </w:tc>
      </w:tr>
      <w:tr>
        <w:trPr/>
        <w:tc>
          <w:tcPr>
            <w:tcW w:w="5204" w:type="dxa"/>
            <w:tcBorders/>
          </w:tcPr>
          <w:p>
            <w:pPr>
              <w:pStyle w:val="TableContents"/>
              <w:bidi w:val="0"/>
              <w:spacing w:before="0" w:after="283"/>
              <w:jc w:val="left"/>
              <w:rPr/>
            </w:pPr>
            <w:r>
              <w:rPr/>
              <w:t>AVROBIO does not have a right of co-sale in place.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the Right of First Refusal Agreement each Investor has a right of co-sale with respect to any Tectonic capital stock proposed to be transferred or sold by any Key Holder which is not earlier purchased by Tectonic by exercise of its right of first refusal (as further described above) or by any Tectonic investor by exercise of their secondary right of first refusal (as further described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Preemptive Rights</w:t>
            </w:r>
          </w:p>
        </w:tc>
      </w:tr>
      <w:tr>
        <w:trPr/>
        <w:tc>
          <w:tcPr>
            <w:tcW w:w="5204" w:type="dxa"/>
            <w:tcBorders/>
          </w:tcPr>
          <w:p>
            <w:pPr>
              <w:pStyle w:val="TableContents"/>
              <w:bidi w:val="0"/>
              <w:spacing w:before="0" w:after="283"/>
              <w:jc w:val="left"/>
              <w:rPr/>
            </w:pPr>
            <w:r>
              <w:rPr/>
              <w:t>AVROBIO stockholders do not have preemptive rights. Thus, if additional shares of AVROBIO common stock are issued, the current holders of AVROBIO common stock will own a proportionately smaller interest in a larger number of outstanding shares of common stock to the extent that they do not participate in the additional issuance.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Pursuant to the Investors Rights Agreement, dated March 31, 2021 (the Tectonic IRA), if Tectonic proposes to offer or sell new equity securities, Tectonic must first offer such securities to certain holders of Tectonic capital stock. Each such holder will then have the right to purchase securities in such new offering equal to the proportion of the ownership interest of such holder prior to such offering.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Distributions to Stockholders</w:t>
            </w:r>
          </w:p>
        </w:tc>
      </w:tr>
      <w:tr>
        <w:trPr/>
        <w:tc>
          <w:tcPr>
            <w:tcW w:w="5204" w:type="dxa"/>
            <w:tcBorders/>
          </w:tcPr>
          <w:p>
            <w:pPr>
              <w:pStyle w:val="TableContents"/>
              <w:bidi w:val="0"/>
              <w:spacing w:before="0" w:after="283"/>
              <w:jc w:val="left"/>
              <w:rPr/>
            </w:pPr>
            <w:r>
              <w:rPr/>
              <w:t>Dividends upon AVROBIO capital stock, subject to the provisions of AVROBIOs charter and applicable law, if any, may be declared by the AVROBIO Board pursuant to law at any regular or special meeting. Dividends may be paid in cash, in property, or in shares of the capital stock, subject to the provisions of AVROBIOs charter and applicable law. The AVROBIO Board may fix a record date for the determination of holders of AVROBIO common stock entitled to receive payment of a dividend or distribution declared thereon, which record date shall not precede the date upon which the resolution fixing the record date is adopted, and which record date may not be more than 60 days prior to the date fixed for the payment thereof.</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Dividends upon Tectonic capital stock, subject to the provisions of Tectonics charter and applicable law, if any, may be declared by the Tectonic Board any regular or special meeting. Dividends may be paid in cash, in property, or in shares of the capital stock, subject to the provisions of Tectonic s amended and restated certificate of incorporation, as amended, and applicable law. The Tectonic Board may fix a record date for the determination of holders of Tectonic common stock entitled to receive payment of a dividend or distribution declared thereon, which record date is to be not to precede the date upon which the resolution fixing the record date is adopted, and which record date may not be more than 60 days prior to the date fixed for the payment thereof. The holders of Tectonic preferred stock are entitled to receive, only when, as and if declared by the Tectonic Board, dividends at the rate of 8% of the original issue price for each share of Tectonic preferred stock. No dividend shall be paid to the holders of Tectonic Common Stock unless the holders of Tectonic preferred stock first receive payment of the dividends to which they are entitled under Tectonics amended and restated certificate of incorporation.</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Exclusive Forum</w:t>
            </w:r>
          </w:p>
        </w:tc>
      </w:tr>
      <w:tr>
        <w:trPr/>
        <w:tc>
          <w:tcPr>
            <w:tcW w:w="5204" w:type="dxa"/>
            <w:tcBorders/>
          </w:tcPr>
          <w:p>
            <w:pPr>
              <w:pStyle w:val="TableContents"/>
              <w:bidi w:val="0"/>
              <w:spacing w:before="0" w:after="283"/>
              <w:jc w:val="left"/>
              <w:rPr/>
            </w:pPr>
            <w:r>
              <w:rPr/>
              <w:t>AVROBIOs bylaws provide that unless it consents in writing to the selection of an alternative forum, the Court of Chancery of the State of Delaware will be the sole and exclusive forum for any state law claim for: (i) any derivative action or proceeding brought on behalf of AVROBIO, (ii) any action asserting a claim of breach of or based on a fiduciary duty owed by any current or former director, officer or other employee of AVROBIO to AVROBIO or AVROBIO stockholders, (iii) any action asserting a claim against AVROBIO or any current or former director, officer or other employee or stockholder of the AVROBIO arising pursuant to any</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Unless Tectonic consents in writing to the selection of an alternative forum, the Court of Chancery in the State of Delaware shall be the sole and exclusive forum for any stockholder (including a beneficial owner) to bring (i) any derivative action or proceeding brought on behalf of Tectonic, (ii) any action asserting a claim of breach of fiduciary duty owed by any director, officer or other employee of Tectonic to Tectonic or its stockholders, (iii) any action asserting a claim against Tectonic, its directors, officers or employees arising pursuant to any provision of the DGCL or Tectonics amended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5204" w:type="dxa"/>
            <w:tcBorders/>
          </w:tcPr>
          <w:p>
            <w:pPr>
              <w:pStyle w:val="TableContents"/>
              <w:bidi w:val="0"/>
              <w:spacing w:before="0" w:after="283"/>
              <w:jc w:val="left"/>
              <w:rPr/>
            </w:pPr>
            <w:r>
              <w:rPr/>
              <w:t>provision of the DGCL or AVROBIOs charter or bylaws, or (iv) any action asserting a claim against AVROBIO or any current or former director or officer or other employee of AVROBIO governed by the internal affairs doctrine. Unless AVROBIO consents in writing to the selection of an alternative forum, the United States District Court for the District of Massachusetts shall be the exclusive forum for the resolution of any complaint asserting a cause of action arising under the Securities Act. Any person or entity purchasing or otherwise acquiring any interest in shares of capital stock of AVROBIO will be deemed to have notice of and to have consented to the forum selection provision of AVROBIOs bylaws.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and restated certificate of incorporation, as amended or bylaws or (iv) any action asserting a claim against Tectonic,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tc>
      </w:tr>
      <w:tr>
        <w:trPr/>
        <w:tc>
          <w:tcPr>
            <w:tcW w:w="10205" w:type="dxa"/>
            <w:gridSpan w:val="3"/>
            <w:tcBorders/>
          </w:tcPr>
          <w:p>
            <w:pPr>
              <w:pStyle w:val="TableContents"/>
              <w:bidi w:val="0"/>
              <w:spacing w:before="0" w:after="283"/>
              <w:jc w:val="center"/>
              <w:rPr>
                <w:i/>
              </w:rPr>
            </w:pPr>
            <w:r>
              <w:rPr>
                <w:i/>
              </w:rPr>
              <w:t>Registration Rights</w:t>
            </w:r>
          </w:p>
        </w:tc>
      </w:tr>
      <w:tr>
        <w:trPr/>
        <w:tc>
          <w:tcPr>
            <w:tcW w:w="5204" w:type="dxa"/>
            <w:tcBorders/>
          </w:tcPr>
          <w:p>
            <w:pPr>
              <w:pStyle w:val="TableContents"/>
              <w:bidi w:val="0"/>
              <w:spacing w:before="0" w:after="283"/>
              <w:jc w:val="left"/>
              <w:rPr/>
            </w:pPr>
            <w:r>
              <w:rPr/>
              <w:t>AVROBIO is not party to any registration rights agreements.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Under the Tectonic IRA, certain holders of Tectonic preferred stock that are party to the Tectonic IRA have certain registration rights, including the right to demand that Tectonic file a registration statement, so called demand registration rights, or request that their shares be covered by a registration statement that Tectonic is otherwise filing, so-called piggyback registration rights.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Stock Transfer Restrictions Applicable to Stockholders</w:t>
            </w:r>
          </w:p>
        </w:tc>
      </w:tr>
      <w:tr>
        <w:trPr/>
        <w:tc>
          <w:tcPr>
            <w:tcW w:w="5204" w:type="dxa"/>
            <w:tcBorders/>
          </w:tcPr>
          <w:p>
            <w:pPr>
              <w:pStyle w:val="TableContents"/>
              <w:bidi w:val="0"/>
              <w:spacing w:before="0" w:after="283"/>
              <w:jc w:val="left"/>
              <w:rPr/>
            </w:pPr>
            <w:r>
              <w:rPr/>
              <w:t>Shares of AVROBIO are transferable in the manner prescribed by the DGCL.</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Pursuant to Tectonics bylaws, transfer of Tectonic shares requires prior written consent of Tectonic board, subject to certain conditions as provided in the Tectonic bylaws.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i/>
              </w:rPr>
            </w:pPr>
            <w:r>
              <w:rPr>
                <w:i/>
              </w:rPr>
              <w:t>Stockholder Rights Plan</w:t>
            </w:r>
          </w:p>
        </w:tc>
      </w:tr>
      <w:tr>
        <w:trPr/>
        <w:tc>
          <w:tcPr>
            <w:tcW w:w="5204" w:type="dxa"/>
            <w:tcBorders/>
          </w:tcPr>
          <w:p>
            <w:pPr>
              <w:pStyle w:val="TableContents"/>
              <w:bidi w:val="0"/>
              <w:spacing w:before="0" w:after="283"/>
              <w:jc w:val="left"/>
              <w:rPr/>
            </w:pPr>
            <w:r>
              <w:rPr/>
              <w:t>AVROBIO has not adopted a stockholder rights plan, or poison pill.</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Tectonic has not adopted a stockholder rights plan, or poison pill.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3" w:name="toc770053_188"/>
      <w:bookmarkEnd w:id="183"/>
      <w:r>
        <w:rPr>
          <w:rFonts w:ascii="Times New Roman" w:hAnsi="Times New Roman"/>
          <w:b/>
          <w:sz w:val="20"/>
        </w:rPr>
        <w:t xml:space="preserve">PRINCIPAL AVROBIO STOCKHOLDERS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to the extent known by AVROBIO or ascertainable from public filings, with respect to the beneficial ownership of AVROBIO common stock as of March 15, 2024,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AVROBIOs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AVROBIO to beneficially own greater than 5% of AVROBIO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titled Shares Beneficially Owned is based on a total of 44,877,840 shares of AVROBIO common stock outstanding as of March 15, 2024.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AVROBIO common stock. Shares of AVROBIO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AVROBIO common stock beneficially owned by them, subject to community property laws, where applicable. Except as otherwise indicated in the table below, addresses of named beneficial owners are in care of AVROBIO, Inc., One Broadway, 14th Floor, Cambridge, Massachusetts 02142.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4"/>
        <w:gridCol w:w="281"/>
        <w:gridCol w:w="60"/>
        <w:gridCol w:w="1080"/>
        <w:gridCol w:w="60"/>
        <w:gridCol w:w="281"/>
        <w:gridCol w:w="110"/>
        <w:gridCol w:w="1071"/>
        <w:gridCol w:w="278"/>
      </w:tblGrid>
      <w:tr>
        <w:trPr/>
        <w:tc>
          <w:tcPr>
            <w:tcW w:w="4534"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6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278" w:type="dxa"/>
            <w:tcBorders/>
            <w:vAlign w:val="bottom"/>
          </w:tcPr>
          <w:p>
            <w:pPr>
              <w:pStyle w:val="TableContents"/>
              <w:bidi w:val="0"/>
              <w:spacing w:before="0" w:after="283"/>
              <w:jc w:val="left"/>
              <w:rPr/>
            </w:pPr>
            <w:r>
              <w:rPr/>
              <w:t> </w:t>
            </w:r>
          </w:p>
        </w:tc>
      </w:tr>
      <w:tr>
        <w:trPr/>
        <w:tc>
          <w:tcPr>
            <w:tcW w:w="45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281"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8"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Affiliates of Atlas Venture Fund(1)</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4,541,381</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10.12</w:t>
            </w:r>
          </w:p>
        </w:tc>
        <w:tc>
          <w:tcPr>
            <w:tcW w:w="278"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BML Investment, L.P.(2)</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4,401,627</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9.81</w:t>
            </w:r>
          </w:p>
        </w:tc>
        <w:tc>
          <w:tcPr>
            <w:tcW w:w="278"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Affiliates of ADAR1 Fund(3)</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3,276,498</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7.30</w:t>
            </w:r>
          </w:p>
        </w:tc>
        <w:tc>
          <w:tcPr>
            <w:tcW w:w="278"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Newtyn Management, LLC(4)</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2,734,175</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6.09</w:t>
            </w:r>
          </w:p>
        </w:tc>
        <w:tc>
          <w:tcPr>
            <w:tcW w:w="278"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Geoff MacKay(5)</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213,938</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Azadeh Golipour(6)</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400,655</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Ostrowski(7)</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809,184</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1.77</w:t>
            </w:r>
          </w:p>
        </w:tc>
        <w:tc>
          <w:tcPr>
            <w:tcW w:w="278"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Essra Ridha(8)</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307,694</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Bruce Booth, DPhil(9)</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76,069</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Ian T. Clark(10)</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155,091</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Phillip Donenberg(11)</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96,812</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Gail M. Farfel, PhD(12)</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80,394</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Annalisa Jenkins, MBBS, FRCP(13)</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115,580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Paige, PhD(14)</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328,581</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Philip J. Vickers, PhD(15)</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99,612</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 as a group (11 persons)(16)</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3,042,369</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6.40</w:t>
            </w:r>
          </w:p>
        </w:tc>
        <w:tc>
          <w:tcPr>
            <w:tcW w:w="278"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in part on a Schedule 13D filed with the SEC on July 30, 2019 and a Form 4 filed with the SEC on February 18, 2020. 3,710,052 shares are held directly by Atlas Venture X, 810,811 shares are held 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by Atlas Venture Opportunity and 20,518 shares are held directly by AVA X LP. AVA X LP is the general partner of Atlas Venture X, and AVA X LLC is the general partner of AVA X LP. AVA Opportunity LP is the general partner of Atlas Venture Opportunity and AVA Opportunity LLC is the general partner of AVA Opportunity LP. Bruce Booth is a member of AVA X LLC and AVA Opportunity LLC and a member of the AVROBIO Board. Dr. Booth disclaims beneficial ownership of such shares, except to the extent of his proportionate pecuniary interest therein, if any. The address for Atlas Venture X is 300 Technology Square, 8th Floor, Cambridge, MA 02139.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13G/A filed with the SEC on February 7, 2024. The report was filed by BML Investment Partners, L.P. and Braden M. Leonard. The address for these persons is 65 E Cedar, Suite 2, Zionsville, IN 46077.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February 23, 2024. The report was filed by ADAR1 Partners, LP, ADAR1 Capital Management, LLC, ADAR1 Capital Management GP, LLC, and Daniel Schneeberger. 3,276,498 shares are directly held by ADAR1 Partners, LP. ADAR1 Capital Management, LLC acts as an investment adviser to, and manages investment and trading accounts of, ADAR1 Partners, LP. ADAR1 Capital Management GP, LLC acts as the general partner of ADAR1 Partners, LP. Mr. Schneeberger is the manager of ADAR1 Capital Management, LLC and ADAR1 Capital Management GP, LLC. ADAR1 Capital Management, LLC, ADAR1 Capital Management GP, LLC and Mr. Schneeberger may be deemed to indirectly beneficially own securities held by ADAR1 Partners, LP. The address of the principal business office of each of these persons is 3503 Wild Cherry Drive, Building 9, Austin, Texas 78738.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February 14, 2024. The report was filed by Newtyn Management, LLC. 1,332,500 shares are held directly by Newtyn Partners, LP and 1,401,675 shares are held directly by Newtyn TE Partners, LP. Newtyn Management, LLC is the investment manager to Newtyn Partners, LP and Newtyn TE Partners, LP and may be deemed to beneficially own the 2,734,175 shares held in aggregate by Newtyn Partners, LP and Newtyn TE Partners, LP. The address for Newtyn Management, LLC is 60 East 42nd Street, 9th Floor, New York, NY 10165.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213,938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37,700 shares of AVROBIO common stock and (ii) 362,955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29,285 shares of AVROBIO common stock and (ii) 779,899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15,881 shares of AVROBIO common stock and (ii) 291,813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76,069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155,091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2,000 shares of AVROBIO common stock and (ii) 94,812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80,394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115,580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252,512 shares of AVROBIO common stock and (ii) 76,069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4,800 shares of AVROBIO common stock and (ii) 94,812 shares of AVROBIO common stock issuable upon exercise of options within 60 days of March 15,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an aggregate of 2,678,169 shares issuable upon exercise of stock options within 60 days of March 15, 2024 held by AVROBIOs current executive officers and directors as a group. Excludes shares held by Mr. MacKay, who is not a current executive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4" w:name="toc770053_189"/>
      <w:bookmarkEnd w:id="184"/>
      <w:r>
        <w:rPr>
          <w:rFonts w:ascii="Times New Roman" w:hAnsi="Times New Roman"/>
          <w:b/>
          <w:sz w:val="20"/>
        </w:rPr>
        <w:t xml:space="preserve">PRINCIPAL TECTONIC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Tectonic common stock as of March 15, 2024,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Tectonic to beneficially own greater than 5% of Tectonics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Tectonics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Tectonics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Tectonics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titled Shares Beneficially Owned is based on a total of 9,462,603 shares of Tectonics common stock deemed to be outstanding as of March 15, 2024, assuming the conversion of all outstanding shares of Tectonic preferred stock into shares of Tectonic common stock. The following table does not reflect any shares of Tectonic common stock that such holders have agreed to purchase in the private financings.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attribute beneficial ownership of securities to persons who possess sole or shared voting or investment power with respect to securities. In addition, shares of Tectonic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Tectonic common stock beneficially owned by them, subject to community property laws, where applicable. Except as otherwise indicated in the table below, addresses of named beneficial owners are in care of Tectonic, 490 Arsenal Way, Suite 210, Watertown, Massachusetts 02472.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80"/>
        <w:gridCol w:w="307"/>
        <w:gridCol w:w="60"/>
        <w:gridCol w:w="1078"/>
        <w:gridCol w:w="60"/>
        <w:gridCol w:w="307"/>
        <w:gridCol w:w="137"/>
        <w:gridCol w:w="1046"/>
        <w:gridCol w:w="280"/>
      </w:tblGrid>
      <w:tr>
        <w:trPr/>
        <w:tc>
          <w:tcPr>
            <w:tcW w:w="448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48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6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280" w:type="dxa"/>
            <w:tcBorders/>
            <w:vAlign w:val="bottom"/>
          </w:tcPr>
          <w:p>
            <w:pPr>
              <w:pStyle w:val="TableContents"/>
              <w:bidi w:val="0"/>
              <w:spacing w:before="0" w:after="283"/>
              <w:jc w:val="left"/>
              <w:rPr/>
            </w:pPr>
            <w:r>
              <w:rPr/>
              <w:t> </w:t>
            </w:r>
          </w:p>
        </w:tc>
      </w:tr>
      <w:tr>
        <w:trPr/>
        <w:tc>
          <w:tcPr>
            <w:tcW w:w="44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30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4,552,327</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48.1</w:t>
            </w:r>
          </w:p>
        </w:tc>
        <w:tc>
          <w:tcPr>
            <w:tcW w:w="280"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Ventures(2)</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1,319,960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13.9</w:t>
            </w:r>
          </w:p>
        </w:tc>
        <w:tc>
          <w:tcPr>
            <w:tcW w:w="280" w:type="dxa"/>
            <w:tcBorders/>
            <w:shd w:fill="CCEEFF" w:val="clear"/>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Polaris Partners IX, L.P.(3)</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1,282,043</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13.5</w:t>
            </w:r>
          </w:p>
        </w:tc>
        <w:tc>
          <w:tcPr>
            <w:tcW w:w="280"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Kruse, Ph.D.(4)</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989,042</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10.5</w:t>
            </w:r>
          </w:p>
        </w:tc>
        <w:tc>
          <w:tcPr>
            <w:tcW w:w="280" w:type="dxa"/>
            <w:tcBorders/>
            <w:shd w:fill="CCEEFF" w:val="clear"/>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Alise Reicin, M.D.(5)</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514,581</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5.4</w:t>
            </w:r>
          </w:p>
        </w:tc>
        <w:tc>
          <w:tcPr>
            <w:tcW w:w="280"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4,552,327</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48.1</w:t>
            </w:r>
          </w:p>
        </w:tc>
        <w:tc>
          <w:tcPr>
            <w:tcW w:w="280"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Stefan Vitorovic(2)</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1,319,960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13.9</w:t>
            </w:r>
          </w:p>
        </w:tc>
        <w:tc>
          <w:tcPr>
            <w:tcW w:w="280" w:type="dxa"/>
            <w:tcBorders/>
            <w:shd w:fill="CCEEFF" w:val="clear"/>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Terrance McGuire(6)</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1,319,957</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13.9</w:t>
            </w:r>
          </w:p>
        </w:tc>
        <w:tc>
          <w:tcPr>
            <w:tcW w:w="280"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Kruse, Ph.D.(4)</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989,042</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10.5</w:t>
            </w:r>
          </w:p>
        </w:tc>
        <w:tc>
          <w:tcPr>
            <w:tcW w:w="280" w:type="dxa"/>
            <w:tcBorders/>
            <w:shd w:fill="CCEEFF" w:val="clear"/>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Alise Reicin, M.D.(5)</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514,581</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5.4</w:t>
            </w:r>
          </w:p>
        </w:tc>
        <w:tc>
          <w:tcPr>
            <w:tcW w:w="280"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Christian Cortis, Ph.D.(7)</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275,942</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2.8</w:t>
            </w:r>
          </w:p>
        </w:tc>
        <w:tc>
          <w:tcPr>
            <w:tcW w:w="280" w:type="dxa"/>
            <w:tcBorders/>
            <w:shd w:fill="CCEEFF" w:val="clear"/>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Marcella K. Ruddy, M.D.(8)</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101,430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1.1</w:t>
            </w:r>
          </w:p>
        </w:tc>
        <w:tc>
          <w:tcPr>
            <w:tcW w:w="280" w:type="dxa"/>
            <w:tcBorders/>
            <w:vAlign w:val="bottom"/>
          </w:tcPr>
          <w:p>
            <w:pPr>
              <w:pStyle w:val="TableContents"/>
              <w:bidi w:val="0"/>
              <w:spacing w:before="0" w:after="283"/>
              <w:jc w:val="left"/>
              <w:rPr/>
            </w:pPr>
            <w:r>
              <w:rPr/>
              <w:t>% </w:t>
            </w:r>
          </w:p>
        </w:tc>
      </w:tr>
      <w:tr>
        <w:trPr/>
        <w:tc>
          <w:tcPr>
            <w:tcW w:w="4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Praveen Tipirneni, M.D.(9)</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28,447</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 as a group(10 persons)(10)</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9,333,333</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91.3</w:t>
            </w:r>
          </w:p>
        </w:tc>
        <w:tc>
          <w:tcPr>
            <w:tcW w:w="28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980,000 shares of Tectonic common stock held by Dr. Springer, (ii) 1,167,852 shares of Tectonic common stock issuable upon conversion of Tectonic Series A-1 preferred stock held by Dr. Springer, (iii) 1,649,188 shares of Tectonic common stock issuable upon conversion of Tectonic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Series A-2 preferred stock held by Dr. Springer, (iv) 497,611 shares of Tectonic common stock issuable upon conversion of Tectonic Series A-3 preferred stock and (v) 257,676 shares of Tectonic common stock issuable upon conversion of Tectonic Series A-4 preferred stock held by Dr. Springer.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1,284,322 shares of Tectonic common stock issuable upon conversion of Tectonic Series A-1 preferred stock held by Vida Ventures II, LLC (Vida II Main Fund), and (ii) 35,638 shares of Tectonic common stock issuable upon conversion of Tectonic Series A-1 preferred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Tectonic Board.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1,137,432 shares of Tectonic common stock issuable upon conversion of Tectonic Series A-1 preferred stock held by Polaris Partners IX, L.P. (PP IX), (ii) 99,398 shares of Tectonic common stock issuable upon conversion of Tectonic Series A-3 preferred stock held by PP IX and (iii) 45,213 shares of Tectonic common stock issuable upon conversion of Tectonic Series A-4 preferred stock held by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980,000 shares of Tectonic common stock held by Dr. Kruse and (ii) 9,042 shares of Tectonic common stock issuable upon conversion of Tectonic Series A-4 preferred stock held by Dr. Kruse.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309,817 shares of Tectonic common stock held by Dr. Reicin, 42,386 of which are subject to repurchase as of February 9, 2024, (ii) 19,458 shares of Tectonic common stock issuable upon conversion of Tectonic Series A-3 preferred stock held by the 2020 Reicin-Boiarsky Family Trust (the 2020 Reicin Trust), (iii) 13,561 shares of Tectonic common stock issuable upon conversion of Tectonic Series A-4 preferred stock held by the 2020 Reicin Trust and (v) 172,745 shares of Tectonic common stock issuable upon exercise of options granted to Dr. Reicin that are exercisable within 60 days of March 15, 2024. Robert Boiarsky is a co-trustee of the 2020 Reicin Trust and the spouse of Dr. Reicin. Dr. Reicin may be deemed to have shared voting and dispositive power over the securities held by the 2020 Reicin Trust.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37,914 shares of Tectonic common stock issuable upon conversion of Tectonic Series A-1 preferred stock held by Polaris Founders Capital Fund I, L.P. (PF I), (ii) 1,137,432 shares of Tectonic common stock issuable upon conversion of Tectonic Series A-1 preferred stock held by PP IX, (iii) 99,398 shares of Tectonic common stock issuable upon conversion of Tectonic Series A-3 preferred stock held by PP IX and (iv) 45,213 shares of Tectonic common stock issuable upon conversion of Tectonic Series A-4 preferred stock held by PP IX. Polaris Founders Capital Management Co. I, L.L.C. (PFC I GP) is the general partner of PF I and may be deemed to have sole voting and dispositive power with respect to the shares held by PFC I GP. Terrance McGuire, a member of the Tectonic Board, and Jonathan Flint (together, the PFC I GP Managing Members) are the managing members of PFC I GP. Each of the PFC I GP Managing Members, in their respective capacities with respect to PFC I GP, may be deemed to have shared voting and dispositive power with respect to the shares held by PF I. PP GP IX is the general partner of PP IX and may be deemed to have sole voting and dispositive power with respect to the shares held by PP IX. The PP GP IX Managing Members are the managing members of PP GP IX, and Terrance McGuire,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40,000 shares of Tectonic common stock held by Dr. Cortis and (ii) 235,942 shares of Tectonic common stock issuable upon exercise of options granted to Dr. Cortis that are exercisable within 60 days of March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101,430 shares of Tectonic common stock issuable upon exercise of options granted to Dr. Ruddy that are exercisable within 60 days of March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5,682 shares of Tectonic common stock held by Dr. Tipirneni and (ii) 22,765 shares of Tectonic common stock issuable upon exercise of options granted to Dr. Tipirneni that are exercisable within 60 days of March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an aggregate of 2,315,499 shares of Tectonic common stock, (ii) 3,663,158 shares of Tectonic common stock issuable upon conversion of Tectonic Series A-1 preferred stock, (iii) 1,649,188 shares of Tectonic common stock issuable upon conversion of Tectonic Series A-2 preferred stock, (iv) 616,467 shares of Tectonic common stock issuable upon conversion of Tectonic Series A-3 preferred stock, (v) 325,492 shares of Tectonic common stock issuable upon conversion of Tectonic Series A-4 preferred stock and (vi) an aggregate of 763,529 shares issuable upon exercise of stock options within 60 days of March 15, 2024 held by Tectonics current executive officers and directors as a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5" w:name="toc770053_190"/>
      <w:bookmarkEnd w:id="185"/>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(including the private financings) occurred on March 15, 2024, for each stockholder expected by AVROBIO and Tectonic to become the beneficial owner of more than 5% of the combined companys outstanding common stock, each person expected to be a named executive officer of the combined company, each person expected to be a director of the combined company, and all of the combined companys expected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Tectonic common stock. Shares of Tectonic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Tectonic common stock beneficially owned by them,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19,360,036 shares of common stock expected to be outstanding upon consummation of the merger, after giving effect to the private financings and the anticipated AVROBIO one-for-ten reverse stock split. The number of shares beneficially owned includes shares of common stock that each person has the right to acquire within 60 days, including upon the exercise of stock options. These stock options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These percentages and the percentages listed in the table are calculated based on an estimated exchange ratio of 0.74458326 shares of AVROBIO common stock. These estimates are subject to adjustment prior to the closing under certain circumstances further described in the Merger Agreement, including, but not limited to, if AVROBIOs net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closing is lower than $64.5 million or greater than $65.5 million. The below table assumes that AVROBIOs net cash as of closing will be approximately $65.0 million.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97"/>
        <w:gridCol w:w="140"/>
        <w:gridCol w:w="83"/>
        <w:gridCol w:w="1538"/>
        <w:gridCol w:w="83"/>
        <w:gridCol w:w="186"/>
        <w:gridCol w:w="121"/>
        <w:gridCol w:w="1028"/>
        <w:gridCol w:w="279"/>
      </w:tblGrid>
      <w:tr>
        <w:trPr/>
        <w:tc>
          <w:tcPr>
            <w:tcW w:w="4297"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0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279" w:type="dxa"/>
            <w:tcBorders/>
            <w:vAlign w:val="bottom"/>
          </w:tcPr>
          <w:p>
            <w:pPr>
              <w:pStyle w:val="TableContents"/>
              <w:bidi w:val="0"/>
              <w:spacing w:before="0" w:after="283"/>
              <w:jc w:val="left"/>
              <w:rPr/>
            </w:pPr>
            <w:r>
              <w:rPr/>
              <w:t> </w:t>
            </w:r>
          </w:p>
        </w:tc>
      </w:tr>
      <w:tr>
        <w:trPr/>
        <w:tc>
          <w:tcPr>
            <w:tcW w:w="42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40" w:type="dxa"/>
            <w:tcBorders/>
            <w:vAlign w:val="bottom"/>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4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Timothy A. Springer, Ph.D.(1)</w:t>
            </w:r>
          </w:p>
        </w:tc>
        <w:tc>
          <w:tcPr>
            <w:tcW w:w="14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5,911,748</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30.5</w:t>
            </w:r>
          </w:p>
        </w:tc>
        <w:tc>
          <w:tcPr>
            <w:tcW w:w="27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LLC(2)</w:t>
            </w:r>
          </w:p>
        </w:tc>
        <w:tc>
          <w:tcPr>
            <w:tcW w:w="14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1,501,287</w:t>
            </w:r>
          </w:p>
        </w:tc>
        <w:tc>
          <w:tcPr>
            <w:tcW w:w="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7.8</w:t>
            </w:r>
          </w:p>
        </w:tc>
        <w:tc>
          <w:tcPr>
            <w:tcW w:w="279"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Polaris Partners IX, L.P.(3)</w:t>
            </w:r>
          </w:p>
        </w:tc>
        <w:tc>
          <w:tcPr>
            <w:tcW w:w="14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1,495,050</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7.7</w:t>
            </w:r>
          </w:p>
        </w:tc>
        <w:tc>
          <w:tcPr>
            <w:tcW w:w="27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Ventures(4)</w:t>
            </w:r>
          </w:p>
        </w:tc>
        <w:tc>
          <w:tcPr>
            <w:tcW w:w="14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1,433,204</w:t>
            </w:r>
          </w:p>
        </w:tc>
        <w:tc>
          <w:tcPr>
            <w:tcW w:w="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7.4</w:t>
            </w:r>
          </w:p>
        </w:tc>
        <w:tc>
          <w:tcPr>
            <w:tcW w:w="279"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EcoR1(5)</w:t>
            </w:r>
          </w:p>
        </w:tc>
        <w:tc>
          <w:tcPr>
            <w:tcW w:w="14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1,183,075</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6.1</w:t>
            </w:r>
          </w:p>
        </w:tc>
        <w:tc>
          <w:tcPr>
            <w:tcW w:w="27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4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4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5,911,748</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30.5</w:t>
            </w:r>
          </w:p>
        </w:tc>
        <w:tc>
          <w:tcPr>
            <w:tcW w:w="27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Terrance McGuire(6)</w:t>
            </w:r>
          </w:p>
        </w:tc>
        <w:tc>
          <w:tcPr>
            <w:tcW w:w="14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1,613,357</w:t>
            </w:r>
          </w:p>
        </w:tc>
        <w:tc>
          <w:tcPr>
            <w:tcW w:w="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8.3</w:t>
            </w:r>
          </w:p>
        </w:tc>
        <w:tc>
          <w:tcPr>
            <w:tcW w:w="279"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Stefan Vitorovic(4)</w:t>
            </w:r>
          </w:p>
        </w:tc>
        <w:tc>
          <w:tcPr>
            <w:tcW w:w="14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1,433,204</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7.4</w:t>
            </w:r>
          </w:p>
        </w:tc>
        <w:tc>
          <w:tcPr>
            <w:tcW w:w="27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Alise Reicin, M.D.(7)</w:t>
            </w:r>
          </w:p>
        </w:tc>
        <w:tc>
          <w:tcPr>
            <w:tcW w:w="14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383,893</w:t>
            </w:r>
          </w:p>
        </w:tc>
        <w:tc>
          <w:tcPr>
            <w:tcW w:w="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2.0</w:t>
            </w:r>
          </w:p>
        </w:tc>
        <w:tc>
          <w:tcPr>
            <w:tcW w:w="279"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Christian Cortis, Ph.D.(8)</w:t>
            </w:r>
          </w:p>
        </w:tc>
        <w:tc>
          <w:tcPr>
            <w:tcW w:w="14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205,461</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1.1</w:t>
            </w:r>
          </w:p>
        </w:tc>
        <w:tc>
          <w:tcPr>
            <w:tcW w:w="27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Marcella K. Ruddy, M.D.(9)</w:t>
            </w:r>
          </w:p>
        </w:tc>
        <w:tc>
          <w:tcPr>
            <w:tcW w:w="14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75,523</w:t>
            </w:r>
          </w:p>
        </w:tc>
        <w:tc>
          <w:tcPr>
            <w:tcW w:w="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Praveen Tipirneni, M.D.(10)</w:t>
            </w:r>
          </w:p>
        </w:tc>
        <w:tc>
          <w:tcPr>
            <w:tcW w:w="14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21,181</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Phillip B. Donenberg(11)</w:t>
            </w:r>
          </w:p>
        </w:tc>
        <w:tc>
          <w:tcPr>
            <w:tcW w:w="14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9,681</w:t>
            </w:r>
          </w:p>
        </w:tc>
        <w:tc>
          <w:tcPr>
            <w:tcW w:w="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All executive officers and directors as a group </w:t>
              <w:br/>
              <w:t>(10 persons)(12)</w:t>
            </w:r>
          </w:p>
        </w:tc>
        <w:tc>
          <w:tcPr>
            <w:tcW w:w="14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10,572,360</w:t>
            </w:r>
          </w:p>
        </w:tc>
        <w:tc>
          <w:tcPr>
            <w:tcW w:w="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54.6</w:t>
            </w:r>
          </w:p>
        </w:tc>
        <w:tc>
          <w:tcPr>
            <w:tcW w:w="279"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5,045,200 shares of common stock held by Dr. Springer and (ii) 866,548 shares of common stock held by TAS Partners, LLC (TAS). Dr. Springer is the sole managing member of TAS. Dr. Springer exercises sole voting and dispositive power over the shares held by him directly and the shares held by TAS. Dr. Springer disclaims beneficial ownership of the shares held by TAS. The principal business address of each of Dr. Springer and TAS is 36 Woodman Road, Newton, MA, 02467.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300,258 shares of common stock held by Fidelity Select Portfolios: Biotechnology Portfolio, (ii) 101,487 shares of common stock held by Fidelity Advisor Series VII: Fidelity Advisor Biotechnology Fund, (iii) 88,545 shares of common stock held by Fidelity Mt. Vernon Street Trust: Fidelity Series Growth Company Fund, (iv) 321,363 shares of common stock held by Fidelity Mt. Vernon Street Trust: Fidelity Growth Company Fund, (v) 557,851 shares of common stock held by Fidelity Growth Company Commingled Pool, and (vi) 131,783 shares of common stock held by Fidelity Mt. Vernon Street Trust: Fidelity Growth Company K6 Fund. 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1,495,050 shares of common stock held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principal business address for all entities and individuals affiliated with Polaris Partners is c/o Polaris Partners, One Marina Park Drive, 8th Floor, Boston, Massachusetts 02210.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1,394,510 shares of common stock held by Vida Ventures II, LLC (Vida II Main Fund) and (ii) 38,694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Tectonic Board.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77,376 shares of common stock held by EcoR1 Capital Fund, L.P. (Capital Fund), (ii) 1,091,217 shares of common stock held by EcoR1 Capital Fund Qualified, L.P. (Qualified Fund) and (iii) 14,482 shares of common stock held by EcoR1 Venture Opportunity Fund, L.P. (Opportunity Fund). EcoR1 Capital LLC (EcoR1) is the general partner of Capital Fund and Qualified Fund, and the investment advisor to Opportunity Fund. Biotech Opportunity GP, LLC is the general partner of Opportunity Fund. Oleg Nodelman is the control person of EcoR1 and Biotech Opportunity GP, LLC and may be deemed to share dispositive voting power over the shares held by Qualified Fund, Capital Fund and Opportunity Fund. Mr. Nodelman, EcoR1 and Biotech Opportunity GP, LLC each disclaim beneficial ownership of all shares except to the extent of their pecuniary interest. The address of the above person and entities is 357 Tehama Street #3, San Francisco, CA 94103.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28,230 shares of common stock held by Polaris Founders Capital Fund I, L.P. (PF I), (ii) consists of 90,077 shares of common stock held by Polaris Founders Capital Fund II, L.P. (PF II) and (iii) 1,495,050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Tectonic Board,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 II. PP GP IX is the general partner of PP IX and may be deemed to have sole voting and dispositive power with respect to the shares held by PP IX.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230,685 shares of Tectonic common stock held by Dr. Reicin, 31,560 of which are subject to repurchase as of March 15, 2024, (ii) 24,585 shares of common stock held by the 2020 Reicin-Boiarsky Family Trust (the 2020 Reicin Trust) and (iii) 128,623 shares of Tectonic common stock issuable upon exercise of options granted to Dr. Reicin that are exercisable within 60 days of March 15, 2024. Robert Boiarsky is a co-trustee of the 2020 Reicin Trust and the spouse of Dr. Reicin. Dr. Reicin may be deemed to have shared voting and dispositive power over the securities held by the 2020 Reicin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29,783 shares of common stock held by Dr. Cortis and (ii) 175,678 shares of common stock issuable upon exercise of options granted to Dr. Cortis that are exercisable within 60 days of March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75,523 shares of common stock issuable upon exercise of options granted to Dr. Ruddy that are exercisable within 60 days of March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4,231 shares of common stock held by Dr. Tipirneni and (ii) 16,950 shares of common stock issuable upon exercise of options granted to Dr. Tipirneni that are exercisable within 60 days of March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 shares of common stock held by Mr. Donenberg and (ii) 9,481 shares of common stock issuable upon exercise of options granted to Mr. Donenberg that are exercisable within 60 days of March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9,991,723 shares of common stock and (ii) 580,637 shares of common stock issuable upon exercise of options that are exercisable within 60 days of March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6" w:name="toc770053_191"/>
      <w:bookmarkEnd w:id="18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Goodwin will pass upon the validity of AVROBIOs common stock offered by this proxy statement/prospectus. The material U.S. federal income tax consequences of the merger will be passed upon for AVROBIO by Goodwin, and for Tectonic by Cooley. </w:t>
      </w:r>
    </w:p>
    <w:p>
      <w:pPr>
        <w:pStyle w:val="TextBody"/>
        <w:bidi w:val="0"/>
        <w:spacing w:before="480" w:after="0"/>
        <w:jc w:val="center"/>
        <w:rPr>
          <w:rFonts w:ascii="Times New Roman" w:hAnsi="Times New Roman"/>
          <w:b/>
          <w:sz w:val="20"/>
        </w:rPr>
      </w:pPr>
      <w:bookmarkStart w:id="187" w:name="toc770053_192"/>
      <w:bookmarkEnd w:id="18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AVROBIO as of December 31, 2023 and 2022, and for each of the years then ended, appearing in this proxy statement/prospectus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Tectonic as of December 31, 2023 and 2022, and for the years then ended,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88" w:name="toc770053_193"/>
      <w:bookmarkEnd w:id="18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AVROBIO is subject to the informational requirements of the Exchange Act and in accordance therewith, files annual, quarterly and current reports, proxy statements and other information with the SEC electronically, and the SEC maintains a website that contains AVROBIOs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AVROBIO also makes available free of charge on or through its website at </w:t>
      </w:r>
      <w:r>
        <w:rPr>
          <w:rFonts w:ascii="Times New Roman" w:hAnsi="Times New Roman"/>
          <w:i/>
          <w:sz w:val="20"/>
        </w:rPr>
        <w:t>www.avrobio.com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AVROBIO electronically files such material with or otherwise furnishes it to the SEC. The website addresses for the SEC and AVROBIO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has filed with the SEC a registration statement on Form S-4, of which this proxy statement/prospectus is a part, under the Securities Act to register the shares of AVROBIO common stock to be issued to Tectonic stockholders in the merger. The registration statement, including the attached annexes, exhibits and schedules, contains additional relevant information about AVROBIO and AVROBIO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AVROBIO has supplied all information contained in this proxy statement/prospectus relating to AVROBIO and Tectonic has supplied all information contained in this proxy statement/prospectus relating to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request documents from AVROBIO or Tectonic, please send a request in writing or by telephone to either AVROBIO or Tectonic at the following addresses: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sz w:val="20"/>
              </w:rPr>
            </w:pPr>
            <w:r>
              <w:rPr>
                <w:rFonts w:ascii="Times New Roman" w:hAnsi="Times New Roman"/>
                <w:sz w:val="20"/>
              </w:rPr>
              <w:t>AVROBIO, Inc.</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pPr>
            <w:r>
              <w:rPr/>
              <w:t>Tectonic Therapeutic, Inc.</w:t>
            </w:r>
          </w:p>
        </w:tc>
      </w:tr>
      <w:tr>
        <w:trPr/>
        <w:tc>
          <w:tcPr>
            <w:tcW w:w="5154" w:type="dxa"/>
            <w:tcBorders/>
          </w:tcPr>
          <w:p>
            <w:pPr>
              <w:pStyle w:val="TableContents"/>
              <w:bidi w:val="0"/>
              <w:spacing w:before="0" w:after="0"/>
              <w:jc w:val="center"/>
              <w:rPr>
                <w:rFonts w:ascii="Times New Roman" w:hAnsi="Times New Roman"/>
                <w:sz w:val="20"/>
              </w:rPr>
            </w:pPr>
            <w:r>
              <w:rPr>
                <w:rFonts w:ascii="Times New Roman" w:hAnsi="Times New Roman"/>
                <w:sz w:val="20"/>
              </w:rPr>
              <w:t>One Broadway, 14th Floor</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pPr>
            <w:r>
              <w:rPr/>
              <w:t>490 Arsenal Way, Suite 210</w:t>
            </w:r>
          </w:p>
        </w:tc>
      </w:tr>
      <w:tr>
        <w:trPr/>
        <w:tc>
          <w:tcPr>
            <w:tcW w:w="5154" w:type="dxa"/>
            <w:tcBorders/>
          </w:tcPr>
          <w:p>
            <w:pPr>
              <w:pStyle w:val="TableContents"/>
              <w:bidi w:val="0"/>
              <w:spacing w:before="0" w:after="0"/>
              <w:jc w:val="center"/>
              <w:rPr>
                <w:rFonts w:ascii="Times New Roman" w:hAnsi="Times New Roman"/>
                <w:sz w:val="20"/>
              </w:rPr>
            </w:pPr>
            <w:r>
              <w:rPr>
                <w:rFonts w:ascii="Times New Roman" w:hAnsi="Times New Roman"/>
                <w:sz w:val="20"/>
              </w:rPr>
              <w:t>Cambridge, MA 02142</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pPr>
            <w:r>
              <w:rPr/>
              <w:t>Watertown, MA 02472</w:t>
            </w:r>
          </w:p>
        </w:tc>
      </w:tr>
      <w:tr>
        <w:trPr/>
        <w:tc>
          <w:tcPr>
            <w:tcW w:w="5154" w:type="dxa"/>
            <w:tcBorders/>
          </w:tcPr>
          <w:p>
            <w:pPr>
              <w:pStyle w:val="TableContents"/>
              <w:bidi w:val="0"/>
              <w:spacing w:before="0" w:after="0"/>
              <w:jc w:val="center"/>
              <w:rPr>
                <w:rFonts w:ascii="Times New Roman" w:hAnsi="Times New Roman"/>
                <w:sz w:val="20"/>
              </w:rPr>
            </w:pPr>
            <w:r>
              <w:rPr>
                <w:rFonts w:ascii="Times New Roman" w:hAnsi="Times New Roman"/>
                <w:sz w:val="20"/>
              </w:rPr>
              <w:t>Attn: Corporate Secretary</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pPr>
            <w:r>
              <w:rPr/>
              <w:t>Attn: Christian Cortis, Ph.D.</w:t>
            </w:r>
          </w:p>
        </w:tc>
      </w:tr>
      <w:tr>
        <w:trPr/>
        <w:tc>
          <w:tcPr>
            <w:tcW w:w="5154" w:type="dxa"/>
            <w:tcBorders/>
          </w:tcPr>
          <w:p>
            <w:pPr>
              <w:pStyle w:val="TableContents"/>
              <w:bidi w:val="0"/>
              <w:spacing w:before="0" w:after="0"/>
              <w:jc w:val="center"/>
              <w:rPr>
                <w:rFonts w:ascii="Times New Roman" w:hAnsi="Times New Roman"/>
                <w:sz w:val="20"/>
              </w:rPr>
            </w:pPr>
            <w:r>
              <w:rPr>
                <w:rFonts w:ascii="Times New Roman" w:hAnsi="Times New Roman"/>
                <w:sz w:val="20"/>
              </w:rPr>
              <w:t>Tel: (617) 914-8420</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pPr>
            <w:r>
              <w:rPr/>
              <w:t>Tel: (339) 666-3320</w:t>
            </w:r>
          </w:p>
        </w:tc>
      </w:tr>
      <w:tr>
        <w:trPr/>
        <w:tc>
          <w:tcPr>
            <w:tcW w:w="5154" w:type="dxa"/>
            <w:tcBorders/>
          </w:tcPr>
          <w:p>
            <w:pPr>
              <w:pStyle w:val="TableContents"/>
              <w:bidi w:val="0"/>
              <w:spacing w:before="0" w:after="0"/>
              <w:jc w:val="center"/>
              <w:rPr>
                <w:rFonts w:ascii="Times New Roman" w:hAnsi="Times New Roman"/>
                <w:sz w:val="20"/>
              </w:rPr>
            </w:pPr>
            <w:r>
              <w:rPr>
                <w:rFonts w:ascii="Times New Roman" w:hAnsi="Times New Roman"/>
                <w:sz w:val="20"/>
              </w:rPr>
              <w:t>Email: CorporateSecretary@AVROBIO.com</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pPr>
            <w:r>
              <w:rPr/>
              <w:t>Email: investor@tectonictx.com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an AVROBIO stockholder and would like additional copies, without charge, of this proxy statement/prospectus or if you have questions about the merger, including the procedures for voting your shares, you should contact AVROBIOs proxy solicitor at the following address and telephone number: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940" cy="3937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54940" cy="393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toll free: (877) 456-3513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9" w:name="toc770053_194"/>
      <w:bookmarkEnd w:id="189"/>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would like to have a proposal considered for inclusion in AVROBIOs 2024 proxy statement must submit the proposal in accordance with the procedures outlined in Rule 14a-8 of the Exchange Act so that it is received by AVROBIO no later than January 6, 2024. However, if the date of the 2024 annual meeting of stockholders is changed by more than 30 days from the date of the previous years meeting, then the deadline is a reasonable time before AVROBIO begins to print and send its proxy statement for the 2024 annual meeting of stockholders. SEC rules set standards for eligibility and specify the types of stockholder proposals that may be excluded from a proxy statement. Stockholder proposals should be addressed to One Broadway, 14th Floor, Cambridge, Massachusetts 02142, Attention: Corporate Secretary and CorporateSecretary@AVROBIO.com.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the AVROBIO Board or present a proposal at an annual meeting but does not wish to have the proposal considered for inclusion in AVROBIOs proxy statement and proxy card, AVROBIOs bylaws establish an advance notice procedure for such nominations and proposals. Stockholders at an annual meeting may only consider proposals or nominations specified in the notice of meeting or brought before the meeting by or at the direction of the AVROBIO Board or by a stockholder of record on the record date for the meeting, who is entitled to vote at the meeting and who has delivered timely notice in proper form to AVROBIOs corporate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required notice must be in writing and received by AVROBIOs corporate secretary at its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AVROBIOs corporate secretary at its principal executive offices no earlier than February 7, 2024 and no later than March 8, 2024. Stockholder proposals and the required notice should be addressed to One Broadway, 14th Floor, Cambridge, Massachusetts 02142, Attention: Corporate Secretary and CorporateSecretary@AVROBIO.com.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comply with the SECs new universal proxy rules, stockholders who intend to solicit proxies in support of director nominees other than AVROBIOs nominees must provide notice that sets forth the information required by Rule 14a-19 under the Exchange Act no later than 60 days prior to the one-year anniversary of AVROBIOs annual meeting of stockholders. The proxy to be solicited on behalf of the AVROBIO Board for its 2024 annual meeting of stockholders may confer discretionary authority to vote on any such proposal considered to have been received on a non-timely basis that nonetheless properly comes before AVROBIOs 2024 annual meeting of stockholders. Stockholders are also advised to review AVROBIOs bylaws, which contain additional requirements about advance notice of stockholder proposals and director nominations. </w:t>
      </w:r>
    </w:p>
    <w:p>
      <w:pPr>
        <w:pStyle w:val="TextBody"/>
        <w:bidi w:val="0"/>
        <w:spacing w:before="360" w:after="0"/>
        <w:jc w:val="left"/>
        <w:rPr>
          <w:rFonts w:ascii="Times New Roman" w:hAnsi="Times New Roman"/>
          <w:b/>
          <w:sz w:val="20"/>
        </w:rPr>
      </w:pPr>
      <w:bookmarkStart w:id="190" w:name="toc770053_195"/>
      <w:bookmarkEnd w:id="190"/>
      <w:r>
        <w:rPr>
          <w:rFonts w:ascii="Times New Roman" w:hAnsi="Times New Roman"/>
          <w:b/>
          <w:sz w:val="20"/>
        </w:rPr>
        <w:t xml:space="preserve">Communication with the Directors of AVROBIO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AVROBIO may report such concerns to the AVROBIO Board or the chairperson of the AVROBIO Board or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AVROBIO, Inc. </w:t>
      </w:r>
    </w:p>
    <w:p>
      <w:pPr>
        <w:pStyle w:val="TextBody"/>
        <w:bidi w:val="0"/>
        <w:spacing w:before="0" w:after="0"/>
        <w:jc w:val="center"/>
        <w:rPr>
          <w:rFonts w:ascii="Times New Roman" w:hAnsi="Times New Roman"/>
          <w:sz w:val="20"/>
        </w:rPr>
      </w:pPr>
      <w:r>
        <w:rPr>
          <w:rFonts w:ascii="Times New Roman" w:hAnsi="Times New Roman"/>
          <w:sz w:val="20"/>
        </w:rPr>
        <w:t xml:space="preserve">One Broadway, 14th Floor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02142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AVROBIO tends to receive repetitive or duplicative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AVROBIOs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which is (866) 569-1843. </w:t>
      </w:r>
    </w:p>
    <w:p>
      <w:pPr>
        <w:pStyle w:val="TextBody"/>
        <w:bidi w:val="0"/>
        <w:spacing w:before="360" w:after="0"/>
        <w:jc w:val="left"/>
        <w:rPr>
          <w:rFonts w:ascii="Times New Roman" w:hAnsi="Times New Roman"/>
          <w:b/>
          <w:sz w:val="20"/>
        </w:rPr>
      </w:pPr>
      <w:bookmarkStart w:id="191" w:name="toc770053_196"/>
      <w:bookmarkEnd w:id="191"/>
      <w:r>
        <w:rPr>
          <w:rFonts w:ascii="Times New Roman" w:hAnsi="Times New Roman"/>
          <w:b/>
          <w:sz w:val="20"/>
        </w:rPr>
        <w:t xml:space="preserve">Householding of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special meeting materials with respect to two or more stockholders sharing the same address by delivering a single Notice of Internet Availability of Proxy Materials or other special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special meeting, a number of brokers with account holders who are AVROBIO stockholders will be householding AVROBIOs proxy materials. A single Notice of Internet Availability of Proxy Materials will be delivered to multiple stockholders sharing an address unless contrary instructions have been received from the affected stockholders. Once the stockholder has received notice from his or her broker that the broker will be householding communications to the stockholders address, householding will continue until the stockholder are notified otherwise or until the stockholder revokes his or her consent. If, at any time, the stockholder no longer wishes to participate in householding and would prefer to receive a separate Notice of Internet Availability of Proxy Materials, please notify the broker or AVROBIO. Direct the written request to AVROBIO, Inc., Attn: Corporate Secretary, One Broadway, 14th Floor, Cambridge, MA 02142 or call (617) 752-7011. Stockholders who currently receive multiple copies of the Notices of Internet Availability of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2" w:name="toc770053_197"/>
      <w:bookmarkStart w:id="193" w:name="index"/>
      <w:bookmarkEnd w:id="192"/>
      <w:bookmarkEnd w:id="193"/>
      <w:r>
        <w:rPr>
          <w:rFonts w:ascii="Times New Roman" w:hAnsi="Times New Roman"/>
          <w:b/>
          <w:sz w:val="20"/>
        </w:rPr>
        <w:t xml:space="preserve">AVROBIO, INC. </w:t>
      </w:r>
    </w:p>
    <w:p>
      <w:pPr>
        <w:pStyle w:val="TextBody"/>
        <w:bidi w:val="0"/>
        <w:spacing w:before="0" w:after="0"/>
        <w:jc w:val="center"/>
        <w:rPr>
          <w:rFonts w:ascii="Times New Roman" w:hAnsi="Times New Roman"/>
          <w:b/>
          <w:sz w:val="20"/>
        </w:rPr>
      </w:pPr>
      <w:bookmarkStart w:id="194" w:name="toc770053_198"/>
      <w:bookmarkEnd w:id="194"/>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rP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6"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 as of and for the Years ended December 31, 2023 and 2022</w:t>
            </w:r>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0"/>
              <w:jc w:val="left"/>
              <w:rPr/>
            </w:pPr>
            <w:hyperlink w:anchor="fin770053_7">
              <w:r>
                <w:rPr>
                  <w:rStyle w:val="InternetLink"/>
                  <w:rFonts w:ascii="Times New Roman" w:hAnsi="Times New Roman"/>
                  <w:sz w:val="20"/>
                </w:rPr>
                <w:t>Report of Independent Registered Public Accounting Firm (PCAOB ID: 42)</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770053_8">
              <w:r>
                <w:rPr>
                  <w:rStyle w:val="InternetLink"/>
                  <w:rFonts w:ascii="Times New Roman" w:hAnsi="Times New Roman"/>
                  <w:sz w:val="20"/>
                </w:rPr>
                <w:t>Consolidated Balance Sheets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770053_9">
              <w:r>
                <w:rPr>
                  <w:rStyle w:val="InternetLink"/>
                  <w:rFonts w:ascii="Times New Roman" w:hAnsi="Times New Roman"/>
                  <w:sz w:val="20"/>
                </w:rPr>
                <w:t>Consolidated Statements of Operations and Comprehensive Income (Loss)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770053_10">
              <w:r>
                <w:rPr>
                  <w:rStyle w:val="InternetLink"/>
                  <w:rFonts w:ascii="Times New Roman" w:hAnsi="Times New Roman"/>
                  <w:sz w:val="20"/>
                </w:rPr>
                <w:t>Consolidated Statements of Stockholders Equity</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770053_11">
              <w:r>
                <w:rPr>
                  <w:rStyle w:val="InternetLink"/>
                  <w:rFonts w:ascii="Times New Roman" w:hAnsi="Times New Roman"/>
                  <w:sz w:val="20"/>
                </w:rPr>
                <w:t>Consolidated Statements of Cash Flows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770053_12">
              <w:r>
                <w:rPr>
                  <w:rStyle w:val="InternetLink"/>
                  <w:rFonts w:ascii="Times New Roman" w:hAnsi="Times New Roman"/>
                  <w:sz w:val="20"/>
                </w:rPr>
                <w:t>Notes to Consolidated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 as of and for the Years ended December 31, 2023 and 2022</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a770053_1">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a770053_2">
              <w:r>
                <w:rPr>
                  <w:rStyle w:val="InternetLink"/>
                  <w:rFonts w:ascii="Times New Roman" w:hAnsi="Times New Roman"/>
                  <w:sz w:val="20"/>
                </w:rPr>
                <w:t>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a770053_3">
              <w:r>
                <w:rPr>
                  <w:rStyle w:val="InternetLink"/>
                  <w:rFonts w:ascii="Times New Roman" w:hAnsi="Times New Roman"/>
                  <w:sz w:val="20"/>
                </w:rPr>
                <w:t xml:space="preserve">Consolidated Statements of Operations and Other Comprehensive Income (Loss) </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a770053_4">
              <w:r>
                <w:rPr>
                  <w:rStyle w:val="InternetLink"/>
                  <w:rFonts w:ascii="Times New Roman" w:hAnsi="Times New Roman"/>
                  <w:sz w:val="20"/>
                </w:rPr>
                <w:t>Consolidated Statements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F-36</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a770053_5">
              <w:r>
                <w:rPr>
                  <w:rStyle w:val="InternetLink"/>
                  <w:rFonts w:ascii="Times New Roman" w:hAnsi="Times New Roman"/>
                  <w:sz w:val="20"/>
                </w:rPr>
                <w:t>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F-37</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a770053_6">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5" w:name="fin770053_7"/>
      <w:bookmarkEnd w:id="195"/>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AVROBIO,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AVROBIO, Inc. (the Company) as of December 31, 2023 and 2022, the related consolidated statements of operations and comprehensive income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Matters </w:t>
      </w:r>
    </w:p>
    <w:p>
      <w:pPr>
        <w:pStyle w:val="TextBody"/>
        <w:bidi w:val="0"/>
        <w:spacing w:before="120" w:after="0"/>
        <w:jc w:val="left"/>
        <w:rPr>
          <w:rFonts w:ascii="Times New Roman" w:hAnsi="Times New Roman"/>
          <w:sz w:val="20"/>
        </w:rPr>
      </w:pPr>
      <w:r>
        <w:rPr>
          <w:rFonts w:ascii="Times New Roman" w:hAnsi="Times New Roman"/>
          <w:sz w:val="20"/>
        </w:rPr>
        <w:t xml:space="preserve">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2018.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March 14,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6" w:name="fin770053_8"/>
      <w:bookmarkEnd w:id="196"/>
      <w:r>
        <w:rPr>
          <w:rFonts w:ascii="Times New Roman" w:hAnsi="Times New Roman"/>
          <w:b/>
          <w:sz w:val="20"/>
        </w:rPr>
        <w:t xml:space="preserve">AVROBIO,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9"/>
        <w:gridCol w:w="312"/>
        <w:gridCol w:w="140"/>
        <w:gridCol w:w="875"/>
        <w:gridCol w:w="155"/>
        <w:gridCol w:w="280"/>
        <w:gridCol w:w="140"/>
        <w:gridCol w:w="875"/>
        <w:gridCol w:w="159"/>
      </w:tblGrid>
      <w:tr>
        <w:trPr/>
        <w:tc>
          <w:tcPr>
            <w:tcW w:w="7269"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9"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98,020</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92,563</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283</w:t>
            </w:r>
          </w:p>
        </w:tc>
        <w:tc>
          <w:tcPr>
            <w:tcW w:w="159" w:type="dxa"/>
            <w:tcBorders/>
            <w:vAlign w:val="bottom"/>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1,958</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7,112</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100,261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99,958</w:t>
            </w:r>
          </w:p>
        </w:tc>
        <w:tc>
          <w:tcPr>
            <w:tcW w:w="159" w:type="dxa"/>
            <w:tcBorders/>
            <w:vAlign w:val="bottom"/>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432</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1,057</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2,894</w:t>
            </w:r>
          </w:p>
        </w:tc>
        <w:tc>
          <w:tcPr>
            <w:tcW w:w="159" w:type="dxa"/>
            <w:tcBorders/>
            <w:vAlign w:val="bottom"/>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400</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101,093</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103,949</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384</w:t>
            </w:r>
          </w:p>
        </w:tc>
        <w:tc>
          <w:tcPr>
            <w:tcW w:w="159" w:type="dxa"/>
            <w:tcBorders/>
            <w:vAlign w:val="bottom"/>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5,449</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11,732</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878</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999</w:t>
            </w:r>
          </w:p>
        </w:tc>
        <w:tc>
          <w:tcPr>
            <w:tcW w:w="159"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6,354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13,115</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Note payable, net of discount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15,276</w:t>
            </w:r>
          </w:p>
        </w:tc>
        <w:tc>
          <w:tcPr>
            <w:tcW w:w="159" w:type="dxa"/>
            <w:tcBorders/>
            <w:vAlign w:val="bottom"/>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188</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6,354</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28,579</w:t>
            </w:r>
          </w:p>
        </w:tc>
        <w:tc>
          <w:tcPr>
            <w:tcW w:w="159" w:type="dxa"/>
            <w:tcBorders/>
            <w:vAlign w:val="bottom"/>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11)</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 shares authorized and no shares issued or outstanding as of December 31, 2023 and 2022</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150,000 shares authorized as of December 31, 2023 and 2022; 44,654 and 43,916 shares issued and outstanding as of December 31, 2023 and 2022, respectively</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572,010</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564,798</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(477,275</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(489,432</w:t>
            </w:r>
          </w:p>
        </w:tc>
        <w:tc>
          <w:tcPr>
            <w:tcW w:w="159"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94,739</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75,370</w:t>
            </w:r>
          </w:p>
        </w:tc>
        <w:tc>
          <w:tcPr>
            <w:tcW w:w="159"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6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101,093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103,949</w:t>
            </w:r>
          </w:p>
        </w:tc>
        <w:tc>
          <w:tcPr>
            <w:tcW w:w="159"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7" w:name="fin770053_9"/>
      <w:bookmarkEnd w:id="197"/>
      <w:r>
        <w:rPr>
          <w:rFonts w:ascii="Times New Roman" w:hAnsi="Times New Roman"/>
          <w:b/>
          <w:sz w:val="20"/>
        </w:rPr>
        <w:t xml:space="preserve">AVROBIO,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58"/>
        <w:gridCol w:w="300"/>
        <w:gridCol w:w="181"/>
        <w:gridCol w:w="898"/>
        <w:gridCol w:w="210"/>
        <w:gridCol w:w="271"/>
        <w:gridCol w:w="181"/>
        <w:gridCol w:w="1147"/>
        <w:gridCol w:w="159"/>
      </w:tblGrid>
      <w:tr>
        <w:trPr/>
        <w:tc>
          <w:tcPr>
            <w:tcW w:w="6858"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5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8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4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47,700</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72,186</w:t>
            </w:r>
          </w:p>
        </w:tc>
        <w:tc>
          <w:tcPr>
            <w:tcW w:w="159" w:type="dxa"/>
            <w:tcBorders/>
            <w:vAlign w:val="bottom"/>
          </w:tcPr>
          <w:p>
            <w:pPr>
              <w:pStyle w:val="TableContents"/>
              <w:bidi w:val="0"/>
              <w:spacing w:before="0" w:after="283"/>
              <w:jc w:val="left"/>
              <w:rPr/>
            </w:pPr>
            <w:r>
              <w:rPr/>
              <w:t> </w:t>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23,967</w:t>
            </w:r>
          </w:p>
        </w:tc>
        <w:tc>
          <w:tcPr>
            <w:tcW w:w="21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33,248</w:t>
            </w:r>
          </w:p>
        </w:tc>
        <w:tc>
          <w:tcPr>
            <w:tcW w:w="159" w:type="dxa"/>
            <w:tcBorders/>
            <w:shd w:fill="CCEEFF" w:val="clear"/>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71,667</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105,434</w:t>
            </w:r>
          </w:p>
        </w:tc>
        <w:tc>
          <w:tcPr>
            <w:tcW w:w="159" w:type="dxa"/>
            <w:tcBorders/>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83,736</w:t>
            </w:r>
          </w:p>
        </w:tc>
        <w:tc>
          <w:tcPr>
            <w:tcW w:w="21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(1,877</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10,192</w:t>
            </w:r>
          </w:p>
        </w:tc>
        <w:tc>
          <w:tcPr>
            <w:tcW w:w="21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(105,434</w:t>
            </w:r>
          </w:p>
        </w:tc>
        <w:tc>
          <w:tcPr>
            <w:tcW w:w="159" w:type="dxa"/>
            <w:tcBorders/>
            <w:shd w:fill="CCEEFF" w:val="clear"/>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2,420</w:t>
            </w:r>
          </w:p>
        </w:tc>
        <w:tc>
          <w:tcPr>
            <w:tcW w:w="21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(299</w:t>
            </w:r>
          </w:p>
        </w:tc>
        <w:tc>
          <w:tcPr>
            <w:tcW w:w="159" w:type="dxa"/>
            <w:tcBorders/>
            <w:shd w:fill="CCEEFF" w:val="clear"/>
            <w:vAlign w:val="bottom"/>
          </w:tcPr>
          <w:p>
            <w:pPr>
              <w:pStyle w:val="TableContents"/>
              <w:bidi w:val="0"/>
              <w:spacing w:before="0" w:after="283"/>
              <w:jc w:val="left"/>
              <w:rPr/>
            </w:pPr>
            <w:r>
              <w:rPr/>
              <w:t>) </w:t>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(78</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(157</w:t>
            </w:r>
          </w:p>
        </w:tc>
        <w:tc>
          <w:tcPr>
            <w:tcW w:w="159" w:type="dxa"/>
            <w:tcBorders/>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2,342</w:t>
            </w:r>
          </w:p>
        </w:tc>
        <w:tc>
          <w:tcPr>
            <w:tcW w:w="21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(456</w:t>
            </w:r>
          </w:p>
        </w:tc>
        <w:tc>
          <w:tcPr>
            <w:tcW w:w="159" w:type="dxa"/>
            <w:tcBorders/>
            <w:shd w:fill="CCEEFF" w:val="clear"/>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12,534</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(105,890</w:t>
            </w:r>
          </w:p>
        </w:tc>
        <w:tc>
          <w:tcPr>
            <w:tcW w:w="159" w:type="dxa"/>
            <w:tcBorders/>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377</w:t>
            </w:r>
          </w:p>
        </w:tc>
        <w:tc>
          <w:tcPr>
            <w:tcW w:w="21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and comprehensive income (loss) attributable to common stockholdersbasic and diluted</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12,157</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(105,890</w:t>
            </w:r>
          </w:p>
        </w:tc>
        <w:tc>
          <w:tcPr>
            <w:tcW w:w="159" w:type="dxa"/>
            <w:tcBorders/>
            <w:vAlign w:val="bottom"/>
          </w:tcPr>
          <w:p>
            <w:pPr>
              <w:pStyle w:val="TableContents"/>
              <w:bidi w:val="0"/>
              <w:spacing w:before="0" w:after="283"/>
              <w:jc w:val="left"/>
              <w:rPr/>
            </w:pPr>
            <w:r>
              <w:rPr/>
              <w:t>) </w:t>
            </w:r>
          </w:p>
        </w:tc>
      </w:tr>
      <w:tr>
        <w:trPr/>
        <w:tc>
          <w:tcPr>
            <w:tcW w:w="6858"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4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share:</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4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stockholdersbasic</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0.27</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(2.42</w:t>
            </w:r>
          </w:p>
        </w:tc>
        <w:tc>
          <w:tcPr>
            <w:tcW w:w="159" w:type="dxa"/>
            <w:tcBorders/>
            <w:vAlign w:val="bottom"/>
          </w:tcPr>
          <w:p>
            <w:pPr>
              <w:pStyle w:val="TableContents"/>
              <w:bidi w:val="0"/>
              <w:spacing w:before="0" w:after="283"/>
              <w:jc w:val="left"/>
              <w:rPr/>
            </w:pPr>
            <w:r>
              <w:rPr/>
              <w:t>) </w:t>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stockholdersdiluted</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0.27</w:t>
            </w:r>
          </w:p>
        </w:tc>
        <w:tc>
          <w:tcPr>
            <w:tcW w:w="21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(2.42</w:t>
            </w:r>
          </w:p>
        </w:tc>
        <w:tc>
          <w:tcPr>
            <w:tcW w:w="159" w:type="dxa"/>
            <w:tcBorders/>
            <w:shd w:fill="CCEEFF" w:val="clear"/>
            <w:vAlign w:val="bottom"/>
          </w:tcPr>
          <w:p>
            <w:pPr>
              <w:pStyle w:val="TableContents"/>
              <w:bidi w:val="0"/>
              <w:spacing w:before="0" w:after="283"/>
              <w:jc w:val="left"/>
              <w:rPr/>
            </w:pPr>
            <w:r>
              <w:rPr/>
              <w:t>) </w:t>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Shares used in computing earnings per share:</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30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44,327</w:t>
            </w:r>
          </w:p>
        </w:tc>
        <w:tc>
          <w:tcPr>
            <w:tcW w:w="21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43,739</w:t>
            </w:r>
          </w:p>
        </w:tc>
        <w:tc>
          <w:tcPr>
            <w:tcW w:w="159" w:type="dxa"/>
            <w:tcBorders/>
            <w:shd w:fill="CCEEFF" w:val="clear"/>
            <w:vAlign w:val="bottom"/>
          </w:tcPr>
          <w:p>
            <w:pPr>
              <w:pStyle w:val="TableContents"/>
              <w:bidi w:val="0"/>
              <w:spacing w:before="0" w:after="283"/>
              <w:jc w:val="left"/>
              <w:rPr/>
            </w:pPr>
            <w:r>
              <w:rPr/>
              <w:t> </w:t>
            </w:r>
          </w:p>
        </w:tc>
      </w:tr>
      <w:tr>
        <w:trPr/>
        <w:tc>
          <w:tcPr>
            <w:tcW w:w="685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outstandingdiluted</w:t>
            </w:r>
          </w:p>
        </w:tc>
        <w:tc>
          <w:tcPr>
            <w:tcW w:w="30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44,568</w:t>
            </w:r>
          </w:p>
        </w:tc>
        <w:tc>
          <w:tcPr>
            <w:tcW w:w="21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43,739</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8" w:name="fin770053_10"/>
      <w:bookmarkEnd w:id="198"/>
      <w:r>
        <w:rPr>
          <w:rFonts w:ascii="Times New Roman" w:hAnsi="Times New Roman"/>
          <w:b/>
          <w:sz w:val="20"/>
        </w:rPr>
        <w:t xml:space="preserve">AVROBIO,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0"/>
        <w:gridCol w:w="219"/>
        <w:gridCol w:w="60"/>
        <w:gridCol w:w="725"/>
        <w:gridCol w:w="60"/>
        <w:gridCol w:w="219"/>
        <w:gridCol w:w="437"/>
        <w:gridCol w:w="437"/>
        <w:gridCol w:w="60"/>
        <w:gridCol w:w="219"/>
        <w:gridCol w:w="163"/>
        <w:gridCol w:w="939"/>
        <w:gridCol w:w="60"/>
        <w:gridCol w:w="219"/>
        <w:gridCol w:w="188"/>
        <w:gridCol w:w="1182"/>
        <w:gridCol w:w="154"/>
        <w:gridCol w:w="169"/>
        <w:gridCol w:w="184"/>
        <w:gridCol w:w="1161"/>
        <w:gridCol w:w="160"/>
      </w:tblGrid>
      <w:tr>
        <w:trPr/>
        <w:tc>
          <w:tcPr>
            <w:tcW w:w="319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9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219" w:type="dxa"/>
            <w:vMerge w:val="restart"/>
            <w:tcBorders/>
            <w:vAlign w:val="bottom"/>
          </w:tcPr>
          <w:p>
            <w:pPr>
              <w:pStyle w:val="TableContents"/>
              <w:bidi w:val="0"/>
              <w:spacing w:before="0" w:after="283"/>
              <w:jc w:val="left"/>
              <w:rPr/>
            </w:pPr>
            <w:r>
              <w:rPr/>
              <w:t>  </w:t>
            </w:r>
          </w:p>
        </w:tc>
        <w:tc>
          <w:tcPr>
            <w:tcW w:w="110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219"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4" w:type="dxa"/>
            <w:vMerge w:val="restart"/>
            <w:tcBorders/>
            <w:vAlign w:val="bottom"/>
          </w:tcPr>
          <w:p>
            <w:pPr>
              <w:pStyle w:val="TableContents"/>
              <w:bidi w:val="0"/>
              <w:spacing w:before="0" w:after="283"/>
              <w:jc w:val="left"/>
              <w:rPr/>
            </w:pPr>
            <w:r>
              <w:rPr/>
              <w:t> </w:t>
            </w:r>
          </w:p>
        </w:tc>
        <w:tc>
          <w:tcPr>
            <w:tcW w:w="169" w:type="dxa"/>
            <w:vMerge w:val="restart"/>
            <w:tcBorders/>
            <w:vAlign w:val="bottom"/>
          </w:tcPr>
          <w:p>
            <w:pPr>
              <w:pStyle w:val="TableContents"/>
              <w:bidi w:val="0"/>
              <w:spacing w:before="0" w:after="283"/>
              <w:jc w:val="left"/>
              <w:rPr/>
            </w:pPr>
            <w:r>
              <w:rPr/>
              <w:t> </w:t>
            </w:r>
          </w:p>
        </w:tc>
        <w:tc>
          <w:tcPr>
            <w:tcW w:w="134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r>
          </w:p>
        </w:tc>
        <w:tc>
          <w:tcPr>
            <w:tcW w:w="160" w:type="dxa"/>
            <w:vMerge w:val="restart"/>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9" w:type="dxa"/>
            <w:vMerge w:val="continue"/>
            <w:tcBorders/>
            <w:vAlign w:val="bottom"/>
          </w:tcPr>
          <w:p>
            <w:pPr>
              <w:pStyle w:val="Normal"/>
              <w:bidi w:val="0"/>
              <w:jc w:val="left"/>
              <w:rPr/>
            </w:pPr>
            <w:r>
              <w:rPr/>
            </w:r>
          </w:p>
        </w:tc>
        <w:tc>
          <w:tcPr>
            <w:tcW w:w="1102"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9"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4" w:type="dxa"/>
            <w:vMerge w:val="continue"/>
            <w:tcBorders>
              <w:bottom w:val="single" w:sz="8" w:space="0" w:color="000000"/>
            </w:tcBorders>
            <w:tcMar>
              <w:bottom w:w="28" w:type="dxa"/>
            </w:tcMar>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45" w:type="dxa"/>
            <w:gridSpan w:val="2"/>
            <w:vMerge w:val="continue"/>
            <w:tcBorders>
              <w:bottom w:val="single" w:sz="8" w:space="0" w:color="000000"/>
            </w:tcBorders>
            <w:tcMar>
              <w:bottom w:w="28" w:type="dxa"/>
            </w:tcMar>
            <w:vAlign w:val="bottom"/>
          </w:tcPr>
          <w:p>
            <w:pPr>
              <w:pStyle w:val="Normal"/>
              <w:bidi w:val="0"/>
              <w:jc w:val="left"/>
              <w:rPr/>
            </w:pPr>
            <w:r>
              <w:rPr/>
            </w:r>
          </w:p>
        </w:tc>
        <w:tc>
          <w:tcPr>
            <w:tcW w:w="160" w:type="dxa"/>
            <w:vMerge w:val="continue"/>
            <w:tcBorders/>
            <w:vAlign w:val="bottom"/>
          </w:tcPr>
          <w:p>
            <w:pPr>
              <w:pStyle w:val="Normal"/>
              <w:bidi w:val="0"/>
              <w:jc w:val="left"/>
              <w:rPr/>
            </w:pPr>
            <w:r>
              <w:rPr/>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2021</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43,652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553,014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(383,542</w:t>
            </w:r>
          </w:p>
        </w:tc>
        <w:tc>
          <w:tcPr>
            <w:tcW w:w="1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169,476</w:t>
            </w:r>
          </w:p>
        </w:tc>
        <w:tc>
          <w:tcPr>
            <w:tcW w:w="160"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 and units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142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58</w:t>
            </w:r>
          </w:p>
        </w:tc>
        <w:tc>
          <w:tcPr>
            <w:tcW w:w="160"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2018 employee stock purchase plan</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121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204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204</w:t>
            </w:r>
          </w:p>
        </w:tc>
        <w:tc>
          <w:tcPr>
            <w:tcW w:w="160"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11,522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11,522</w:t>
            </w:r>
          </w:p>
        </w:tc>
        <w:tc>
          <w:tcPr>
            <w:tcW w:w="160"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(105,890</w:t>
            </w:r>
          </w:p>
        </w:tc>
        <w:tc>
          <w:tcPr>
            <w:tcW w:w="15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(105,890</w:t>
            </w:r>
          </w:p>
        </w:tc>
        <w:tc>
          <w:tcPr>
            <w:tcW w:w="160"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43,916</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564,798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(489,432</w:t>
            </w:r>
          </w:p>
        </w:tc>
        <w:tc>
          <w:tcPr>
            <w:tcW w:w="1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75,370</w:t>
            </w:r>
          </w:p>
        </w:tc>
        <w:tc>
          <w:tcPr>
            <w:tcW w:w="160"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units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306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298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235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235</w:t>
            </w:r>
          </w:p>
        </w:tc>
        <w:tc>
          <w:tcPr>
            <w:tcW w:w="160"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2018 employee stock purchase plan</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86</w:t>
            </w:r>
          </w:p>
        </w:tc>
        <w:tc>
          <w:tcPr>
            <w:tcW w:w="160" w:type="dxa"/>
            <w:tcBorders/>
            <w:vAlign w:val="bottom"/>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6,891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6,891</w:t>
            </w:r>
          </w:p>
        </w:tc>
        <w:tc>
          <w:tcPr>
            <w:tcW w:w="160" w:type="dxa"/>
            <w:tcBorders/>
            <w:shd w:fill="CCEEFF" w:val="clear"/>
            <w:vAlign w:val="bottom"/>
          </w:tcPr>
          <w:p>
            <w:pPr>
              <w:pStyle w:val="TableContents"/>
              <w:bidi w:val="0"/>
              <w:spacing w:before="0" w:after="283"/>
              <w:jc w:val="left"/>
              <w:rPr/>
            </w:pPr>
            <w:r>
              <w:rPr/>
              <w:t> </w:t>
            </w:r>
          </w:p>
        </w:tc>
      </w:tr>
      <w:tr>
        <w:trPr/>
        <w:tc>
          <w:tcPr>
            <w:tcW w:w="319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12,157</w:t>
            </w:r>
          </w:p>
        </w:tc>
        <w:tc>
          <w:tcPr>
            <w:tcW w:w="15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12,157</w:t>
            </w:r>
          </w:p>
        </w:tc>
        <w:tc>
          <w:tcPr>
            <w:tcW w:w="160"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44,654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572,010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(477,275</w:t>
            </w:r>
          </w:p>
        </w:tc>
        <w:tc>
          <w:tcPr>
            <w:tcW w:w="1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94,739</w:t>
            </w:r>
          </w:p>
        </w:tc>
        <w:tc>
          <w:tcPr>
            <w:tcW w:w="160" w:type="dxa"/>
            <w:tcBorders/>
            <w:shd w:fill="CCEEFF" w:val="clear"/>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double" w:sz="6" w:space="1" w:color="000000"/>
              </w:pBdr>
              <w:bidi w:val="0"/>
              <w:spacing w:before="0" w:after="0"/>
              <w:jc w:val="left"/>
              <w:rPr/>
            </w:pPr>
            <w:r>
              <w:rPr/>
              <w:t> </w:t>
            </w:r>
          </w:p>
        </w:tc>
        <w:tc>
          <w:tcPr>
            <w:tcW w:w="4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9" w:name="fin770053_11"/>
      <w:bookmarkEnd w:id="199"/>
      <w:r>
        <w:rPr>
          <w:rFonts w:ascii="Times New Roman" w:hAnsi="Times New Roman"/>
          <w:b/>
          <w:sz w:val="20"/>
        </w:rPr>
        <w:t xml:space="preserve">AVROBIO,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24"/>
        <w:gridCol w:w="306"/>
        <w:gridCol w:w="175"/>
        <w:gridCol w:w="959"/>
        <w:gridCol w:w="194"/>
        <w:gridCol w:w="274"/>
        <w:gridCol w:w="175"/>
        <w:gridCol w:w="1139"/>
        <w:gridCol w:w="159"/>
      </w:tblGrid>
      <w:tr>
        <w:trPr/>
        <w:tc>
          <w:tcPr>
            <w:tcW w:w="6824"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24"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9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59"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12,157</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(105,890</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59"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(83,736</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6,891</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11,522</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617</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1,440</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asset impairment charges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1,877</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59</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1,074</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331</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Non-cash income tax expense</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377</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impairment of leasehold improvements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86</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(Gain)/loss on extinguishment of operating lease</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(72</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(81</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1,912</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2,726</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5,154</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2,466</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40</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34</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(357</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(3,102</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Current and non-current operating lease liabilities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(2,464</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(2,893</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(6,660</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(3,906</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(63,190</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(97,208</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59"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asset sale, net</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83,736</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sale of property, plant, and equipment</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1,348</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(8</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(267</w:t>
            </w:r>
          </w:p>
        </w:tc>
        <w:tc>
          <w:tcPr>
            <w:tcW w:w="159" w:type="dxa"/>
            <w:tcBorders/>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85,076</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(267</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note payable, including end of term charge</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(16,350</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235</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58</w:t>
            </w:r>
          </w:p>
        </w:tc>
        <w:tc>
          <w:tcPr>
            <w:tcW w:w="159" w:type="dxa"/>
            <w:tcBorders/>
            <w:vAlign w:val="bottom"/>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2018 employee stock purchase plan</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86</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204</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(16,029</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262</w:t>
            </w:r>
          </w:p>
        </w:tc>
        <w:tc>
          <w:tcPr>
            <w:tcW w:w="159" w:type="dxa"/>
            <w:tcBorders/>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5,857</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(97,213</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92,846</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190,059</w:t>
            </w:r>
          </w:p>
        </w:tc>
        <w:tc>
          <w:tcPr>
            <w:tcW w:w="159" w:type="dxa"/>
            <w:tcBorders/>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98,703</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92,846</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Cash:</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831</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1,425</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 obtained in exchange for operating lease liabilities</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2,392</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4,319</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Reconciliation of cash, cash equivalents and restricted cash reported within the consolidated balance sheets:</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98,020</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92,563</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683</w:t>
            </w:r>
          </w:p>
        </w:tc>
        <w:tc>
          <w:tcPr>
            <w:tcW w:w="19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283</w:t>
            </w:r>
          </w:p>
        </w:tc>
        <w:tc>
          <w:tcPr>
            <w:tcW w:w="159" w:type="dxa"/>
            <w:tcBorders/>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30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98,703</w:t>
            </w:r>
          </w:p>
        </w:tc>
        <w:tc>
          <w:tcPr>
            <w:tcW w:w="19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92,846</w:t>
            </w:r>
          </w:p>
        </w:tc>
        <w:tc>
          <w:tcPr>
            <w:tcW w:w="159" w:type="dxa"/>
            <w:tcBorders/>
            <w:shd w:fill="CCEEFF" w:val="clear"/>
            <w:vAlign w:val="bottom"/>
          </w:tcPr>
          <w:p>
            <w:pPr>
              <w:pStyle w:val="TableContents"/>
              <w:bidi w:val="0"/>
              <w:spacing w:before="0" w:after="283"/>
              <w:jc w:val="left"/>
              <w:rPr/>
            </w:pPr>
            <w:r>
              <w:rPr/>
              <w:t> </w:t>
            </w:r>
          </w:p>
        </w:tc>
      </w:tr>
      <w:tr>
        <w:trPr/>
        <w:tc>
          <w:tcPr>
            <w:tcW w:w="6824"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0" w:name="fin770053_12"/>
      <w:bookmarkEnd w:id="200"/>
      <w:r>
        <w:rPr>
          <w:rFonts w:ascii="Times New Roman" w:hAnsi="Times New Roman"/>
          <w:b/>
          <w:sz w:val="20"/>
        </w:rPr>
        <w:t xml:space="preserve">AVROBIO,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data)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Inc. (the Company or AVROBIO) is a gene therapy company which has been focused on developing potentially curative hematopoietic stem cell, or HSC, gene therapies to treat rare diseases following a single dose treatment regimen.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See Note 15 for further discussion. On January 30, 2024, the Company entered into the Merger Agreement with Tectonic Therapeutic, Inc. (Tectonic) pursuant to which a wholly-owned subsidiary of the Company will merge with and into Tectonic, with Tectonic surviving as a wholly-owned subsidiary of the Company (the Merger). See Note 16 for further discussion.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December 31, 2023, the Company had an accumulated deficit of $477,275. The Company expects that its cash and cash equivalents of $98,020 as of December 31, 2023 will be sufficient to fund current planned operations and capital expenditure requirements for at least the next twelve months from the filing date of this Annual Report on Form 10-K with the Securities and Exchange Commission (SEC). </w:t>
      </w:r>
    </w:p>
    <w:p>
      <w:pPr>
        <w:pStyle w:val="TextBody"/>
        <w:bidi w:val="0"/>
        <w:spacing w:before="240" w:after="0"/>
        <w:jc w:val="left"/>
        <w:rPr>
          <w:rFonts w:ascii="Times New Roman" w:hAnsi="Times New Roman"/>
          <w:sz w:val="20"/>
        </w:rPr>
      </w:pPr>
      <w:r>
        <w:rPr>
          <w:rFonts w:ascii="Times New Roman" w:hAnsi="Times New Roman"/>
          <w:sz w:val="20"/>
        </w:rPr>
        <w:t xml:space="preserve">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consisted of a cash payment of $87,500 upon closing of the transaction. The Company completed the Asset Sale (as defined below) on June 9, 2023 and recognized $83,736 as a gain on asset sale, net of $3,764 transaction costs, in the consolidated statement of operations and comprehensive income (loss). See Note 3 for further discussion. </w:t>
      </w:r>
    </w:p>
    <w:p>
      <w:pPr>
        <w:pStyle w:val="TextBody"/>
        <w:bidi w:val="0"/>
        <w:spacing w:before="240" w:after="0"/>
        <w:jc w:val="left"/>
        <w:rPr>
          <w:rFonts w:ascii="Times New Roman" w:hAnsi="Times New Roman"/>
          <w:sz w:val="20"/>
        </w:rPr>
      </w:pPr>
      <w:r>
        <w:rPr>
          <w:rFonts w:ascii="Times New Roman" w:hAnsi="Times New Roman"/>
          <w:sz w:val="20"/>
        </w:rPr>
        <w:t xml:space="preserve">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December 2023 Workforce Reduction). Affected employees in the July 2023 Workforce Reduction, October 2023 Workforce Reduction, and December 2023 Workforce Reduction were offered separation benefits, including severance payments. See Note 15 for further discussion.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AVROBIO, Inc. and its wholly owned subsidiaries. All intercompany transactions and balances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purchased with original maturities of three months or less at acquisition to be cash equivalents. As of December 31, 2023 and 2022, cash and cash equivalents were primarily held in interest-bearing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Fair values are determined utilizing prices (unadjusted) in active markets for identical assets or liabilities that the Company has the ability to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3Unobservable inputs that are supported by little or no market activity that are significant to determining the fair value of the assets or liabilities, including pricing models, discounted cash flow methodologies and similar techniques.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the Companys financial instruments, which include cash equivalents, accounts payable, and accrued expenses, approximated their fair values as of December 31, 2023 and 2022 due to the short-term nature of these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estimated fair value of financial instruments using available market information. The use of different market assumptions, estimation methodologies, or both, could have a significant effect on the estimated fair value amounts. See Note 4 </w:t>
      </w:r>
      <w:r>
        <w:rPr>
          <w:rFonts w:ascii="Times New Roman" w:hAnsi="Times New Roman"/>
          <w:i/>
          <w:sz w:val="20"/>
        </w:rPr>
        <w:t xml:space="preserve">Fair Value of Financial Assets and Liabilities </w:t>
      </w:r>
      <w:r>
        <w:rPr>
          <w:rFonts w:ascii="Times New Roman" w:hAnsi="Times New Roman"/>
          <w:sz w:val="20"/>
        </w:rPr>
        <w:t xml:space="preserve">for further discussion.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Depreciation and amortization is calculated using the straight-line method over the following estimated useful lives of the assets: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33"/>
        <w:gridCol w:w="274"/>
        <w:gridCol w:w="3032"/>
      </w:tblGrid>
      <w:tr>
        <w:trPr/>
        <w:tc>
          <w:tcPr>
            <w:tcW w:w="3633"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032" w:type="dxa"/>
            <w:tcBorders>
              <w:bottom w:val="single" w:sz="8" w:space="0" w:color="000000"/>
            </w:tcBorders>
            <w:tcMar>
              <w:bottom w:w="28" w:type="dxa"/>
            </w:tcMar>
            <w:vAlign w:val="bottom"/>
          </w:tcPr>
          <w:p>
            <w:pPr>
              <w:pStyle w:val="TableContents"/>
              <w:bidi w:val="0"/>
              <w:spacing w:before="0" w:after="283"/>
              <w:jc w:val="center"/>
              <w:rPr>
                <w:b/>
              </w:rPr>
            </w:pPr>
            <w:r>
              <w:rPr>
                <w:b/>
              </w:rPr>
              <w:t>Estimated Useful Life</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and office equipment</w:t>
            </w:r>
          </w:p>
        </w:tc>
        <w:tc>
          <w:tcPr>
            <w:tcW w:w="274" w:type="dxa"/>
            <w:tcBorders/>
            <w:shd w:fill="CCEEFF" w:val="clear"/>
            <w:vAlign w:val="bottom"/>
          </w:tcPr>
          <w:p>
            <w:pPr>
              <w:pStyle w:val="TableContents"/>
              <w:bidi w:val="0"/>
              <w:spacing w:before="0" w:after="283"/>
              <w:jc w:val="left"/>
              <w:rPr/>
            </w:pPr>
            <w:r>
              <w:rPr/>
              <w:t>  </w:t>
            </w:r>
          </w:p>
        </w:tc>
        <w:tc>
          <w:tcPr>
            <w:tcW w:w="3032" w:type="dxa"/>
            <w:tcBorders/>
            <w:shd w:fill="CCEEFF" w:val="clear"/>
            <w:vAlign w:val="bottom"/>
          </w:tcPr>
          <w:p>
            <w:pPr>
              <w:pStyle w:val="TableContents"/>
              <w:bidi w:val="0"/>
              <w:spacing w:before="0" w:after="283"/>
              <w:jc w:val="center"/>
              <w:rPr/>
            </w:pPr>
            <w:r>
              <w:rPr/>
              <w:t>5 years</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274" w:type="dxa"/>
            <w:tcBorders/>
            <w:vAlign w:val="bottom"/>
          </w:tcPr>
          <w:p>
            <w:pPr>
              <w:pStyle w:val="TableContents"/>
              <w:bidi w:val="0"/>
              <w:spacing w:before="0" w:after="283"/>
              <w:jc w:val="left"/>
              <w:rPr/>
            </w:pPr>
            <w:r>
              <w:rPr/>
              <w:t>  </w:t>
            </w:r>
          </w:p>
        </w:tc>
        <w:tc>
          <w:tcPr>
            <w:tcW w:w="3032" w:type="dxa"/>
            <w:tcBorders/>
            <w:vAlign w:val="bottom"/>
          </w:tcPr>
          <w:p>
            <w:pPr>
              <w:pStyle w:val="TableContents"/>
              <w:bidi w:val="0"/>
              <w:spacing w:before="0" w:after="283"/>
              <w:jc w:val="center"/>
              <w:rPr/>
            </w:pPr>
            <w:r>
              <w:rPr/>
              <w:t>2 years</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74" w:type="dxa"/>
            <w:tcBorders/>
            <w:shd w:fill="CCEEFF" w:val="clear"/>
            <w:vAlign w:val="bottom"/>
          </w:tcPr>
          <w:p>
            <w:pPr>
              <w:pStyle w:val="TableContents"/>
              <w:bidi w:val="0"/>
              <w:spacing w:before="0" w:after="283"/>
              <w:jc w:val="left"/>
              <w:rPr/>
            </w:pPr>
            <w:r>
              <w:rPr/>
              <w:t>  </w:t>
            </w:r>
          </w:p>
        </w:tc>
        <w:tc>
          <w:tcPr>
            <w:tcW w:w="3032" w:type="dxa"/>
            <w:tcBorders/>
            <w:shd w:fill="CCEEFF" w:val="clear"/>
            <w:vAlign w:val="bottom"/>
          </w:tcPr>
          <w:p>
            <w:pPr>
              <w:pStyle w:val="TableContents"/>
              <w:bidi w:val="0"/>
              <w:spacing w:before="0" w:after="283"/>
              <w:jc w:val="center"/>
              <w:rPr/>
            </w:pPr>
            <w:r>
              <w:rPr/>
              <w:t>Lesser of lease term or 10 years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During the year ended December 31, 2023 the Company recognized a $937 loss on impairment of property, plant, and equipment as a result of the reclassification of these assets to held for sale. The Company did not record any impairment loss during the year ended December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Prior to January 1, 2022, the Company accounted for leases in accordance with FASB ASC 840, Leases. At lease inception, the Company determined if an arrangement was an operating or capital lease. For operating leases, the Company recognized rent expense, inclusive of rent escalations, on a straight-line basis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Effective on January 1, 2022, the Company accounts for leases in accordance with ASC Topic 842, Leases (ASC 842). Upon transition, the Company applied the package of practical expedients permitted under ASC 842 transition guidance to its entire lease portfolio at January 1, 2022. As a result, the Company was not required to reassess (i) whether any expired or existing contracts are or contain leases, (ii) the classification of any expired or existing leases, and (iii) initial direct costs for any existing leases. Furthermore, as a lessee the Company elected to combine lease and non-lease components together for the majority of its leases. As a result, for these applicable classes of underlying assets, the Company accounted for each separate lease component and the non-lease components associated with that lease component as a single lease component.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ASC 842, the Company determines whether an arrangement is or contains a lease at inception. A contract is or contains a lease if the contract conveys the right to control the use of an identified asset for a period of time in exchange for consideration. The Company records leases at the lease commencement date, when control of the underlying asset is transferred from the lessor to the lessee, as operating or finance leases and records a right-of-use (ROU) asset and a lease liability on the consolidated balance sheet for all leases with a lease term of greater than twelve months. The Company has elected to not recognize leases with a lease term of twelve months or less on the balance sheet and will recognize lease payments for such short-term leases as an expense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contracts that contain both lease and non-lease components. Non-lease components may include items such as maintenance, utilities, or other operating costs. For leases of real estate, the Company combines the lease and associated non-lease components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based upon the available information at the lease commencement date. ROU assets are further adjusted for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as initial direct costs, prepaid rent, or lease incentives. Operating lease payments are expensed using the straight-line method as an operating expense over the lease term.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and (ii) a portion that reduces the finance lease liability associated with the lease.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 Company recognized a $940 loss on impairment of ROU assets as a result of the discontinued use of lab space in Cambridge, Massachusetts, United States. The Company did not record any impairment loss during the year ended December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Income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Translation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(expense) income, net in the consolidated statements of operations and comprehensive loss. During the years ended December 31, 2023 and 2022, the Company recorded foreign exchange losses of $122 and $92, respectively, in other expense in the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measurement date for non-employee awards is the later of the adoption date of ASU 2018-07, or the date of grant. For stock-based awards granted to nonemployees subject to graded vesting that only contain service conditions, the Company has elected to recognize stock-based compensation expense using the straight-line recognition method.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stock-based compensation expense in its consolidated statements of operations and comprehensive loss in the same manner in which the award recipients cash compensation costs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2022,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Subsequent Event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June 2016, the FASB issued ASU No. 2016-13, Financial InstrumentsCredit Losses (Topic 326): Measurement of Credit Losses on Financial Instruments, or ASU 2016-13. ASU 2016-13 requires that credit losses be reported as an allowance using an expected losses model, representing the 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2019, the FASB issued ASU 2019-11, Codification Improvements to Topic 326, Financial Instruments  Credit Losses, or ASU 2019-11. ASU 2019-11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Accounting Standard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the FASB issued ASU 2023-06 Disclosure Improvements: Codification Amendments in Response to the SECs Disclosure Update and Simplification Initiative. which incorporates certain SEC disclosure requirements into the FASB Accounting Standards Codification (Codification).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is currently evaluating this guidance to determine the impact it may have on its consolidated financial statement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3. License and Purchase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 with The University of Manchester </w:t>
      </w:r>
    </w:p>
    <w:p>
      <w:pPr>
        <w:pStyle w:val="TextBody"/>
        <w:bidi w:val="0"/>
        <w:spacing w:before="120" w:after="0"/>
        <w:jc w:val="left"/>
        <w:rPr>
          <w:rFonts w:ascii="Times New Roman" w:hAnsi="Times New Roman"/>
          <w:sz w:val="20"/>
        </w:rPr>
      </w:pPr>
      <w:r>
        <w:rPr>
          <w:rFonts w:ascii="Times New Roman" w:hAnsi="Times New Roman"/>
          <w:sz w:val="20"/>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hAnsi="Times New Roman"/>
          <w:i/>
          <w:sz w:val="20"/>
        </w:rPr>
        <w:t>ex vivo</w:t>
      </w:r>
      <w:r>
        <w:rPr>
          <w:rFonts w:ascii="Times New Roman" w:hAnsi="Times New Roman"/>
          <w:sz w:val="20"/>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agreement, the Company was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were estimated to equal approximately £9,900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2023 and 2022, the Company recognized $1,610 and $2,346, respectively, of costs related to the CRFA, excluding the payment made in connection with the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University Health Network (UHN) </w:t>
      </w:r>
    </w:p>
    <w:p>
      <w:pPr>
        <w:pStyle w:val="TextBody"/>
        <w:bidi w:val="0"/>
        <w:spacing w:before="120" w:after="0"/>
        <w:jc w:val="left"/>
        <w:rPr>
          <w:rFonts w:ascii="Times New Roman" w:hAnsi="Times New Roman"/>
          <w:i/>
          <w:sz w:val="20"/>
        </w:rPr>
      </w:pPr>
      <w:r>
        <w:rPr>
          <w:rFonts w:ascii="Times New Roman" w:hAnsi="Times New Roman"/>
          <w:i/>
          <w:sz w:val="20"/>
        </w:rPr>
        <w:t xml:space="preserve">Fabry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 </w:t>
      </w:r>
    </w:p>
    <w:p>
      <w:pPr>
        <w:pStyle w:val="TextBody"/>
        <w:bidi w:val="0"/>
        <w:spacing w:before="240" w:after="0"/>
        <w:jc w:val="left"/>
        <w:rPr>
          <w:rFonts w:ascii="Times New Roman" w:hAnsi="Times New Roman"/>
          <w:sz w:val="20"/>
        </w:rPr>
      </w:pPr>
      <w:r>
        <w:rPr>
          <w:rFonts w:ascii="Times New Roman" w:hAnsi="Times New Roman"/>
          <w:sz w:val="20"/>
        </w:rPr>
        <w:t xml:space="preserve">Under this agreement, the Company paid an option fee of CAD$20, an upfront license fee of CAD$75, plus the annual license maintenance fee for the first year. Thereafter, the Company was also required to pay UHN future annual license maintenance fees until the first sale of a licensed product in certain markets. The Company was also obligated to make future milestone payments in an aggregate amount of up to CAD$2,450 upon the achievement of specified milestones as well as royalties on a country-by-country basis of a low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mid-single-digit percentage of annual net sales of licensed products and a lower single-digit royalty percentage in certain circumstances. Additionally, the Company had agreed to pay a low double-digit royalty percentage of all sublicensing revenue. </w:t>
      </w:r>
    </w:p>
    <w:p>
      <w:pPr>
        <w:pStyle w:val="TextBody"/>
        <w:bidi w:val="0"/>
        <w:spacing w:before="240" w:after="0"/>
        <w:jc w:val="left"/>
        <w:rPr>
          <w:rFonts w:ascii="Times New Roman" w:hAnsi="Times New Roman"/>
          <w:sz w:val="20"/>
        </w:rPr>
      </w:pPr>
      <w:r>
        <w:rPr>
          <w:rFonts w:ascii="Times New Roman" w:hAnsi="Times New Roman"/>
          <w:sz w:val="20"/>
        </w:rPr>
        <w:t xml:space="preserve">The agreement required the Company to meet certain performance milestones within specified timeframes. UHN could terminate the agreement if the Company failed to meet these performance milestones despite using commercially reasonable efforts and the Company is unable to reach agreement with UHN on revised timeframes. The Companys royalty obligation was to expire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agreement was to expire upon the expiration of the Companys royalty obligation for all licensed products. UHN could terminate the agreement if the Company failed to make any payments within a specified period after receiving written notice of such failure, or in the event that the Company fails to obtain or maintain insurance. Either the Company or UHN could terminate the license agreement in the event of a material breach by the other party and failure to cure such breach within a certain period of time. The Company could voluntarily terminate the agreement with prior notice to UHN. </w:t>
      </w:r>
    </w:p>
    <w:p>
      <w:pPr>
        <w:pStyle w:val="TextBody"/>
        <w:bidi w:val="0"/>
        <w:spacing w:before="240" w:after="0"/>
        <w:jc w:val="left"/>
        <w:rPr>
          <w:rFonts w:ascii="Times New Roman" w:hAnsi="Times New Roman"/>
          <w:sz w:val="20"/>
        </w:rPr>
      </w:pPr>
      <w:r>
        <w:rPr>
          <w:rFonts w:ascii="Times New Roman" w:hAnsi="Times New Roman"/>
          <w:sz w:val="20"/>
        </w:rPr>
        <w:t xml:space="preserve">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 For the years ended December 31, 2023 and 2022, the Company recorded research and development expense related to this agreement with UHN of $93 and $161, respectively, which consists of reimbursable funded study trial costs and license maintenance fees. No milestone fees were incurred related to the Fabry license agreement in the years ended December 31,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Interleukin 12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Companys initial public offering (the IPO) in 2018, as the criteria were met, the Company paid UHN $2,000. The Company was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years ended December 31, 2023 and 2022, the Company recorded research and development expense related to this agreement with UHN of $37 and $39, respectively, which consists of license maintenance fees. No milestone fees were incurred related to the Interleukin 12 license agreement in the years ended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 with BioMarin Pharmaceutical Inc. (BioMarin) </w:t>
      </w:r>
    </w:p>
    <w:p>
      <w:pPr>
        <w:pStyle w:val="TextBody"/>
        <w:bidi w:val="0"/>
        <w:spacing w:before="120" w:after="0"/>
        <w:jc w:val="left"/>
        <w:rPr>
          <w:rFonts w:ascii="Times New Roman" w:hAnsi="Times New Roman"/>
          <w:sz w:val="20"/>
        </w:rPr>
      </w:pPr>
      <w:r>
        <w:rPr>
          <w:rFonts w:ascii="Times New Roman" w:hAnsi="Times New Roman"/>
          <w:sz w:val="20"/>
        </w:rPr>
        <w:t xml:space="preserve">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 with Papillon Therapeutics, Inc. (previously GenStem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 license agreement with Papillon was assigned to Novartis on May 19, 2023 in conjunction with the Companys Asset Purchase Agreement with Novartis which provided for the sale of the Companys cystinosis gene therapy program and all other assets of the Company specifically related to this program (see Sale of Cystinosis Program below). </w:t>
      </w:r>
    </w:p>
    <w:p>
      <w:pPr>
        <w:pStyle w:val="TextBody"/>
        <w:bidi w:val="0"/>
        <w:spacing w:before="240" w:after="0"/>
        <w:jc w:val="left"/>
        <w:rPr>
          <w:rFonts w:ascii="Times New Roman" w:hAnsi="Times New Roman"/>
          <w:sz w:val="20"/>
        </w:rPr>
      </w:pPr>
      <w:r>
        <w:rPr>
          <w:rFonts w:ascii="Times New Roman" w:hAnsi="Times New Roman"/>
          <w:sz w:val="20"/>
        </w:rPr>
        <w:t xml:space="preserve">No expenses related to the license were recorded for the years ended December 31, 2023 and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Agreement with Lund University Rights Holders </w:t>
      </w:r>
    </w:p>
    <w:p>
      <w:pPr>
        <w:pStyle w:val="TextBody"/>
        <w:bidi w:val="0"/>
        <w:spacing w:before="120" w:after="0"/>
        <w:jc w:val="left"/>
        <w:rPr>
          <w:rFonts w:ascii="Times New Roman" w:hAnsi="Times New Roman"/>
          <w:sz w:val="20"/>
        </w:rPr>
      </w:pPr>
      <w:r>
        <w:rPr>
          <w:rFonts w:ascii="Times New Roman" w:hAnsi="Times New Roman"/>
          <w:sz w:val="20"/>
        </w:rPr>
        <w:t xml:space="preserve">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of Cystinosis Program </w:t>
      </w:r>
    </w:p>
    <w:p>
      <w:pPr>
        <w:pStyle w:val="TextBody"/>
        <w:bidi w:val="0"/>
        <w:spacing w:before="120" w:after="0"/>
        <w:jc w:val="left"/>
        <w:rPr>
          <w:rFonts w:ascii="Times New Roman" w:hAnsi="Times New Roman"/>
          <w:sz w:val="20"/>
        </w:rPr>
      </w:pPr>
      <w:r>
        <w:rPr>
          <w:rFonts w:ascii="Times New Roman" w:hAnsi="Times New Roman"/>
          <w:sz w:val="20"/>
        </w:rPr>
        <w:t xml:space="preserve">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The Company recognized $83,736 as a gain on asset sale, net of $3,764 in transaction costs, in the consolidated statement of operations and comprehensive income (loss). </w:t>
      </w:r>
    </w:p>
    <w:p>
      <w:pPr>
        <w:pStyle w:val="TextBody"/>
        <w:bidi w:val="0"/>
        <w:spacing w:before="360" w:after="0"/>
        <w:jc w:val="left"/>
        <w:rPr>
          <w:rFonts w:ascii="Times New Roman" w:hAnsi="Times New Roman"/>
          <w:b/>
          <w:sz w:val="20"/>
        </w:rPr>
      </w:pPr>
      <w:r>
        <w:rPr>
          <w:rFonts w:ascii="Times New Roman" w:hAnsi="Times New Roman"/>
          <w:b/>
          <w:sz w:val="20"/>
        </w:rPr>
        <w:t xml:space="preserve">4. Fair Value of Financial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financial assets and liabilities measured at fair value on a recurring basis and indicates the level of the fair value hierarchy utilized to determine such fair values as of December 31, 2023 and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3"/>
        <w:gridCol w:w="383"/>
        <w:gridCol w:w="140"/>
        <w:gridCol w:w="753"/>
        <w:gridCol w:w="60"/>
        <w:gridCol w:w="383"/>
        <w:gridCol w:w="380"/>
        <w:gridCol w:w="381"/>
        <w:gridCol w:w="60"/>
        <w:gridCol w:w="383"/>
        <w:gridCol w:w="380"/>
        <w:gridCol w:w="381"/>
        <w:gridCol w:w="60"/>
        <w:gridCol w:w="383"/>
        <w:gridCol w:w="140"/>
        <w:gridCol w:w="752"/>
        <w:gridCol w:w="66"/>
      </w:tblGrid>
      <w:tr>
        <w:trPr/>
        <w:tc>
          <w:tcPr>
            <w:tcW w:w="4303"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0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463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as of</w:t>
              <w:br/>
              <w:t>December 31, 2023</w:t>
            </w:r>
          </w:p>
        </w:tc>
        <w:tc>
          <w:tcPr>
            <w:tcW w:w="66"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equivalentsmoney market funds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96,707</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2" w:type="dxa"/>
            <w:tcBorders/>
            <w:vAlign w:val="bottom"/>
          </w:tcPr>
          <w:p>
            <w:pPr>
              <w:pStyle w:val="TableContents"/>
              <w:bidi w:val="0"/>
              <w:spacing w:before="0" w:after="283"/>
              <w:jc w:val="right"/>
              <w:rPr/>
            </w:pPr>
            <w:r>
              <w:rPr/>
              <w:t>96,707</w:t>
            </w:r>
          </w:p>
        </w:tc>
        <w:tc>
          <w:tcPr>
            <w:tcW w:w="66"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96,707</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96,707</w:t>
            </w:r>
          </w:p>
        </w:tc>
        <w:tc>
          <w:tcPr>
            <w:tcW w:w="66"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3"/>
        <w:gridCol w:w="383"/>
        <w:gridCol w:w="140"/>
        <w:gridCol w:w="753"/>
        <w:gridCol w:w="60"/>
        <w:gridCol w:w="383"/>
        <w:gridCol w:w="380"/>
        <w:gridCol w:w="381"/>
        <w:gridCol w:w="60"/>
        <w:gridCol w:w="383"/>
        <w:gridCol w:w="380"/>
        <w:gridCol w:w="381"/>
        <w:gridCol w:w="60"/>
        <w:gridCol w:w="383"/>
        <w:gridCol w:w="140"/>
        <w:gridCol w:w="752"/>
        <w:gridCol w:w="66"/>
      </w:tblGrid>
      <w:tr>
        <w:trPr/>
        <w:tc>
          <w:tcPr>
            <w:tcW w:w="4303"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0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463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as of</w:t>
              <w:br/>
              <w:t>December 31, 2022</w:t>
            </w:r>
          </w:p>
        </w:tc>
        <w:tc>
          <w:tcPr>
            <w:tcW w:w="66"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equivalentsmoney market funds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91,095</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2" w:type="dxa"/>
            <w:tcBorders/>
            <w:vAlign w:val="bottom"/>
          </w:tcPr>
          <w:p>
            <w:pPr>
              <w:pStyle w:val="TableContents"/>
              <w:bidi w:val="0"/>
              <w:spacing w:before="0" w:after="283"/>
              <w:jc w:val="right"/>
              <w:rPr/>
            </w:pPr>
            <w:r>
              <w:rPr/>
              <w:t>91,095</w:t>
            </w:r>
          </w:p>
        </w:tc>
        <w:tc>
          <w:tcPr>
            <w:tcW w:w="66"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91,095</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91,095</w:t>
            </w:r>
          </w:p>
        </w:tc>
        <w:tc>
          <w:tcPr>
            <w:tcW w:w="66"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2023 and 2022, there were no transfers between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5. Supplemental Balance Sheet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6"/>
        <w:gridCol w:w="376"/>
        <w:gridCol w:w="142"/>
        <w:gridCol w:w="570"/>
        <w:gridCol w:w="60"/>
        <w:gridCol w:w="376"/>
        <w:gridCol w:w="142"/>
        <w:gridCol w:w="570"/>
        <w:gridCol w:w="63"/>
      </w:tblGrid>
      <w:tr>
        <w:trPr/>
        <w:tc>
          <w:tcPr>
            <w:tcW w:w="5456"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5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8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545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research and development expenses</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572</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4,509</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816</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999</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compensation benefits</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327</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Tax incentive refund, net of reserve</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269</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570</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1,008</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1,958</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7,112</w:t>
            </w:r>
          </w:p>
        </w:tc>
        <w:tc>
          <w:tcPr>
            <w:tcW w:w="63" w:type="dxa"/>
            <w:tcBorders/>
            <w:vAlign w:val="bottom"/>
          </w:tcPr>
          <w:p>
            <w:pPr>
              <w:pStyle w:val="TableContents"/>
              <w:bidi w:val="0"/>
              <w:spacing w:before="0" w:after="283"/>
              <w:jc w:val="left"/>
              <w:rPr/>
            </w:pPr>
            <w:r>
              <w:rPr/>
              <w:t> </w:t>
            </w:r>
          </w:p>
        </w:tc>
      </w:tr>
      <w:tr>
        <w:trPr/>
        <w:tc>
          <w:tcPr>
            <w:tcW w:w="545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2"/>
        <w:gridCol w:w="415"/>
        <w:gridCol w:w="140"/>
        <w:gridCol w:w="641"/>
        <w:gridCol w:w="157"/>
        <w:gridCol w:w="415"/>
        <w:gridCol w:w="140"/>
        <w:gridCol w:w="641"/>
        <w:gridCol w:w="164"/>
      </w:tblGrid>
      <w:tr>
        <w:trPr/>
        <w:tc>
          <w:tcPr>
            <w:tcW w:w="5042"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42"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21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4"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and office equipment</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5,973</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5,967</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629</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629</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104</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102</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6,706</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6,698</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(4,421</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(3,804</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(937</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assets</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(1,348</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1" w:type="dxa"/>
            <w:tcBorders/>
            <w:vAlign w:val="bottom"/>
          </w:tcPr>
          <w:p>
            <w:pPr>
              <w:pStyle w:val="TableContents"/>
              <w:bidi w:val="0"/>
              <w:spacing w:before="0" w:after="283"/>
              <w:jc w:val="right"/>
              <w:rPr/>
            </w:pPr>
            <w:r>
              <w:rPr/>
              <w:t>2,894</w:t>
            </w:r>
          </w:p>
        </w:tc>
        <w:tc>
          <w:tcPr>
            <w:tcW w:w="164"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for the years ended December 31, 2023 and 2022 was $617 and $1,440,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 had restricted cash as presented in the table below, which consists of cash used to secure a letter of credit for the benefit of the landlord in connection with the Companys lease agreement as well as restricted cash related to the Companys corporate credit card program. The cash will be restricted until the termination or modification of the lease arrangement and corporate credit card program,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68"/>
        <w:gridCol w:w="394"/>
        <w:gridCol w:w="155"/>
        <w:gridCol w:w="424"/>
        <w:gridCol w:w="66"/>
        <w:gridCol w:w="403"/>
        <w:gridCol w:w="155"/>
        <w:gridCol w:w="426"/>
        <w:gridCol w:w="64"/>
      </w:tblGrid>
      <w:tr>
        <w:trPr/>
        <w:tc>
          <w:tcPr>
            <w:tcW w:w="566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6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6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66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9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4" w:type="dxa"/>
            <w:tcBorders/>
            <w:shd w:fill="CCEEFF" w:val="clear"/>
            <w:vAlign w:val="bottom"/>
          </w:tcPr>
          <w:p>
            <w:pPr>
              <w:pStyle w:val="TableContents"/>
              <w:bidi w:val="0"/>
              <w:spacing w:before="0" w:after="283"/>
              <w:jc w:val="right"/>
              <w:rPr/>
            </w:pPr>
            <w:r>
              <w:rPr/>
              <w:t>283</w:t>
            </w:r>
          </w:p>
        </w:tc>
        <w:tc>
          <w:tcPr>
            <w:tcW w:w="6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283</w:t>
            </w:r>
          </w:p>
        </w:tc>
        <w:tc>
          <w:tcPr>
            <w:tcW w:w="64" w:type="dxa"/>
            <w:tcBorders/>
            <w:shd w:fill="CCEEFF" w:val="clear"/>
            <w:vAlign w:val="bottom"/>
          </w:tcPr>
          <w:p>
            <w:pPr>
              <w:pStyle w:val="TableContents"/>
              <w:bidi w:val="0"/>
              <w:spacing w:before="0" w:after="283"/>
              <w:jc w:val="left"/>
              <w:rPr/>
            </w:pPr>
            <w:r>
              <w:rPr/>
              <w:t> </w:t>
            </w:r>
          </w:p>
        </w:tc>
      </w:tr>
      <w:tr>
        <w:trPr/>
        <w:tc>
          <w:tcPr>
            <w:tcW w:w="566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39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400</w:t>
            </w:r>
          </w:p>
        </w:tc>
        <w:tc>
          <w:tcPr>
            <w:tcW w:w="66"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54"/>
        <w:gridCol w:w="375"/>
        <w:gridCol w:w="140"/>
        <w:gridCol w:w="560"/>
        <w:gridCol w:w="60"/>
        <w:gridCol w:w="375"/>
        <w:gridCol w:w="140"/>
        <w:gridCol w:w="689"/>
        <w:gridCol w:w="62"/>
      </w:tblGrid>
      <w:tr>
        <w:trPr/>
        <w:tc>
          <w:tcPr>
            <w:tcW w:w="5354"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54"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2" w:type="dxa"/>
            <w:tcBorders/>
            <w:vAlign w:val="bottom"/>
          </w:tcPr>
          <w:p>
            <w:pPr>
              <w:pStyle w:val="TableContents"/>
              <w:bidi w:val="0"/>
              <w:spacing w:before="0" w:after="283"/>
              <w:jc w:val="left"/>
              <w:rPr/>
            </w:pPr>
            <w:r>
              <w:rPr/>
              <w:t> </w:t>
            </w:r>
          </w:p>
        </w:tc>
      </w:tr>
      <w:tr>
        <w:trPr/>
        <w:tc>
          <w:tcPr>
            <w:tcW w:w="5354"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2" w:type="dxa"/>
            <w:tcBorders/>
            <w:vAlign w:val="bottom"/>
          </w:tcPr>
          <w:p>
            <w:pPr>
              <w:pStyle w:val="TableContents"/>
              <w:bidi w:val="0"/>
              <w:spacing w:before="0" w:after="283"/>
              <w:jc w:val="left"/>
              <w:rPr/>
            </w:pPr>
            <w:r>
              <w:rPr/>
              <w:t> </w:t>
            </w:r>
          </w:p>
        </w:tc>
      </w:tr>
      <w:tr>
        <w:trPr/>
        <w:tc>
          <w:tcPr>
            <w:tcW w:w="5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711</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6,122</w:t>
            </w:r>
          </w:p>
        </w:tc>
        <w:tc>
          <w:tcPr>
            <w:tcW w:w="62" w:type="dxa"/>
            <w:tcBorders/>
            <w:shd w:fill="CCEEFF" w:val="clear"/>
            <w:vAlign w:val="bottom"/>
          </w:tcPr>
          <w:p>
            <w:pPr>
              <w:pStyle w:val="TableContents"/>
              <w:bidi w:val="0"/>
              <w:spacing w:before="0" w:after="283"/>
              <w:jc w:val="left"/>
              <w:rPr/>
            </w:pPr>
            <w:r>
              <w:rPr/>
              <w:t> </w:t>
            </w:r>
          </w:p>
        </w:tc>
      </w:tr>
      <w:tr>
        <w:trPr/>
        <w:tc>
          <w:tcPr>
            <w:tcW w:w="535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benefit costs</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3,463</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4,175</w:t>
            </w:r>
          </w:p>
        </w:tc>
        <w:tc>
          <w:tcPr>
            <w:tcW w:w="62" w:type="dxa"/>
            <w:tcBorders/>
            <w:vAlign w:val="bottom"/>
          </w:tcPr>
          <w:p>
            <w:pPr>
              <w:pStyle w:val="TableContents"/>
              <w:bidi w:val="0"/>
              <w:spacing w:before="0" w:after="283"/>
              <w:jc w:val="left"/>
              <w:rPr/>
            </w:pPr>
            <w:r>
              <w:rPr/>
              <w:t> </w:t>
            </w:r>
          </w:p>
        </w:tc>
      </w:tr>
      <w:tr>
        <w:trPr/>
        <w:tc>
          <w:tcPr>
            <w:tcW w:w="5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Consulting and professional fees</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892</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1,224</w:t>
            </w:r>
          </w:p>
        </w:tc>
        <w:tc>
          <w:tcPr>
            <w:tcW w:w="62" w:type="dxa"/>
            <w:tcBorders/>
            <w:shd w:fill="CCEEFF" w:val="clear"/>
            <w:vAlign w:val="bottom"/>
          </w:tcPr>
          <w:p>
            <w:pPr>
              <w:pStyle w:val="TableContents"/>
              <w:bidi w:val="0"/>
              <w:spacing w:before="0" w:after="283"/>
              <w:jc w:val="left"/>
              <w:rPr/>
            </w:pPr>
            <w:r>
              <w:rPr/>
              <w:t> </w:t>
            </w:r>
          </w:p>
        </w:tc>
      </w:tr>
      <w:tr>
        <w:trPr/>
        <w:tc>
          <w:tcPr>
            <w:tcW w:w="5354"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383</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211</w:t>
            </w:r>
          </w:p>
        </w:tc>
        <w:tc>
          <w:tcPr>
            <w:tcW w:w="62" w:type="dxa"/>
            <w:tcBorders/>
            <w:vAlign w:val="bottom"/>
          </w:tcPr>
          <w:p>
            <w:pPr>
              <w:pStyle w:val="TableContents"/>
              <w:bidi w:val="0"/>
              <w:spacing w:before="0" w:after="283"/>
              <w:jc w:val="left"/>
              <w:rPr/>
            </w:pPr>
            <w:r>
              <w:rPr/>
              <w:t> </w:t>
            </w:r>
          </w:p>
        </w:tc>
      </w:tr>
      <w:tr>
        <w:trPr/>
        <w:tc>
          <w:tcPr>
            <w:tcW w:w="5354"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54" w:type="dxa"/>
            <w:tcBorders/>
            <w:shd w:fill="CCEEFF" w:val="clear"/>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5,449</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11,732</w:t>
            </w:r>
          </w:p>
        </w:tc>
        <w:tc>
          <w:tcPr>
            <w:tcW w:w="62" w:type="dxa"/>
            <w:tcBorders/>
            <w:shd w:fill="CCEEFF" w:val="clear"/>
            <w:vAlign w:val="bottom"/>
          </w:tcPr>
          <w:p>
            <w:pPr>
              <w:pStyle w:val="TableContents"/>
              <w:bidi w:val="0"/>
              <w:spacing w:before="0" w:after="283"/>
              <w:jc w:val="left"/>
              <w:rPr/>
            </w:pPr>
            <w:r>
              <w:rPr/>
              <w:t> </w:t>
            </w:r>
          </w:p>
        </w:tc>
      </w:tr>
      <w:tr>
        <w:trPr/>
        <w:tc>
          <w:tcPr>
            <w:tcW w:w="5354"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Leases </w:t>
      </w:r>
    </w:p>
    <w:p>
      <w:pPr>
        <w:pStyle w:val="TextBody"/>
        <w:bidi w:val="0"/>
        <w:spacing w:before="120" w:after="0"/>
        <w:jc w:val="left"/>
        <w:rPr>
          <w:rFonts w:ascii="Times New Roman" w:hAnsi="Times New Roman"/>
          <w:sz w:val="20"/>
        </w:rPr>
      </w:pPr>
      <w:r>
        <w:rPr>
          <w:rFonts w:ascii="Times New Roman" w:hAnsi="Times New Roman"/>
          <w:sz w:val="20"/>
        </w:rPr>
        <w:t xml:space="preserve">On August 31, 2018, the Company entered into a sublease agreement for lab space located in Cambridge Massachusetts, United States, which was set to expire in October 2020. On June 9, 2020, the Company amended the terms of the sublease, which was set to expire in April 2022. Effective January 1, 2022, the Company amended the terms of the sublease, to extend the term through April 2023. In July 2022, the company moved its corporate headquarters to our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On June 1, 2020, the Company entered into a lease agreement for office space located in Toronto, Ontario, Canada, which was set to expire in June 2025. On October 31, 2023, the lease agreement was terminated. The annual lease payments were fixed for years 1 and 2, and then subject to a 6.67% increase for years 3 through 5. In accordance with the lease agreement, the Company was required to maintain a security deposit of CAD$27, which was recorded in other long-term assets as of December 31, 2022. In October 2022, the Company entered into a sublease agreement to sublease this space. The term of the sublease agreement commenced on October 1, 2022 and expires on June 29, 2025. The sublease was also terminated on October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effect of lease costs in the Companys consolidated statement of operations and comprehensive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42"/>
        <w:gridCol w:w="472"/>
        <w:gridCol w:w="236"/>
        <w:gridCol w:w="948"/>
        <w:gridCol w:w="257"/>
        <w:gridCol w:w="454"/>
        <w:gridCol w:w="236"/>
        <w:gridCol w:w="951"/>
        <w:gridCol w:w="159"/>
      </w:tblGrid>
      <w:tr>
        <w:trPr/>
        <w:tc>
          <w:tcPr>
            <w:tcW w:w="4042"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42"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3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4042"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57"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4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948" w:type="dxa"/>
            <w:tcBorders/>
            <w:shd w:fill="CCEEFF" w:val="clear"/>
            <w:vAlign w:val="bottom"/>
          </w:tcPr>
          <w:p>
            <w:pPr>
              <w:pStyle w:val="TableContents"/>
              <w:bidi w:val="0"/>
              <w:spacing w:before="0" w:after="283"/>
              <w:jc w:val="right"/>
              <w:rPr/>
            </w:pPr>
            <w:r>
              <w:rPr/>
              <w:t>2,195</w:t>
            </w:r>
          </w:p>
        </w:tc>
        <w:tc>
          <w:tcPr>
            <w:tcW w:w="257"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2,994</w:t>
            </w:r>
          </w:p>
        </w:tc>
        <w:tc>
          <w:tcPr>
            <w:tcW w:w="159" w:type="dxa"/>
            <w:tcBorders/>
            <w:shd w:fill="CCEEFF" w:val="clear"/>
            <w:vAlign w:val="bottom"/>
          </w:tcPr>
          <w:p>
            <w:pPr>
              <w:pStyle w:val="TableContents"/>
              <w:bidi w:val="0"/>
              <w:spacing w:before="0" w:after="283"/>
              <w:jc w:val="left"/>
              <w:rPr/>
            </w:pPr>
            <w:r>
              <w:rPr/>
              <w:t> </w:t>
            </w:r>
          </w:p>
        </w:tc>
      </w:tr>
      <w:tr>
        <w:trPr/>
        <w:tc>
          <w:tcPr>
            <w:tcW w:w="4042" w:type="dxa"/>
            <w:tcBorders/>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(77</w:t>
            </w:r>
          </w:p>
        </w:tc>
        <w:tc>
          <w:tcPr>
            <w:tcW w:w="257"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4042"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257"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948" w:type="dxa"/>
            <w:tcBorders/>
            <w:shd w:fill="CCEEFF" w:val="clear"/>
            <w:vAlign w:val="bottom"/>
          </w:tcPr>
          <w:p>
            <w:pPr>
              <w:pStyle w:val="TableContents"/>
              <w:bidi w:val="0"/>
              <w:spacing w:before="0" w:after="283"/>
              <w:jc w:val="right"/>
              <w:rPr/>
            </w:pPr>
            <w:r>
              <w:rPr/>
              <w:t>2,118</w:t>
            </w:r>
          </w:p>
        </w:tc>
        <w:tc>
          <w:tcPr>
            <w:tcW w:w="257"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2,971</w:t>
            </w:r>
          </w:p>
        </w:tc>
        <w:tc>
          <w:tcPr>
            <w:tcW w:w="159" w:type="dxa"/>
            <w:tcBorders/>
            <w:shd w:fill="CCEEFF" w:val="clear"/>
            <w:vAlign w:val="bottom"/>
          </w:tcPr>
          <w:p>
            <w:pPr>
              <w:pStyle w:val="TableContents"/>
              <w:bidi w:val="0"/>
              <w:spacing w:before="0" w:after="283"/>
              <w:jc w:val="left"/>
              <w:rPr/>
            </w:pPr>
            <w:r>
              <w:rPr/>
              <w:t> </w:t>
            </w:r>
          </w:p>
        </w:tc>
      </w:tr>
      <w:tr>
        <w:trPr/>
        <w:tc>
          <w:tcPr>
            <w:tcW w:w="4042"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257"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2023 and 2022 the Company made cash payments for operating leases of $2,771 and $3,167,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future minimum payments of operating lease liabilities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72"/>
        <w:gridCol w:w="1050"/>
        <w:gridCol w:w="526"/>
        <w:gridCol w:w="1434"/>
        <w:gridCol w:w="157"/>
      </w:tblGrid>
      <w:tr>
        <w:trPr/>
        <w:tc>
          <w:tcPr>
            <w:tcW w:w="3772" w:type="dxa"/>
            <w:tcBorders/>
            <w:vAlign w:val="center"/>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7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 2023</w:t>
            </w:r>
          </w:p>
        </w:tc>
        <w:tc>
          <w:tcPr>
            <w:tcW w:w="157" w:type="dxa"/>
            <w:tcBorders/>
            <w:vAlign w:val="bottom"/>
          </w:tcPr>
          <w:p>
            <w:pPr>
              <w:pStyle w:val="TableContents"/>
              <w:bidi w:val="0"/>
              <w:spacing w:before="0" w:after="283"/>
              <w:jc w:val="left"/>
              <w:rPr/>
            </w:pPr>
            <w:r>
              <w:rPr/>
              <w:t> </w:t>
            </w:r>
          </w:p>
        </w:tc>
      </w:tr>
      <w:tr>
        <w:trPr/>
        <w:tc>
          <w:tcPr>
            <w:tcW w:w="3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05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4" w:type="dxa"/>
            <w:tcBorders/>
            <w:shd w:fill="CCEEFF" w:val="clear"/>
            <w:vAlign w:val="bottom"/>
          </w:tcPr>
          <w:p>
            <w:pPr>
              <w:pStyle w:val="TableContents"/>
              <w:bidi w:val="0"/>
              <w:spacing w:before="0" w:after="283"/>
              <w:jc w:val="right"/>
              <w:rPr/>
            </w:pPr>
            <w:r>
              <w:rPr/>
              <w:t>896</w:t>
            </w:r>
          </w:p>
        </w:tc>
        <w:tc>
          <w:tcPr>
            <w:tcW w:w="157" w:type="dxa"/>
            <w:tcBorders/>
            <w:shd w:fill="CCEEFF" w:val="clear"/>
            <w:vAlign w:val="bottom"/>
          </w:tcPr>
          <w:p>
            <w:pPr>
              <w:pStyle w:val="TableContents"/>
              <w:bidi w:val="0"/>
              <w:spacing w:before="0" w:after="283"/>
              <w:jc w:val="left"/>
              <w:rPr/>
            </w:pPr>
            <w:r>
              <w:rPr/>
              <w:t> </w:t>
            </w:r>
          </w:p>
        </w:tc>
      </w:tr>
      <w:tr>
        <w:trPr/>
        <w:tc>
          <w:tcPr>
            <w:tcW w:w="3772"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05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3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05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3772"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05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3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05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3772"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772"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05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w:t>
            </w:r>
          </w:p>
        </w:tc>
        <w:tc>
          <w:tcPr>
            <w:tcW w:w="1434" w:type="dxa"/>
            <w:tcBorders/>
            <w:vAlign w:val="bottom"/>
          </w:tcPr>
          <w:p>
            <w:pPr>
              <w:pStyle w:val="TableContents"/>
              <w:bidi w:val="0"/>
              <w:spacing w:before="0" w:after="283"/>
              <w:jc w:val="right"/>
              <w:rPr/>
            </w:pPr>
            <w:r>
              <w:rPr/>
              <w:t>896</w:t>
            </w:r>
          </w:p>
        </w:tc>
        <w:tc>
          <w:tcPr>
            <w:tcW w:w="157" w:type="dxa"/>
            <w:tcBorders/>
            <w:vAlign w:val="bottom"/>
          </w:tcPr>
          <w:p>
            <w:pPr>
              <w:pStyle w:val="TableContents"/>
              <w:bidi w:val="0"/>
              <w:spacing w:before="0" w:after="283"/>
              <w:jc w:val="left"/>
              <w:rPr/>
            </w:pPr>
            <w:r>
              <w:rPr/>
              <w:t> </w:t>
            </w:r>
          </w:p>
        </w:tc>
      </w:tr>
      <w:tr>
        <w:trPr/>
        <w:tc>
          <w:tcPr>
            <w:tcW w:w="3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05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4" w:type="dxa"/>
            <w:tcBorders/>
            <w:shd w:fill="CCEEFF" w:val="clear"/>
            <w:vAlign w:val="bottom"/>
          </w:tcPr>
          <w:p>
            <w:pPr>
              <w:pStyle w:val="TableContents"/>
              <w:bidi w:val="0"/>
              <w:spacing w:before="0" w:after="283"/>
              <w:jc w:val="right"/>
              <w:rPr/>
            </w:pPr>
            <w:r>
              <w:rPr/>
              <w:t>(18</w:t>
            </w:r>
          </w:p>
        </w:tc>
        <w:tc>
          <w:tcPr>
            <w:tcW w:w="157" w:type="dxa"/>
            <w:tcBorders/>
            <w:shd w:fill="CCEEFF" w:val="clear"/>
            <w:vAlign w:val="bottom"/>
          </w:tcPr>
          <w:p>
            <w:pPr>
              <w:pStyle w:val="TableContents"/>
              <w:bidi w:val="0"/>
              <w:spacing w:before="0" w:after="283"/>
              <w:jc w:val="left"/>
              <w:rPr/>
            </w:pPr>
            <w:r>
              <w:rPr/>
              <w:t>) </w:t>
            </w:r>
          </w:p>
        </w:tc>
      </w:tr>
      <w:tr>
        <w:trPr/>
        <w:tc>
          <w:tcPr>
            <w:tcW w:w="3772"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772"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105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w:t>
            </w:r>
          </w:p>
        </w:tc>
        <w:tc>
          <w:tcPr>
            <w:tcW w:w="1434" w:type="dxa"/>
            <w:tcBorders/>
            <w:vAlign w:val="bottom"/>
          </w:tcPr>
          <w:p>
            <w:pPr>
              <w:pStyle w:val="TableContents"/>
              <w:bidi w:val="0"/>
              <w:spacing w:before="0" w:after="283"/>
              <w:jc w:val="right"/>
              <w:rPr/>
            </w:pPr>
            <w:r>
              <w:rPr/>
              <w:t>878</w:t>
            </w:r>
          </w:p>
        </w:tc>
        <w:tc>
          <w:tcPr>
            <w:tcW w:w="157" w:type="dxa"/>
            <w:tcBorders/>
            <w:vAlign w:val="bottom"/>
          </w:tcPr>
          <w:p>
            <w:pPr>
              <w:pStyle w:val="TableContents"/>
              <w:bidi w:val="0"/>
              <w:spacing w:before="0" w:after="283"/>
              <w:jc w:val="left"/>
              <w:rPr/>
            </w:pPr>
            <w:r>
              <w:rPr/>
              <w:t> </w:t>
            </w:r>
          </w:p>
        </w:tc>
      </w:tr>
      <w:tr>
        <w:trPr/>
        <w:tc>
          <w:tcPr>
            <w:tcW w:w="3772"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weighted average remaining lease term was 0.3 years and the weighted average incremental borrowing rate used to determine the operating lease liability was 16.15%. As of December 31, 2022, the weighted average remaining lease term was 0.9 years and the weighted average incremental borrowing rate used to determine the operating lease liability was 10.58%. </w:t>
      </w:r>
    </w:p>
    <w:p>
      <w:pPr>
        <w:pStyle w:val="TextBody"/>
        <w:bidi w:val="0"/>
        <w:spacing w:before="360" w:after="0"/>
        <w:jc w:val="left"/>
        <w:rPr>
          <w:rFonts w:ascii="Times New Roman" w:hAnsi="Times New Roman"/>
          <w:b/>
          <w:sz w:val="20"/>
        </w:rPr>
      </w:pPr>
      <w:r>
        <w:rPr>
          <w:rFonts w:ascii="Times New Roman" w:hAnsi="Times New Roman"/>
          <w:b/>
          <w:sz w:val="20"/>
        </w:rPr>
        <w:t xml:space="preserve">7. Note Payable </w:t>
      </w:r>
    </w:p>
    <w:p>
      <w:pPr>
        <w:pStyle w:val="TextBody"/>
        <w:bidi w:val="0"/>
        <w:spacing w:before="120" w:after="0"/>
        <w:jc w:val="left"/>
        <w:rPr>
          <w:rFonts w:ascii="Times New Roman" w:hAnsi="Times New Roman"/>
          <w:sz w:val="20"/>
        </w:rPr>
      </w:pPr>
      <w:r>
        <w:rPr>
          <w:rFonts w:ascii="Times New Roman" w:hAnsi="Times New Roman"/>
          <w:sz w:val="20"/>
        </w:rPr>
        <w:t xml:space="preserve">On November 2, 2021 (the Closing Date), the Company entered into a Loan and Security Agreement (the Loan Agreement) with Silicon Valley Bank pursuant to which a term loan in an aggregate principal amount of up to $50,000 (the Term Loan Facility) was available to the Company in three tranches, subject to certain terms and conditions. The first tranche of $15,000 was advanced to the Company on the Closing Date. Subject to the terms and conditions of the Loan Agreement, the first tranche allowed the Company to borrow an additional $15,000 through October 31, 2023. Upon satisfaction of certain milestones, the second and third tranches were available under the Term Loan Facility which allowed the Company to borrow an additional amount up to $10,000 in each tranche through October 31, 2023. Additionally, the Company could seek to borrow up to an additional $15,000 at the sole discretion of the lender through the term of the Loan Agreement. The Loan Agreement provided for an October 1, 2026 maturity date (the Maturity Date). The Company was required to pay an end of term fee (End of Term Charge) equal to 9.00% of the aggregate principal amount of the Term Loan advances upon repayment. </w:t>
      </w:r>
    </w:p>
    <w:p>
      <w:pPr>
        <w:pStyle w:val="TextBody"/>
        <w:bidi w:val="0"/>
        <w:spacing w:before="240" w:after="0"/>
        <w:jc w:val="left"/>
        <w:rPr>
          <w:rFonts w:ascii="Times New Roman" w:hAnsi="Times New Roman"/>
          <w:sz w:val="20"/>
        </w:rPr>
      </w:pPr>
      <w:r>
        <w:rPr>
          <w:rFonts w:ascii="Times New Roman" w:hAnsi="Times New Roman"/>
          <w:sz w:val="20"/>
        </w:rPr>
        <w:t xml:space="preserve">Advances under the Term Loan Facility bore interest at a rate equal to the greater of either (i) the Prime Rate (as reported in The Wall Street Journal) plus 4.85%, and (ii) 8.10%. The Company was obligated to make interest only payments through November 1, 2024. Following the interest only period, the Company was to repay the principal balance and interest of the advances in equal monthly installments through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could prepay advances under the Loan Agreement, in whole or in part, at any time subject to a prepayment charge (the Prepayment Premium) equal to: (a) 1.50% of amounts so prepaid, if such prepayment occurred during the first year following the Closing Date; (b) 1.00% of the amount so prepaid, if such prepayment occurred during the second year following the Closing Date, and (c) 0.00% of the amount so prepaid, if such prepayment occurred after the second year following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Upon prepayment or repayment of all or any of the term loans under the Term Loan Facility, the Company was required to pay (in addition to any Prepayment Premium) an end of term charge of 9.0% of the aggregate funded amount under the Term Loan Facility. </w:t>
      </w:r>
    </w:p>
    <w:p>
      <w:pPr>
        <w:pStyle w:val="TextBody"/>
        <w:bidi w:val="0"/>
        <w:spacing w:before="240" w:after="0"/>
        <w:jc w:val="left"/>
        <w:rPr>
          <w:rFonts w:ascii="Times New Roman" w:hAnsi="Times New Roman"/>
          <w:sz w:val="20"/>
        </w:rPr>
      </w:pPr>
      <w:r>
        <w:rPr>
          <w:rFonts w:ascii="Times New Roman" w:hAnsi="Times New Roman"/>
          <w:sz w:val="20"/>
        </w:rPr>
        <w:t xml:space="preserve">The Term Loan Facility was secured by substantially all of the Companys assets, other than the Companys intellectual property. The Company agreed to not pledge or secure its intellectual property to others.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was approximately 16.29%. </w:t>
      </w:r>
    </w:p>
    <w:p>
      <w:pPr>
        <w:pStyle w:val="TextBody"/>
        <w:bidi w:val="0"/>
        <w:spacing w:before="240" w:after="0"/>
        <w:jc w:val="left"/>
        <w:rPr>
          <w:rFonts w:ascii="Times New Roman" w:hAnsi="Times New Roman"/>
          <w:sz w:val="20"/>
        </w:rPr>
      </w:pPr>
      <w:r>
        <w:rPr>
          <w:rFonts w:ascii="Times New Roman" w:hAnsi="Times New Roman"/>
          <w:sz w:val="20"/>
        </w:rPr>
        <w:t xml:space="preserve">On June 9, 2023, upon the closing of the Asset Sale, all outstanding amounts due and owed, including principal, interest, and other charges, under the Term Loan Facility,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 carrying value of the note payable consists of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90"/>
        <w:gridCol w:w="888"/>
        <w:gridCol w:w="333"/>
        <w:gridCol w:w="1671"/>
        <w:gridCol w:w="157"/>
      </w:tblGrid>
      <w:tr>
        <w:trPr/>
        <w:tc>
          <w:tcPr>
            <w:tcW w:w="3890" w:type="dxa"/>
            <w:tcBorders/>
            <w:vAlign w:val="center"/>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left"/>
              <w:rPr/>
            </w:pPr>
            <w:r>
              <w:rPr/>
              <w:t>  </w:t>
            </w:r>
          </w:p>
        </w:tc>
        <w:tc>
          <w:tcPr>
            <w:tcW w:w="2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7" w:type="dxa"/>
            <w:tcBorders/>
            <w:vAlign w:val="bottom"/>
          </w:tcPr>
          <w:p>
            <w:pPr>
              <w:pStyle w:val="TableContents"/>
              <w:bidi w:val="0"/>
              <w:spacing w:before="0" w:after="283"/>
              <w:jc w:val="left"/>
              <w:rPr/>
            </w:pPr>
            <w:r>
              <w:rPr/>
              <w:t> </w:t>
            </w:r>
          </w:p>
        </w:tc>
      </w:tr>
      <w:tr>
        <w:trPr/>
        <w:tc>
          <w:tcPr>
            <w:tcW w:w="3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 payable, including End of Term Charge</w:t>
            </w:r>
          </w:p>
        </w:tc>
        <w:tc>
          <w:tcPr>
            <w:tcW w:w="888"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71" w:type="dxa"/>
            <w:tcBorders/>
            <w:shd w:fill="CCEEFF" w:val="clear"/>
            <w:vAlign w:val="bottom"/>
          </w:tcPr>
          <w:p>
            <w:pPr>
              <w:pStyle w:val="TableContents"/>
              <w:bidi w:val="0"/>
              <w:spacing w:before="0" w:after="283"/>
              <w:jc w:val="right"/>
              <w:rPr/>
            </w:pPr>
            <w:r>
              <w:rPr/>
              <w:t>16,350</w:t>
            </w:r>
          </w:p>
        </w:tc>
        <w:tc>
          <w:tcPr>
            <w:tcW w:w="157" w:type="dxa"/>
            <w:tcBorders/>
            <w:shd w:fill="CCEEFF" w:val="clear"/>
            <w:vAlign w:val="bottom"/>
          </w:tcPr>
          <w:p>
            <w:pPr>
              <w:pStyle w:val="TableContents"/>
              <w:bidi w:val="0"/>
              <w:spacing w:before="0" w:after="283"/>
              <w:jc w:val="left"/>
              <w:rPr/>
            </w:pPr>
            <w:r>
              <w:rPr/>
              <w:t> </w:t>
            </w:r>
          </w:p>
        </w:tc>
      </w:tr>
      <w:tr>
        <w:trPr/>
        <w:tc>
          <w:tcPr>
            <w:tcW w:w="3890" w:type="dxa"/>
            <w:tcBorders/>
          </w:tcPr>
          <w:p>
            <w:pPr>
              <w:pStyle w:val="TableContents"/>
              <w:bidi w:val="0"/>
              <w:spacing w:before="0" w:after="0"/>
              <w:jc w:val="left"/>
              <w:rPr>
                <w:rFonts w:ascii="Times New Roman" w:hAnsi="Times New Roman"/>
                <w:sz w:val="20"/>
              </w:rPr>
            </w:pPr>
            <w:r>
              <w:rPr>
                <w:rFonts w:ascii="Times New Roman" w:hAnsi="Times New Roman"/>
                <w:sz w:val="20"/>
              </w:rPr>
              <w:t>Debt discount, net of accretion</w:t>
            </w:r>
          </w:p>
        </w:tc>
        <w:tc>
          <w:tcPr>
            <w:tcW w:w="888"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right"/>
              <w:rPr/>
            </w:pPr>
            <w:r>
              <w:rPr/>
              <w:t>(1,074</w:t>
            </w:r>
          </w:p>
        </w:tc>
        <w:tc>
          <w:tcPr>
            <w:tcW w:w="157"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7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8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 payable, net of discount, long-term</w:t>
            </w:r>
          </w:p>
        </w:tc>
        <w:tc>
          <w:tcPr>
            <w:tcW w:w="888"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71" w:type="dxa"/>
            <w:tcBorders/>
            <w:shd w:fill="CCEEFF" w:val="clear"/>
            <w:vAlign w:val="bottom"/>
          </w:tcPr>
          <w:p>
            <w:pPr>
              <w:pStyle w:val="TableContents"/>
              <w:bidi w:val="0"/>
              <w:spacing w:before="0" w:after="283"/>
              <w:jc w:val="right"/>
              <w:rPr/>
            </w:pPr>
            <w:r>
              <w:rPr/>
              <w:t>15,276</w:t>
            </w:r>
          </w:p>
        </w:tc>
        <w:tc>
          <w:tcPr>
            <w:tcW w:w="157"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7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 Company recognized $1,917 of interest expense related to the Loan Agreement, of which $939 is related to the loss on the extinguishment of debt due to the write off of the debt discount balance, which is reflected in other expense, net on the consolidated statements of operations and comprehensive loss. During year ended December 31, 2022, the Company recognized $1,808 of interest expense related to the Loan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and 2022, the authorized capital stock of the Company included 150,000,000 shares of common stock, $0.0001 par value, and 10,000,000 shares of undesignated preferred stock. As of December 31, 2023 and 2022, no undesignated shares of preferred stock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Through December 31, 2023, no cash dividends have been declared or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In July 2019, the Company closed an underwritten public offering of 7,475,000 shares of its common stock at a public offering price of $18.50 per share (the July 2019 Follow-on Offering), which included 975,000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the Companys common stock resulting from the full exercise of the underwriters option to purchase additional shares at the public offering price, less underwriting discounts and commissions. The net proceeds to the Company from the July 2019 Follow-on Offering, after deducting underwriting discounts and commissions and other offering expenses payable by the Company, were $129,464.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2020, the Company closed an underwritten public offering of 4,350,000 shares of its common stock at a public offering price of $23.00 per share (the February 2020 Follow-on Offering). The net proceeds to the Company from the February 2020 Follow-on Offering, after deducting underwriting discounts and commissions and other offering expenses payable by the Company, were $93,627. </w:t>
      </w:r>
    </w:p>
    <w:p>
      <w:pPr>
        <w:pStyle w:val="TextBody"/>
        <w:bidi w:val="0"/>
        <w:spacing w:before="240" w:after="0"/>
        <w:jc w:val="left"/>
        <w:rPr>
          <w:rFonts w:ascii="Times New Roman" w:hAnsi="Times New Roman"/>
          <w:sz w:val="20"/>
        </w:rPr>
      </w:pPr>
      <w:r>
        <w:rPr>
          <w:rFonts w:ascii="Times New Roman" w:hAnsi="Times New Roman"/>
          <w:sz w:val="20"/>
        </w:rPr>
        <w:t xml:space="preserve">In June 2020, the Company sold an aggregate of 384,140 shares of common stock under its 2019 at-the-market facility (the 2019 ATM Facility) for net proceeds, after deducting commissions and other offering expenses payable by the Company, of $8,130.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2020, the Company closed an underwritten public offering of 5,000,000 shares of its common stock at a public offering price of $15.00 per share (the November 2020 Follow-on Offering). The net proceeds to the Company from the November 2020 Follow-on Offering, after deducting underwriting discounts and commissions and other offering expenses payable by the Company, were $70,221. </w:t>
      </w:r>
    </w:p>
    <w:p>
      <w:pPr>
        <w:pStyle w:val="TextBody"/>
        <w:bidi w:val="0"/>
        <w:spacing w:before="240" w:after="0"/>
        <w:jc w:val="left"/>
        <w:rPr>
          <w:rFonts w:ascii="Times New Roman" w:hAnsi="Times New Roman"/>
          <w:sz w:val="20"/>
        </w:rPr>
      </w:pPr>
      <w:r>
        <w:rPr>
          <w:rFonts w:ascii="Times New Roman" w:hAnsi="Times New Roman"/>
          <w:sz w:val="20"/>
        </w:rPr>
        <w:t xml:space="preserve">In May 2021, the Company sold an aggregate of 1,829,268 shares of common stock under the 2019 ATM Facility for net proceeds, after deducting commissions and other offering expenses payable by the Company, of $14,550. </w:t>
      </w:r>
    </w:p>
    <w:p>
      <w:pPr>
        <w:pStyle w:val="TextBody"/>
        <w:bidi w:val="0"/>
        <w:spacing w:before="240" w:after="0"/>
        <w:jc w:val="left"/>
        <w:rPr>
          <w:rFonts w:ascii="Times New Roman" w:hAnsi="Times New Roman"/>
          <w:sz w:val="20"/>
        </w:rPr>
      </w:pPr>
      <w:r>
        <w:rPr>
          <w:rFonts w:ascii="Times New Roman" w:hAnsi="Times New Roman"/>
          <w:sz w:val="20"/>
        </w:rPr>
        <w:t xml:space="preserve">There were no public offerings during the years ended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Reserved for Future Issuance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and 2022, the Company has reserved the following shares of common stock for future issuance: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76"/>
        <w:gridCol w:w="304"/>
        <w:gridCol w:w="60"/>
        <w:gridCol w:w="1114"/>
        <w:gridCol w:w="60"/>
        <w:gridCol w:w="304"/>
        <w:gridCol w:w="60"/>
        <w:gridCol w:w="1114"/>
        <w:gridCol w:w="63"/>
      </w:tblGrid>
      <w:tr>
        <w:trPr/>
        <w:tc>
          <w:tcPr>
            <w:tcW w:w="4676"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76"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7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4676"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 of outstanding stock options</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5,142,272</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9,423,271</w:t>
            </w:r>
          </w:p>
        </w:tc>
        <w:tc>
          <w:tcPr>
            <w:tcW w:w="63" w:type="dxa"/>
            <w:tcBorders/>
            <w:shd w:fill="CCEEFF" w:val="clear"/>
            <w:vAlign w:val="bottom"/>
          </w:tcPr>
          <w:p>
            <w:pPr>
              <w:pStyle w:val="TableContents"/>
              <w:bidi w:val="0"/>
              <w:spacing w:before="0" w:after="283"/>
              <w:jc w:val="left"/>
              <w:rPr/>
            </w:pPr>
            <w:r>
              <w:rPr/>
              <w:t> </w:t>
            </w:r>
          </w:p>
        </w:tc>
      </w:tr>
      <w:tr>
        <w:trPr/>
        <w:tc>
          <w:tcPr>
            <w:tcW w:w="4676"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936,358</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940,392</w:t>
            </w:r>
          </w:p>
        </w:tc>
        <w:tc>
          <w:tcPr>
            <w:tcW w:w="63" w:type="dxa"/>
            <w:tcBorders/>
            <w:vAlign w:val="bottom"/>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2018 Stock Option and Incentive Plan</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7,978,667</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5,005,295</w:t>
            </w:r>
          </w:p>
        </w:tc>
        <w:tc>
          <w:tcPr>
            <w:tcW w:w="63" w:type="dxa"/>
            <w:tcBorders/>
            <w:shd w:fill="CCEEFF" w:val="clear"/>
            <w:vAlign w:val="bottom"/>
          </w:tcPr>
          <w:p>
            <w:pPr>
              <w:pStyle w:val="TableContents"/>
              <w:bidi w:val="0"/>
              <w:spacing w:before="0" w:after="283"/>
              <w:jc w:val="left"/>
              <w:rPr/>
            </w:pPr>
            <w:r>
              <w:rPr/>
              <w:t> </w:t>
            </w:r>
          </w:p>
        </w:tc>
      </w:tr>
      <w:tr>
        <w:trPr/>
        <w:tc>
          <w:tcPr>
            <w:tcW w:w="4676"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2018 Employee Stock Purchase Plan</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1,771,748</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1,467,026</w:t>
            </w:r>
          </w:p>
        </w:tc>
        <w:tc>
          <w:tcPr>
            <w:tcW w:w="63" w:type="dxa"/>
            <w:tcBorders/>
            <w:vAlign w:val="bottom"/>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2019 Inducement Plan</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1,407,211</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786,656</w:t>
            </w:r>
          </w:p>
        </w:tc>
        <w:tc>
          <w:tcPr>
            <w:tcW w:w="63" w:type="dxa"/>
            <w:tcBorders/>
            <w:shd w:fill="CCEEFF" w:val="clear"/>
            <w:vAlign w:val="bottom"/>
          </w:tcPr>
          <w:p>
            <w:pPr>
              <w:pStyle w:val="TableContents"/>
              <w:bidi w:val="0"/>
              <w:spacing w:before="0" w:after="283"/>
              <w:jc w:val="left"/>
              <w:rPr/>
            </w:pPr>
            <w:r>
              <w:rPr/>
              <w:t> </w:t>
            </w:r>
          </w:p>
        </w:tc>
      </w:tr>
      <w:tr>
        <w:trPr/>
        <w:tc>
          <w:tcPr>
            <w:tcW w:w="4676"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2020 Inducement Plan</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1,700,000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1,637,000</w:t>
            </w:r>
          </w:p>
        </w:tc>
        <w:tc>
          <w:tcPr>
            <w:tcW w:w="63" w:type="dxa"/>
            <w:tcBorders/>
            <w:vAlign w:val="bottom"/>
          </w:tcPr>
          <w:p>
            <w:pPr>
              <w:pStyle w:val="TableContents"/>
              <w:bidi w:val="0"/>
              <w:spacing w:before="0" w:after="283"/>
              <w:jc w:val="left"/>
              <w:rPr/>
            </w:pPr>
            <w:r>
              <w:rPr/>
              <w:t> </w:t>
            </w:r>
          </w:p>
        </w:tc>
      </w:tr>
      <w:tr>
        <w:trPr/>
        <w:tc>
          <w:tcPr>
            <w:tcW w:w="4676"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shares of authorized common stock reserved for future issuance</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18,936,256</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19,259,640</w:t>
            </w:r>
          </w:p>
        </w:tc>
        <w:tc>
          <w:tcPr>
            <w:tcW w:w="63" w:type="dxa"/>
            <w:tcBorders/>
            <w:shd w:fill="CCEEFF" w:val="clear"/>
            <w:vAlign w:val="bottom"/>
          </w:tcPr>
          <w:p>
            <w:pPr>
              <w:pStyle w:val="TableContents"/>
              <w:bidi w:val="0"/>
              <w:spacing w:before="0" w:after="283"/>
              <w:jc w:val="left"/>
              <w:rPr/>
            </w:pPr>
            <w:r>
              <w:rPr/>
              <w:t> </w:t>
            </w:r>
          </w:p>
        </w:tc>
      </w:tr>
      <w:tr>
        <w:trPr/>
        <w:tc>
          <w:tcPr>
            <w:tcW w:w="4676"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Amended and Restated 2015 Stock Option and Grant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Amended and Restated 2015 Stock Option and Grant Plan, (the 2015 Plan) provides for the Company to issue restricted stock awards and restricted stock units, or to grant incentive stock options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common shares that may be issued under the 2015 Plan was 2,008,564 shares. Following the IPO, no further grants have been made under 2015 plan. </w:t>
      </w:r>
    </w:p>
    <w:p>
      <w:pPr>
        <w:pStyle w:val="TextBody"/>
        <w:bidi w:val="0"/>
        <w:spacing w:before="240" w:after="0"/>
        <w:jc w:val="left"/>
        <w:rPr>
          <w:rFonts w:ascii="Times New Roman" w:hAnsi="Times New Roman"/>
          <w:sz w:val="20"/>
        </w:rPr>
      </w:pPr>
      <w:r>
        <w:rPr>
          <w:rFonts w:ascii="Times New Roman" w:hAnsi="Times New Roman"/>
          <w:sz w:val="20"/>
        </w:rPr>
        <w:t xml:space="preserve">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 </w:t>
      </w:r>
    </w:p>
    <w:p>
      <w:pPr>
        <w:pStyle w:val="TextBody"/>
        <w:bidi w:val="0"/>
        <w:spacing w:before="240" w:after="0"/>
        <w:jc w:val="left"/>
        <w:rPr>
          <w:rFonts w:ascii="Times New Roman" w:hAnsi="Times New Roman"/>
          <w:sz w:val="20"/>
        </w:rPr>
      </w:pPr>
      <w:r>
        <w:rPr>
          <w:rFonts w:ascii="Times New Roman" w:hAnsi="Times New Roman"/>
          <w:sz w:val="20"/>
        </w:rPr>
        <w:t xml:space="preserve">The 2015 Plan is administered by the Board. Equity awards granted to employees and members of the Board typically vest over four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2018 Stock Option and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available for future grant under the 2018 Plan was 7,978,667 as of December 31, 2023, which does not include the shares added to the 2018 Plan reserve on January 1, 2024 as a result of the Plan Evergreen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2023 and 2022, the Company granted options to purchase 123,501 and, 5,369,650 shares, respectively, of common stock to employees, nonemployees and members of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2018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With respect to the January 1, 2024 ESPP Evergreen, the Companys Compensation Committee opted to allocate zero additional shares to the ESPP share reserve. The number of shares reserved under the ESPP is subject to adjustment in the event of a stock split, stock dividend or other change in the Companys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2023 and 2022, the Company issued 134,439 and 120,947 shares, respectively of common stock. The total number of shares of common stock available for future grant was 1,771,748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Inducement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reserved 1,800,000 shares of its common stock for the issuance of awards under the 2019 Plan.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available for future grant under the 2019 Plan was 1,407,211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2020 Inducement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 reserved for persons to whom the Company may issue securities without stockholder approval as an inducement pursuant to Rule 5635(c)(4) of the Nasdaq marketplace rules.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reserved 1,700,000 shares of its common stock for the issuance of awards under the 2020 Plan.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available for future grant under the 2020 Plan was 1,700,000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 Valuation </w:t>
      </w:r>
    </w:p>
    <w:p>
      <w:pPr>
        <w:pStyle w:val="TextBody"/>
        <w:bidi w:val="0"/>
        <w:spacing w:before="120" w:after="0"/>
        <w:jc w:val="left"/>
        <w:rPr>
          <w:rFonts w:ascii="Times New Roman" w:hAnsi="Times New Roman"/>
          <w:sz w:val="20"/>
        </w:rPr>
      </w:pPr>
      <w:r>
        <w:rPr>
          <w:rFonts w:ascii="Times New Roman" w:hAnsi="Times New Roman"/>
          <w:sz w:val="20"/>
        </w:rPr>
        <w:t xml:space="preserve">The assumptions that the Company used to determine the grant-date fair value of stock options granted to employees and members of the Board were as follows, presented on a weighted-average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02"/>
        <w:gridCol w:w="496"/>
        <w:gridCol w:w="101"/>
        <w:gridCol w:w="989"/>
        <w:gridCol w:w="464"/>
        <w:gridCol w:w="533"/>
        <w:gridCol w:w="101"/>
        <w:gridCol w:w="991"/>
        <w:gridCol w:w="278"/>
      </w:tblGrid>
      <w:tr>
        <w:trPr/>
        <w:tc>
          <w:tcPr>
            <w:tcW w:w="3802"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802"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31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8" w:type="dxa"/>
            <w:tcBorders/>
            <w:vAlign w:val="bottom"/>
          </w:tcPr>
          <w:p>
            <w:pPr>
              <w:pStyle w:val="TableContents"/>
              <w:bidi w:val="0"/>
              <w:spacing w:before="0" w:after="283"/>
              <w:jc w:val="left"/>
              <w:rPr/>
            </w:pPr>
            <w:r>
              <w:rPr/>
              <w:t> </w:t>
            </w:r>
          </w:p>
        </w:tc>
      </w:tr>
      <w:tr>
        <w:trPr/>
        <w:tc>
          <w:tcPr>
            <w:tcW w:w="3802"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464"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8" w:type="dxa"/>
            <w:tcBorders/>
            <w:vAlign w:val="bottom"/>
          </w:tcPr>
          <w:p>
            <w:pPr>
              <w:pStyle w:val="TableContents"/>
              <w:bidi w:val="0"/>
              <w:spacing w:before="0" w:after="283"/>
              <w:jc w:val="left"/>
              <w:rPr/>
            </w:pPr>
            <w:r>
              <w:rPr/>
              <w:t> </w:t>
            </w:r>
          </w:p>
        </w:tc>
      </w:tr>
      <w:tr>
        <w:trPr/>
        <w:tc>
          <w:tcPr>
            <w:tcW w:w="3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option life (years)</w:t>
            </w:r>
          </w:p>
        </w:tc>
        <w:tc>
          <w:tcPr>
            <w:tcW w:w="49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6.00</w:t>
            </w:r>
          </w:p>
        </w:tc>
        <w:tc>
          <w:tcPr>
            <w:tcW w:w="464"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5.98</w:t>
            </w:r>
          </w:p>
        </w:tc>
        <w:tc>
          <w:tcPr>
            <w:tcW w:w="278" w:type="dxa"/>
            <w:tcBorders/>
            <w:shd w:fill="CCEEFF" w:val="clear"/>
            <w:vAlign w:val="bottom"/>
          </w:tcPr>
          <w:p>
            <w:pPr>
              <w:pStyle w:val="TableContents"/>
              <w:bidi w:val="0"/>
              <w:spacing w:before="0" w:after="283"/>
              <w:jc w:val="left"/>
              <w:rPr/>
            </w:pPr>
            <w:r>
              <w:rPr/>
              <w:t> </w:t>
            </w:r>
          </w:p>
        </w:tc>
      </w:tr>
      <w:tr>
        <w:trPr/>
        <w:tc>
          <w:tcPr>
            <w:tcW w:w="3802"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9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3.82</w:t>
            </w:r>
          </w:p>
        </w:tc>
        <w:tc>
          <w:tcPr>
            <w:tcW w:w="464"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2.47</w:t>
            </w:r>
          </w:p>
        </w:tc>
        <w:tc>
          <w:tcPr>
            <w:tcW w:w="278" w:type="dxa"/>
            <w:tcBorders/>
            <w:vAlign w:val="bottom"/>
          </w:tcPr>
          <w:p>
            <w:pPr>
              <w:pStyle w:val="TableContents"/>
              <w:bidi w:val="0"/>
              <w:spacing w:before="0" w:after="283"/>
              <w:jc w:val="left"/>
              <w:rPr/>
            </w:pPr>
            <w:r>
              <w:rPr/>
              <w:t>% </w:t>
            </w:r>
          </w:p>
        </w:tc>
      </w:tr>
      <w:tr>
        <w:trPr/>
        <w:tc>
          <w:tcPr>
            <w:tcW w:w="3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9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83.36</w:t>
            </w:r>
          </w:p>
        </w:tc>
        <w:tc>
          <w:tcPr>
            <w:tcW w:w="464"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80.43</w:t>
            </w:r>
          </w:p>
        </w:tc>
        <w:tc>
          <w:tcPr>
            <w:tcW w:w="278" w:type="dxa"/>
            <w:tcBorders/>
            <w:shd w:fill="CCEEFF" w:val="clear"/>
            <w:vAlign w:val="bottom"/>
          </w:tcPr>
          <w:p>
            <w:pPr>
              <w:pStyle w:val="TableContents"/>
              <w:bidi w:val="0"/>
              <w:spacing w:before="0" w:after="283"/>
              <w:jc w:val="left"/>
              <w:rPr/>
            </w:pPr>
            <w:r>
              <w:rPr/>
              <w:t>% </w:t>
            </w:r>
          </w:p>
        </w:tc>
      </w:tr>
      <w:tr>
        <w:trPr/>
        <w:tc>
          <w:tcPr>
            <w:tcW w:w="3802"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49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64"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Companys stock option activity 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48"/>
        <w:gridCol w:w="333"/>
        <w:gridCol w:w="60"/>
        <w:gridCol w:w="1071"/>
        <w:gridCol w:w="155"/>
        <w:gridCol w:w="333"/>
        <w:gridCol w:w="262"/>
        <w:gridCol w:w="821"/>
        <w:gridCol w:w="60"/>
        <w:gridCol w:w="333"/>
        <w:gridCol w:w="159"/>
        <w:gridCol w:w="1206"/>
        <w:gridCol w:w="60"/>
        <w:gridCol w:w="333"/>
        <w:gridCol w:w="288"/>
        <w:gridCol w:w="795"/>
        <w:gridCol w:w="71"/>
      </w:tblGrid>
      <w:tr>
        <w:trPr/>
        <w:tc>
          <w:tcPr>
            <w:tcW w:w="3048"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048"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71" w:type="dxa"/>
            <w:tcBorders/>
            <w:vAlign w:val="bottom"/>
          </w:tcPr>
          <w:p>
            <w:pPr>
              <w:pStyle w:val="TableContents"/>
              <w:bidi w:val="0"/>
              <w:spacing w:before="0" w:after="283"/>
              <w:jc w:val="left"/>
              <w:rPr/>
            </w:pPr>
            <w:r>
              <w:rPr/>
              <w:t> </w:t>
            </w:r>
          </w:p>
        </w:tc>
      </w:tr>
      <w:tr>
        <w:trPr/>
        <w:tc>
          <w:tcPr>
            <w:tcW w:w="3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2022</w:t>
            </w:r>
          </w:p>
        </w:tc>
        <w:tc>
          <w:tcPr>
            <w:tcW w:w="3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9,423,271</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7.26</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8.14</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22</w:t>
            </w:r>
          </w:p>
        </w:tc>
        <w:tc>
          <w:tcPr>
            <w:tcW w:w="71" w:type="dxa"/>
            <w:tcBorders/>
            <w:shd w:fill="CCEEFF" w:val="clear"/>
            <w:vAlign w:val="bottom"/>
          </w:tcPr>
          <w:p>
            <w:pPr>
              <w:pStyle w:val="TableContents"/>
              <w:bidi w:val="0"/>
              <w:spacing w:before="0" w:after="283"/>
              <w:jc w:val="left"/>
              <w:rPr/>
            </w:pPr>
            <w:r>
              <w:rPr/>
              <w:t> </w:t>
            </w:r>
          </w:p>
        </w:tc>
      </w:tr>
      <w:tr>
        <w:trPr/>
        <w:tc>
          <w:tcPr>
            <w:tcW w:w="304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123,501</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(297,604</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9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048" w:type="dxa"/>
            <w:tcBorders/>
          </w:tcPr>
          <w:p>
            <w:pPr>
              <w:pStyle w:val="TableContents"/>
              <w:bidi w:val="0"/>
              <w:spacing w:before="0" w:after="0"/>
              <w:jc w:val="left"/>
              <w:rPr>
                <w:rFonts w:ascii="Times New Roman" w:hAnsi="Times New Roman"/>
                <w:sz w:val="20"/>
              </w:rPr>
            </w:pPr>
            <w:r>
              <w:rPr>
                <w:rFonts w:ascii="Times New Roman" w:hAnsi="Times New Roman"/>
                <w:sz w:val="20"/>
              </w:rPr>
              <w:t>Cancelled or forfeited</w:t>
            </w:r>
          </w:p>
        </w:tc>
        <w:tc>
          <w:tcPr>
            <w:tcW w:w="3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(4,106,896</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7.44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048"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3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5,142,272</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7.33</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6.24</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663</w:t>
            </w:r>
          </w:p>
        </w:tc>
        <w:tc>
          <w:tcPr>
            <w:tcW w:w="71" w:type="dxa"/>
            <w:tcBorders/>
            <w:shd w:fill="CCEEFF" w:val="clear"/>
            <w:vAlign w:val="bottom"/>
          </w:tcPr>
          <w:p>
            <w:pPr>
              <w:pStyle w:val="TableContents"/>
              <w:bidi w:val="0"/>
              <w:spacing w:before="0" w:after="283"/>
              <w:jc w:val="left"/>
              <w:rPr/>
            </w:pPr>
            <w:r>
              <w:rPr/>
              <w:t> </w:t>
            </w:r>
          </w:p>
        </w:tc>
      </w:tr>
      <w:tr>
        <w:trPr/>
        <w:tc>
          <w:tcPr>
            <w:tcW w:w="3048"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048"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2023</w:t>
            </w:r>
          </w:p>
        </w:tc>
        <w:tc>
          <w:tcPr>
            <w:tcW w:w="3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3,670,053</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8.84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5.44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95" w:type="dxa"/>
            <w:tcBorders/>
            <w:vAlign w:val="bottom"/>
          </w:tcPr>
          <w:p>
            <w:pPr>
              <w:pStyle w:val="TableContents"/>
              <w:bidi w:val="0"/>
              <w:spacing w:before="0" w:after="283"/>
              <w:jc w:val="right"/>
              <w:rPr/>
            </w:pPr>
            <w:r>
              <w:rPr/>
              <w:t>376</w:t>
            </w:r>
          </w:p>
        </w:tc>
        <w:tc>
          <w:tcPr>
            <w:tcW w:w="7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options exercised during the years ended December 31, 2023 and 2022 was $123 and $50,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grant-date fair value of the Companys stock options granted during the years ended December 31, 2023 and 2022 was $0.79 and $0.99,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granted restricted common stock (or restricted stock awards) with time-based vesting conditions to certain employees of the Company. The purchase price of the restricted stock awards are determined by the Board. Unvested shares of restricted stock awards may not be sold or transferred by the holder. These restrictions lapse according to the time- 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units represent an unsecured promise to grant at no cost a set number of shares of common stock upon vesting. With respect to restricted stock units, recipients are not entitled to cash dividends and have no voting rights during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award and restricted stock unit activity for the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1"/>
        <w:gridCol w:w="447"/>
        <w:gridCol w:w="60"/>
        <w:gridCol w:w="1065"/>
        <w:gridCol w:w="155"/>
        <w:gridCol w:w="447"/>
        <w:gridCol w:w="292"/>
        <w:gridCol w:w="904"/>
        <w:gridCol w:w="64"/>
      </w:tblGrid>
      <w:tr>
        <w:trPr/>
        <w:tc>
          <w:tcPr>
            <w:tcW w:w="4321"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w:t>
            </w:r>
          </w:p>
        </w:tc>
        <w:tc>
          <w:tcPr>
            <w:tcW w:w="64"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unvested as of December 31, 2022</w:t>
            </w:r>
          </w:p>
        </w:tc>
        <w:tc>
          <w:tcPr>
            <w:tcW w:w="4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940,392</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3.62</w:t>
            </w:r>
          </w:p>
        </w:tc>
        <w:tc>
          <w:tcPr>
            <w:tcW w:w="64" w:type="dxa"/>
            <w:tcBorders/>
            <w:shd w:fill="CCEEFF" w:val="clear"/>
            <w:vAlign w:val="bottom"/>
          </w:tcPr>
          <w:p>
            <w:pPr>
              <w:pStyle w:val="TableContents"/>
              <w:bidi w:val="0"/>
              <w:spacing w:before="0" w:after="283"/>
              <w:jc w:val="left"/>
              <w:rPr/>
            </w:pPr>
            <w:r>
              <w:rPr/>
              <w:t> </w:t>
            </w:r>
          </w:p>
        </w:tc>
      </w:tr>
      <w:tr>
        <w:trPr/>
        <w:tc>
          <w:tcPr>
            <w:tcW w:w="432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1,548,117</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1.65</w:t>
            </w:r>
          </w:p>
        </w:tc>
        <w:tc>
          <w:tcPr>
            <w:tcW w:w="64"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(305,502</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4.74</w:t>
            </w:r>
          </w:p>
        </w:tc>
        <w:tc>
          <w:tcPr>
            <w:tcW w:w="64" w:type="dxa"/>
            <w:tcBorders/>
            <w:shd w:fill="CCEEFF" w:val="clear"/>
            <w:vAlign w:val="bottom"/>
          </w:tcPr>
          <w:p>
            <w:pPr>
              <w:pStyle w:val="TableContents"/>
              <w:bidi w:val="0"/>
              <w:spacing w:before="0" w:after="283"/>
              <w:jc w:val="left"/>
              <w:rPr/>
            </w:pPr>
            <w:r>
              <w:rPr/>
              <w:t> </w:t>
            </w:r>
          </w:p>
        </w:tc>
      </w:tr>
      <w:tr>
        <w:trPr/>
        <w:tc>
          <w:tcPr>
            <w:tcW w:w="4321" w:type="dxa"/>
            <w:tcBorders/>
          </w:tcPr>
          <w:p>
            <w:pPr>
              <w:pStyle w:val="TableContents"/>
              <w:bidi w:val="0"/>
              <w:spacing w:before="0" w:after="0"/>
              <w:jc w:val="left"/>
              <w:rPr>
                <w:rFonts w:ascii="Times New Roman" w:hAnsi="Times New Roman"/>
                <w:sz w:val="20"/>
              </w:rPr>
            </w:pPr>
            <w:r>
              <w:rPr>
                <w:rFonts w:ascii="Times New Roman" w:hAnsi="Times New Roman"/>
                <w:sz w:val="20"/>
              </w:rPr>
              <w:t>Forfeited, cancelled or expired</w:t>
            </w:r>
          </w:p>
        </w:tc>
        <w:tc>
          <w:tcPr>
            <w:tcW w:w="4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(1,246,649</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2.02</w:t>
            </w:r>
          </w:p>
        </w:tc>
        <w:tc>
          <w:tcPr>
            <w:tcW w:w="64"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unvested as of December 31, 2023</w:t>
            </w:r>
          </w:p>
        </w:tc>
        <w:tc>
          <w:tcPr>
            <w:tcW w:w="4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936,358</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2.13</w:t>
            </w:r>
          </w:p>
        </w:tc>
        <w:tc>
          <w:tcPr>
            <w:tcW w:w="64" w:type="dxa"/>
            <w:tcBorders/>
            <w:shd w:fill="CCEEFF" w:val="clear"/>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total fair value of restricted stock awards and restricted stock units vested during the years ended December 31, 2023 and 2022 was $1,449 and $9,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was allocated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3"/>
        <w:gridCol w:w="379"/>
        <w:gridCol w:w="219"/>
        <w:gridCol w:w="877"/>
        <w:gridCol w:w="93"/>
        <w:gridCol w:w="479"/>
        <w:gridCol w:w="219"/>
        <w:gridCol w:w="1073"/>
        <w:gridCol w:w="63"/>
      </w:tblGrid>
      <w:tr>
        <w:trPr/>
        <w:tc>
          <w:tcPr>
            <w:tcW w:w="4353"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5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9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435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93"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1,927</w:t>
            </w:r>
          </w:p>
        </w:tc>
        <w:tc>
          <w:tcPr>
            <w:tcW w:w="93"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2,785</w:t>
            </w:r>
          </w:p>
        </w:tc>
        <w:tc>
          <w:tcPr>
            <w:tcW w:w="63"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7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4,964</w:t>
            </w:r>
          </w:p>
        </w:tc>
        <w:tc>
          <w:tcPr>
            <w:tcW w:w="93"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8,737</w:t>
            </w:r>
          </w:p>
        </w:tc>
        <w:tc>
          <w:tcPr>
            <w:tcW w:w="63" w:type="dxa"/>
            <w:tcBorders/>
            <w:vAlign w:val="bottom"/>
          </w:tcPr>
          <w:p>
            <w:pPr>
              <w:pStyle w:val="TableContents"/>
              <w:bidi w:val="0"/>
              <w:spacing w:before="0" w:after="283"/>
              <w:jc w:val="left"/>
              <w:rPr/>
            </w:pPr>
            <w:r>
              <w:rPr/>
              <w:t> </w:t>
            </w:r>
          </w:p>
        </w:tc>
      </w:tr>
      <w:tr>
        <w:trPr/>
        <w:tc>
          <w:tcPr>
            <w:tcW w:w="4353"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7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6,891</w:t>
            </w:r>
          </w:p>
        </w:tc>
        <w:tc>
          <w:tcPr>
            <w:tcW w:w="93"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11,522</w:t>
            </w:r>
          </w:p>
        </w:tc>
        <w:tc>
          <w:tcPr>
            <w:tcW w:w="63" w:type="dxa"/>
            <w:tcBorders/>
            <w:shd w:fill="CCEEFF" w:val="clear"/>
            <w:vAlign w:val="bottom"/>
          </w:tcPr>
          <w:p>
            <w:pPr>
              <w:pStyle w:val="TableContents"/>
              <w:bidi w:val="0"/>
              <w:spacing w:before="0" w:after="283"/>
              <w:jc w:val="left"/>
              <w:rPr/>
            </w:pPr>
            <w:r>
              <w:rPr/>
              <w:t> </w:t>
            </w:r>
          </w:p>
        </w:tc>
      </w:tr>
      <w:tr>
        <w:trPr/>
        <w:tc>
          <w:tcPr>
            <w:tcW w:w="4353"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total unrecognized compensation cost related to unvested stock-based awards was $4,221, which is expected to be recognized over a weighted-average period of 1.6 years. </w:t>
      </w:r>
    </w:p>
    <w:p>
      <w:pPr>
        <w:pStyle w:val="TextBody"/>
        <w:bidi w:val="0"/>
        <w:spacing w:before="360" w:after="0"/>
        <w:jc w:val="left"/>
        <w:rPr>
          <w:rFonts w:ascii="Times New Roman" w:hAnsi="Times New Roman"/>
          <w:b/>
          <w:sz w:val="20"/>
        </w:rPr>
      </w:pPr>
      <w:r>
        <w:rPr>
          <w:rFonts w:ascii="Times New Roman" w:hAnsi="Times New Roman"/>
          <w:b/>
          <w:sz w:val="20"/>
        </w:rPr>
        <w:t xml:space="preserve">10. 401(k) Savings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8% of employee contributions. The Company recorded $388 and $599 of expenses related to its 401(k) match for the years ended December 31, 2023 and 2022,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11. Commitments and Contingencies </w:t>
      </w:r>
    </w:p>
    <w:p>
      <w:pPr>
        <w:pStyle w:val="TextBody"/>
        <w:bidi w:val="0"/>
        <w:spacing w:before="120" w:after="0"/>
        <w:jc w:val="left"/>
        <w:rPr>
          <w:rFonts w:ascii="Times New Roman" w:hAnsi="Times New Roman"/>
          <w:i/>
          <w:sz w:val="20"/>
        </w:rPr>
      </w:pPr>
      <w:r>
        <w:rPr>
          <w:rFonts w:ascii="Times New Roman" w:hAnsi="Times New Roman"/>
          <w:i/>
          <w:sz w:val="20"/>
        </w:rPr>
        <w:t xml:space="preserve">Lease Agreements </w:t>
      </w:r>
    </w:p>
    <w:p>
      <w:pPr>
        <w:pStyle w:val="TextBody"/>
        <w:bidi w:val="0"/>
        <w:spacing w:before="120" w:after="0"/>
        <w:jc w:val="left"/>
        <w:rPr>
          <w:rFonts w:ascii="Times New Roman" w:hAnsi="Times New Roman"/>
          <w:sz w:val="20"/>
        </w:rPr>
      </w:pPr>
      <w:r>
        <w:rPr>
          <w:rFonts w:ascii="Times New Roman" w:hAnsi="Times New Roman"/>
          <w:sz w:val="20"/>
        </w:rPr>
        <w:t>Refer to Note 6 </w:t>
      </w:r>
      <w:r>
        <w:rPr>
          <w:rFonts w:ascii="Times New Roman" w:hAnsi="Times New Roman"/>
          <w:i/>
          <w:sz w:val="20"/>
        </w:rPr>
        <w:t>Leases</w:t>
      </w:r>
      <w:r>
        <w:rPr>
          <w:rFonts w:ascii="Times New Roman" w:hAnsi="Times New Roman"/>
          <w:sz w:val="20"/>
        </w:rPr>
        <w:t xml:space="preserve"> for discussion of the commitments associated with the Companys lease portfolio. </w:t>
      </w:r>
    </w:p>
    <w:p>
      <w:pPr>
        <w:pStyle w:val="TextBody"/>
        <w:bidi w:val="0"/>
        <w:spacing w:before="360" w:after="0"/>
        <w:jc w:val="left"/>
        <w:rPr>
          <w:rFonts w:ascii="Times New Roman" w:hAnsi="Times New Roman"/>
          <w:i/>
          <w:sz w:val="20"/>
        </w:rPr>
      </w:pPr>
      <w:r>
        <w:rPr>
          <w:rFonts w:ascii="Times New Roman" w:hAnsi="Times New Roman"/>
          <w:i/>
          <w:sz w:val="20"/>
        </w:rPr>
        <w:t xml:space="preserve">Other Funding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 </w:t>
      </w:r>
    </w:p>
    <w:p>
      <w:pPr>
        <w:pStyle w:val="TextBody"/>
        <w:bidi w:val="0"/>
        <w:spacing w:before="360" w:after="0"/>
        <w:jc w:val="left"/>
        <w:rPr>
          <w:rFonts w:ascii="Times New Roman" w:hAnsi="Times New Roman"/>
          <w:i/>
          <w:sz w:val="20"/>
        </w:rPr>
      </w:pPr>
      <w:r>
        <w:rPr>
          <w:rFonts w:ascii="Times New Roman" w:hAnsi="Times New Roman"/>
          <w:i/>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w:t>
      </w:r>
    </w:p>
    <w:p>
      <w:pPr>
        <w:pStyle w:val="TextBody"/>
        <w:bidi w:val="0"/>
        <w:spacing w:before="360" w:after="0"/>
        <w:jc w:val="left"/>
        <w:rPr>
          <w:rFonts w:ascii="Times New Roman" w:hAnsi="Times New Roman"/>
          <w:i/>
          <w:sz w:val="20"/>
        </w:rPr>
      </w:pPr>
      <w:r>
        <w:rPr>
          <w:rFonts w:ascii="Times New Roman" w:hAnsi="Times New Roman"/>
          <w:i/>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from time to time, may be party to litigation arising in the ordinary course of business. The Company was not subject to any material legal proceedings during the years ended December 31, 2023 and 2022, and to the best of its knowledge, no material legal proceedings are currently pending or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also party to various agreements, principally relating to licensed technology, that require future payments relating to milestones not met as of December 31, 2023 and 2022, or royalties on future sales of specified products. No milestone or royalty payments under these agreements are expected to be payable in the immediate future. See Note 3 </w:t>
      </w:r>
      <w:r>
        <w:rPr>
          <w:rFonts w:ascii="Times New Roman" w:hAnsi="Times New Roman"/>
          <w:i/>
          <w:sz w:val="20"/>
        </w:rPr>
        <w:t>Licenses Agreements</w:t>
      </w:r>
      <w:r>
        <w:rPr>
          <w:rFonts w:ascii="Times New Roman" w:hAnsi="Times New Roman"/>
          <w:sz w:val="20"/>
        </w:rPr>
        <w:t xml:space="preserve"> for discussion of these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12. Income Taxes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the Company recorded $377 of current income tax expense as a result of the Asset Sale completed on June 9, 2023, and for the year ended December 31, 2022, the Company did not record a current income tax expense or (benefit) due to current and historical losses incurred by the Company. For the years ended December 31, 2023 and 2022 the Company did not record a deferred income tax expense or (benefit) due to current and historical losses incurred by the Company. The Companys operations are predominantly based in the United States and the Companys foreign subsidiaries generated </w:t>
      </w:r>
      <w:r>
        <w:rPr>
          <w:rFonts w:ascii="Times New Roman" w:hAnsi="Times New Roman"/>
          <w:i/>
          <w:sz w:val="20"/>
        </w:rPr>
        <w:t>de minimis</w:t>
      </w:r>
      <w:r>
        <w:rPr>
          <w:rFonts w:ascii="Times New Roman" w:hAnsi="Times New Roman"/>
          <w:sz w:val="20"/>
        </w:rPr>
        <w:t xml:space="preserve"> losses for the years ended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income tax expense (benefit) computed at the statutory federal income tax rate to the Companys effective tax rate as reflected in the consolidated financial statements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71"/>
        <w:gridCol w:w="455"/>
        <w:gridCol w:w="107"/>
        <w:gridCol w:w="971"/>
        <w:gridCol w:w="494"/>
        <w:gridCol w:w="498"/>
        <w:gridCol w:w="107"/>
        <w:gridCol w:w="973"/>
        <w:gridCol w:w="279"/>
      </w:tblGrid>
      <w:tr>
        <w:trPr/>
        <w:tc>
          <w:tcPr>
            <w:tcW w:w="3871"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31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9" w:type="dxa"/>
            <w:tcBorders/>
            <w:vAlign w:val="bottom"/>
          </w:tcPr>
          <w:p>
            <w:pPr>
              <w:pStyle w:val="TableContents"/>
              <w:bidi w:val="0"/>
              <w:spacing w:before="0" w:after="283"/>
              <w:jc w:val="left"/>
              <w:rPr/>
            </w:pPr>
            <w:r>
              <w:rPr/>
              <w:t> </w:t>
            </w:r>
          </w:p>
        </w:tc>
      </w:tr>
      <w:tr>
        <w:trPr/>
        <w:tc>
          <w:tcPr>
            <w:tcW w:w="3871"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494"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9"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income tax expense at statutory rate</w:t>
            </w:r>
          </w:p>
        </w:tc>
        <w:tc>
          <w:tcPr>
            <w:tcW w:w="4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21.0</w:t>
            </w:r>
          </w:p>
        </w:tc>
        <w:tc>
          <w:tcPr>
            <w:tcW w:w="494"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21.0</w:t>
            </w:r>
          </w:p>
        </w:tc>
        <w:tc>
          <w:tcPr>
            <w:tcW w:w="279"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4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3.7</w:t>
            </w:r>
          </w:p>
        </w:tc>
        <w:tc>
          <w:tcPr>
            <w:tcW w:w="494"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5.2</w:t>
            </w:r>
          </w:p>
        </w:tc>
        <w:tc>
          <w:tcPr>
            <w:tcW w:w="279"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4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4.4</w:t>
            </w:r>
          </w:p>
        </w:tc>
        <w:tc>
          <w:tcPr>
            <w:tcW w:w="494"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(1.2</w:t>
            </w:r>
          </w:p>
        </w:tc>
        <w:tc>
          <w:tcPr>
            <w:tcW w:w="279"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Foreign rate differential</w:t>
            </w:r>
          </w:p>
        </w:tc>
        <w:tc>
          <w:tcPr>
            <w:tcW w:w="4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(0.4</w:t>
            </w:r>
          </w:p>
        </w:tc>
        <w:tc>
          <w:tcPr>
            <w:tcW w:w="494"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w:t>
            </w:r>
          </w:p>
        </w:tc>
        <w:tc>
          <w:tcPr>
            <w:tcW w:w="4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(4.3</w:t>
            </w:r>
          </w:p>
        </w:tc>
        <w:tc>
          <w:tcPr>
            <w:tcW w:w="494"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0.8</w:t>
            </w:r>
          </w:p>
        </w:tc>
        <w:tc>
          <w:tcPr>
            <w:tcW w:w="279"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4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(48.2</w:t>
            </w:r>
          </w:p>
        </w:tc>
        <w:tc>
          <w:tcPr>
            <w:tcW w:w="494"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(25.8</w:t>
            </w:r>
          </w:p>
        </w:tc>
        <w:tc>
          <w:tcPr>
            <w:tcW w:w="279"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4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37.0</w:t>
            </w:r>
          </w:p>
        </w:tc>
        <w:tc>
          <w:tcPr>
            <w:tcW w:w="494"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State rate changes</w:t>
            </w:r>
          </w:p>
        </w:tc>
        <w:tc>
          <w:tcPr>
            <w:tcW w:w="4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(8.0</w:t>
            </w:r>
          </w:p>
        </w:tc>
        <w:tc>
          <w:tcPr>
            <w:tcW w:w="494"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true ups</w:t>
            </w:r>
          </w:p>
        </w:tc>
        <w:tc>
          <w:tcPr>
            <w:tcW w:w="4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(2.2</w:t>
            </w:r>
          </w:p>
        </w:tc>
        <w:tc>
          <w:tcPr>
            <w:tcW w:w="494"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Provision to return</w:t>
            </w:r>
          </w:p>
        </w:tc>
        <w:tc>
          <w:tcPr>
            <w:tcW w:w="4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 </w:t>
            </w:r>
          </w:p>
        </w:tc>
        <w:tc>
          <w:tcPr>
            <w:tcW w:w="494"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3871"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494" w:type="dxa"/>
            <w:tcBorders/>
            <w:vAlign w:val="center"/>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4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3.0</w:t>
            </w:r>
          </w:p>
        </w:tc>
        <w:tc>
          <w:tcPr>
            <w:tcW w:w="494"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3871"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971" w:type="dxa"/>
            <w:tcBorders/>
            <w:vAlign w:val="bottom"/>
          </w:tcPr>
          <w:p>
            <w:pPr>
              <w:pStyle w:val="TableContents"/>
              <w:pBdr>
                <w:top w:val="double" w:sz="6" w:space="1" w:color="000000"/>
              </w:pBdr>
              <w:bidi w:val="0"/>
              <w:spacing w:before="0" w:after="0"/>
              <w:jc w:val="left"/>
              <w:rPr/>
            </w:pPr>
            <w:r>
              <w:rPr/>
              <w:t> </w:t>
            </w:r>
          </w:p>
        </w:tc>
        <w:tc>
          <w:tcPr>
            <w:tcW w:w="494" w:type="dxa"/>
            <w:tcBorders/>
            <w:vAlign w:val="center"/>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973"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taxes are recognized for temporary differences between the basis of assets and liabilities for financial statement and income tax purposes. The significant components of the Companys deferred tax assets and liabilities are comprised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87"/>
        <w:gridCol w:w="448"/>
        <w:gridCol w:w="140"/>
        <w:gridCol w:w="882"/>
        <w:gridCol w:w="162"/>
        <w:gridCol w:w="448"/>
        <w:gridCol w:w="140"/>
        <w:gridCol w:w="882"/>
        <w:gridCol w:w="166"/>
      </w:tblGrid>
      <w:tr>
        <w:trPr/>
        <w:tc>
          <w:tcPr>
            <w:tcW w:w="4487"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6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6" w:type="dxa"/>
            <w:tcBorders/>
            <w:vAlign w:val="bottom"/>
          </w:tcPr>
          <w:p>
            <w:pPr>
              <w:pStyle w:val="TableContents"/>
              <w:bidi w:val="0"/>
              <w:spacing w:before="0" w:after="283"/>
              <w:jc w:val="left"/>
              <w:rPr/>
            </w:pPr>
            <w:r>
              <w:rPr/>
              <w:t> </w:t>
            </w:r>
          </w:p>
        </w:tc>
      </w:tr>
      <w:tr>
        <w:trPr/>
        <w:tc>
          <w:tcPr>
            <w:tcW w:w="4487"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6"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U.S., foreign and state net operating loss carryforwards</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80,185</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91,416</w:t>
            </w:r>
          </w:p>
        </w:tc>
        <w:tc>
          <w:tcPr>
            <w:tcW w:w="166"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credits</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8,356</w:t>
            </w:r>
          </w:p>
        </w:tc>
        <w:tc>
          <w:tcPr>
            <w:tcW w:w="162"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8,471</w:t>
            </w:r>
          </w:p>
        </w:tc>
        <w:tc>
          <w:tcPr>
            <w:tcW w:w="166"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start up and organizational costs</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21</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23</w:t>
            </w:r>
          </w:p>
        </w:tc>
        <w:tc>
          <w:tcPr>
            <w:tcW w:w="166"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based compensation</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313</w:t>
            </w:r>
          </w:p>
        </w:tc>
        <w:tc>
          <w:tcPr>
            <w:tcW w:w="162"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3,610</w:t>
            </w:r>
          </w:p>
        </w:tc>
        <w:tc>
          <w:tcPr>
            <w:tcW w:w="166"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Licensing agreements</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3,710</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3,929</w:t>
            </w:r>
          </w:p>
        </w:tc>
        <w:tc>
          <w:tcPr>
            <w:tcW w:w="166"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Section 174 R&amp;D capitalization</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25,045</w:t>
            </w:r>
          </w:p>
        </w:tc>
        <w:tc>
          <w:tcPr>
            <w:tcW w:w="162"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16,307</w:t>
            </w:r>
          </w:p>
        </w:tc>
        <w:tc>
          <w:tcPr>
            <w:tcW w:w="166"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240</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227</w:t>
            </w:r>
          </w:p>
        </w:tc>
        <w:tc>
          <w:tcPr>
            <w:tcW w:w="166"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Accruals and other</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906</w:t>
            </w:r>
          </w:p>
        </w:tc>
        <w:tc>
          <w:tcPr>
            <w:tcW w:w="162"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1,032</w:t>
            </w:r>
          </w:p>
        </w:tc>
        <w:tc>
          <w:tcPr>
            <w:tcW w:w="166" w:type="dxa"/>
            <w:tcBorders/>
            <w:shd w:fill="CCEEFF" w:val="clear"/>
            <w:vAlign w:val="bottom"/>
          </w:tcPr>
          <w:p>
            <w:pPr>
              <w:pStyle w:val="TableContents"/>
              <w:bidi w:val="0"/>
              <w:spacing w:before="0" w:after="283"/>
              <w:jc w:val="left"/>
              <w:rPr/>
            </w:pPr>
            <w:r>
              <w:rPr/>
              <w:t> </w:t>
            </w:r>
          </w:p>
        </w:tc>
      </w:tr>
      <w:tr>
        <w:trPr/>
        <w:tc>
          <w:tcPr>
            <w:tcW w:w="4487"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118,776</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125,015</w:t>
            </w:r>
          </w:p>
        </w:tc>
        <w:tc>
          <w:tcPr>
            <w:tcW w:w="166"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(118,658</w:t>
            </w:r>
          </w:p>
        </w:tc>
        <w:tc>
          <w:tcPr>
            <w:tcW w:w="162"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(124,695</w:t>
            </w:r>
          </w:p>
        </w:tc>
        <w:tc>
          <w:tcPr>
            <w:tcW w:w="166" w:type="dxa"/>
            <w:tcBorders/>
            <w:shd w:fill="CCEEFF" w:val="clear"/>
            <w:vAlign w:val="bottom"/>
          </w:tcPr>
          <w:p>
            <w:pPr>
              <w:pStyle w:val="TableContents"/>
              <w:bidi w:val="0"/>
              <w:spacing w:before="0" w:after="283"/>
              <w:jc w:val="left"/>
              <w:rPr/>
            </w:pPr>
            <w:r>
              <w:rPr/>
              <w:t>) </w:t>
            </w:r>
          </w:p>
        </w:tc>
      </w:tr>
      <w:tr>
        <w:trPr/>
        <w:tc>
          <w:tcPr>
            <w:tcW w:w="4487"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118</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320</w:t>
            </w:r>
          </w:p>
        </w:tc>
        <w:tc>
          <w:tcPr>
            <w:tcW w:w="166" w:type="dxa"/>
            <w:tcBorders/>
            <w:vAlign w:val="bottom"/>
          </w:tcPr>
          <w:p>
            <w:pPr>
              <w:pStyle w:val="TableContents"/>
              <w:bidi w:val="0"/>
              <w:spacing w:before="0" w:after="283"/>
              <w:jc w:val="left"/>
              <w:rPr/>
            </w:pPr>
            <w:r>
              <w:rPr/>
              <w:t> </w:t>
            </w:r>
          </w:p>
        </w:tc>
      </w:tr>
      <w:tr>
        <w:trPr/>
        <w:tc>
          <w:tcPr>
            <w:tcW w:w="4487"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(102</w:t>
            </w:r>
          </w:p>
        </w:tc>
        <w:tc>
          <w:tcPr>
            <w:tcW w:w="166"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ROU Asset</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(118</w:t>
            </w:r>
          </w:p>
        </w:tc>
        <w:tc>
          <w:tcPr>
            <w:tcW w:w="162"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(218</w:t>
            </w:r>
          </w:p>
        </w:tc>
        <w:tc>
          <w:tcPr>
            <w:tcW w:w="166" w:type="dxa"/>
            <w:tcBorders/>
            <w:shd w:fill="CCEEFF" w:val="clear"/>
            <w:vAlign w:val="bottom"/>
          </w:tcPr>
          <w:p>
            <w:pPr>
              <w:pStyle w:val="TableContents"/>
              <w:bidi w:val="0"/>
              <w:spacing w:before="0" w:after="283"/>
              <w:jc w:val="left"/>
              <w:rPr/>
            </w:pPr>
            <w:r>
              <w:rPr/>
              <w:t>) </w:t>
            </w:r>
          </w:p>
        </w:tc>
      </w:tr>
      <w:tr>
        <w:trPr/>
        <w:tc>
          <w:tcPr>
            <w:tcW w:w="4487"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(118</w:t>
            </w:r>
          </w:p>
        </w:tc>
        <w:tc>
          <w:tcPr>
            <w:tcW w:w="16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(320</w:t>
            </w:r>
          </w:p>
        </w:tc>
        <w:tc>
          <w:tcPr>
            <w:tcW w:w="166" w:type="dxa"/>
            <w:tcBorders/>
            <w:vAlign w:val="bottom"/>
          </w:tcPr>
          <w:p>
            <w:pPr>
              <w:pStyle w:val="TableContents"/>
              <w:bidi w:val="0"/>
              <w:spacing w:before="0" w:after="283"/>
              <w:jc w:val="left"/>
              <w:rPr/>
            </w:pPr>
            <w:r>
              <w:rPr/>
              <w:t>) </w:t>
            </w:r>
          </w:p>
        </w:tc>
      </w:tr>
      <w:tr>
        <w:trPr/>
        <w:tc>
          <w:tcPr>
            <w:tcW w:w="4487"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liabilities</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4487"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the realizability of its deferred tax assets. As of December 31, 2023 and 2022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2023 and 2022. The valuation allowance decreased by $6,037 during the year ended December 31, 2023, due primarily to net operating income, and increased by $23,802 during the year ended December 31, 2022, due primarily to net operating losses generated.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 had U.S. federal net operating loss carryforwards of $298,282 and $340,350, respectively, that may be available to offset future income tax liabilities. All of the U.S. federal tax operating losses can be carried forward indefinitely. As of December 31, 2023 and 2022, the Company also had U.S. state net operating loss carryforwards of $277,626 and $316,668, respectively, which may be available to offset future taxable income. These losses expire at various dates beginning in 2041.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 had federal research and development tax credit carryforwards of $6,395 and $6,824, respectively. Included in the $6,395 of federal tax credit carryforwards are $2,162 of orphan drug credits. Through the year ended December 31, 2020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2023 and 2022, the Company had state research and development tax credit carryforwards of approximately $2,482 and $2,084, respectively, available to reduce future tax liabilities which expire at various dates beginning in 2035. For all years through December 31, 2023, the Company generated research credits but has not conducted a study to document the qualified activities. This study may result in an adjustment to the Companys research and development credit carryforwards.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percentage points,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The Company performed an analysis to determine if an ownership change and subsequent limitation of its attributes had occurred.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 and may result in a limitation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in the United States, Australia and Canada, and in several states. The foreign, federal and state income tax returns are generally subject to tax examinations for the tax years ended December 31, 2020 through December 31, 2023. To the extent the Company has tax attribute carryforwards, the tax years in which the attribute was generated may still be adjusted upon examination by foreign tax authorities, the Internal Revenue Service, or state tax authorities to the extent utilized in a future period. </w:t>
      </w:r>
    </w:p>
    <w:p>
      <w:pPr>
        <w:pStyle w:val="TextBody"/>
        <w:bidi w:val="0"/>
        <w:spacing w:before="360" w:after="0"/>
        <w:jc w:val="left"/>
        <w:rPr>
          <w:rFonts w:ascii="Times New Roman" w:hAnsi="Times New Roman"/>
          <w:b/>
          <w:sz w:val="20"/>
        </w:rPr>
      </w:pPr>
      <w:r>
        <w:rPr>
          <w:rFonts w:ascii="Times New Roman" w:hAnsi="Times New Roman"/>
          <w:b/>
          <w:sz w:val="20"/>
        </w:rPr>
        <w:t xml:space="preserve">13. Net Income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computation of the Companys basic and diluted net income (loss) per share for the years ended December 31, 2023 and 2022 (in thousands, except share and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44"/>
        <w:gridCol w:w="504"/>
        <w:gridCol w:w="140"/>
        <w:gridCol w:w="1102"/>
        <w:gridCol w:w="60"/>
        <w:gridCol w:w="504"/>
        <w:gridCol w:w="140"/>
        <w:gridCol w:w="1102"/>
        <w:gridCol w:w="159"/>
      </w:tblGrid>
      <w:tr>
        <w:trPr/>
        <w:tc>
          <w:tcPr>
            <w:tcW w:w="4044"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44"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30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stockholdersbasic and diluted</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12,157</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(105,890</w:t>
            </w:r>
          </w:p>
        </w:tc>
        <w:tc>
          <w:tcPr>
            <w:tcW w:w="159" w:type="dxa"/>
            <w:tcBorders/>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44,327,204</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43,738,739</w:t>
            </w:r>
          </w:p>
        </w:tc>
        <w:tc>
          <w:tcPr>
            <w:tcW w:w="159"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Options to purchase common shares</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119,677</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stock units</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95,010</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Employee stock purchase plan</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26,027</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outstandingdiluted</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44,567,918</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43,738,739</w:t>
            </w:r>
          </w:p>
        </w:tc>
        <w:tc>
          <w:tcPr>
            <w:tcW w:w="159" w:type="dxa"/>
            <w:tcBorders/>
            <w:shd w:fill="CCEEFF" w:val="clear"/>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stockholdersbasic</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0.27</w:t>
            </w:r>
          </w:p>
        </w:tc>
        <w:tc>
          <w:tcPr>
            <w:tcW w:w="60"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(2.42</w:t>
            </w:r>
          </w:p>
        </w:tc>
        <w:tc>
          <w:tcPr>
            <w:tcW w:w="159"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stockholdersdiluted</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0.27</w:t>
            </w:r>
          </w:p>
        </w:tc>
        <w:tc>
          <w:tcPr>
            <w:tcW w:w="60"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(2.42</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Diluted earnings per share includes the assumed exercise of dilutive options, the assumed issuance of unvested restricted stock units, and the assumed issuance of shares under the employee stock purchase plan using the treasury stock method unless the effect is anti-dilutive. The treasury stock method assumes that proceeds, including cash received from the exercise of employee stock options and the average unrecognized compensation expense for unvested share-based compensation awards, would be used to purchase the Companys common stock at the average market price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for purposes of the diluted net income (loss) per share calculation, stock options, unvested restricted stock units are considered to be common stock equivalents but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excluded from the calculation of diluted net loss per share, as their effect would be anti-dilutive for all periods presented. Therefore, the weighted-average number of common shares outstanding used to calculate both basic and diluted net income (loss) per share attributable to common stockholders is the same.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potentially dilutive common stock equivalents, presented based on amounts outstanding at each period end, were excluded from the computation of diluted net income (loss) per share attributable to common stockholders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40"/>
        <w:gridCol w:w="239"/>
        <w:gridCol w:w="60"/>
        <w:gridCol w:w="993"/>
        <w:gridCol w:w="60"/>
        <w:gridCol w:w="239"/>
        <w:gridCol w:w="60"/>
        <w:gridCol w:w="1100"/>
        <w:gridCol w:w="64"/>
      </w:tblGrid>
      <w:tr>
        <w:trPr/>
        <w:tc>
          <w:tcPr>
            <w:tcW w:w="494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5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3,765,482</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9,423,271</w:t>
            </w:r>
          </w:p>
        </w:tc>
        <w:tc>
          <w:tcPr>
            <w:tcW w:w="64"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662,103</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940,392</w:t>
            </w:r>
          </w:p>
        </w:tc>
        <w:tc>
          <w:tcPr>
            <w:tcW w:w="64" w:type="dxa"/>
            <w:tcBorders/>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anti-dilutive shares</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4,427,585</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10,363,663</w:t>
            </w:r>
          </w:p>
        </w:tc>
        <w:tc>
          <w:tcPr>
            <w:tcW w:w="64" w:type="dxa"/>
            <w:tcBorders/>
            <w:shd w:fill="CCEEFF" w:val="clear"/>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14.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UHN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2023 and 2022, the Company recognized $130 and $200, respectively, of research and development expense related to the license agreements with UHN. Refer to Note 3 </w:t>
      </w:r>
      <w:r>
        <w:rPr>
          <w:rFonts w:ascii="Times New Roman" w:hAnsi="Times New Roman"/>
          <w:i/>
          <w:sz w:val="20"/>
        </w:rPr>
        <w:t>License and Purchase Agreements</w:t>
      </w:r>
      <w:r>
        <w:rPr>
          <w:rFonts w:ascii="Times New Roman" w:hAnsi="Times New Roman"/>
          <w:sz w:val="20"/>
        </w:rPr>
        <w:t xml:space="preserve"> for additional information regarding the UHN license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and 2022, the Company recorded expenses of $934 and $3,200, respectively, related to a sublease to rent lab space, provided by an entity affiliated with a member of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15. Restructuring </w:t>
      </w:r>
    </w:p>
    <w:p>
      <w:pPr>
        <w:pStyle w:val="TextBody"/>
        <w:bidi w:val="0"/>
        <w:spacing w:before="120" w:after="0"/>
        <w:jc w:val="left"/>
        <w:rPr>
          <w:rFonts w:ascii="Times New Roman" w:hAnsi="Times New Roman"/>
          <w:sz w:val="20"/>
        </w:rPr>
      </w:pPr>
      <w:r>
        <w:rPr>
          <w:rFonts w:ascii="Times New Roman" w:hAnsi="Times New Roman"/>
          <w:sz w:val="20"/>
        </w:rPr>
        <w:t xml:space="preserve">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 Company recognized total restructuring expenses of $3,015 for the year ended December 31, 2023, recognized as $1,800 and $1,215 of research and development and general and administrative expense, respectively, in the consolidated statement of operations and comprehensive income (loss). These one-time employee termination benefits are related to affected employees, who were offered separation benefits, including severance payments. Approximately $479 of these expenses were related to non-cash stock-based compensation expense and there are no remaining accrued payments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These one-time employee termination benefits are related to affected employees, who were offered separation benefits, including severance payments. There are no remaining accrued payments at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The Company estimates an additional $86 of expense related to future one-time employee benefits. These one-time employee termination benefits are related to affected employees, who were offered separation benefits, including severance payments. As of December 31, 2023, the Company had $521 in accrued payments. The Company expects that payments of these costs will substantially be made through the end of the first quarter of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39"/>
        <w:gridCol w:w="901"/>
        <w:gridCol w:w="382"/>
        <w:gridCol w:w="1759"/>
        <w:gridCol w:w="158"/>
      </w:tblGrid>
      <w:tr>
        <w:trPr/>
        <w:tc>
          <w:tcPr>
            <w:tcW w:w="3739" w:type="dxa"/>
            <w:tcBorders/>
            <w:vAlign w:val="center"/>
          </w:tcPr>
          <w:p>
            <w:pPr>
              <w:pStyle w:val="TableContents"/>
              <w:bidi w:val="0"/>
              <w:spacing w:before="0" w:after="283"/>
              <w:jc w:val="left"/>
              <w:rPr>
                <w:sz w:val="4"/>
                <w:szCs w:val="4"/>
              </w:rPr>
            </w:pPr>
            <w:r>
              <w:rPr>
                <w:sz w:val="4"/>
                <w:szCs w:val="4"/>
              </w:rPr>
            </w:r>
          </w:p>
        </w:tc>
        <w:tc>
          <w:tcPr>
            <w:tcW w:w="901"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Employee Severance</w:t>
              <w:br/>
              <w:t>and Other Benefits</w:t>
            </w:r>
          </w:p>
        </w:tc>
        <w:tc>
          <w:tcPr>
            <w:tcW w:w="158" w:type="dxa"/>
            <w:tcBorders/>
            <w:vAlign w:val="bottom"/>
          </w:tcPr>
          <w:p>
            <w:pPr>
              <w:pStyle w:val="TableContents"/>
              <w:bidi w:val="0"/>
              <w:spacing w:before="0" w:after="283"/>
              <w:jc w:val="left"/>
              <w:rPr/>
            </w:pPr>
            <w:r>
              <w:rPr/>
              <w:t> </w:t>
            </w:r>
          </w:p>
        </w:tc>
      </w:tr>
      <w:tr>
        <w:trPr/>
        <w:tc>
          <w:tcPr>
            <w:tcW w:w="3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901"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759" w:type="dxa"/>
            <w:tcBorders/>
            <w:shd w:fill="CCEEFF" w:val="clear"/>
            <w:vAlign w:val="bottom"/>
          </w:tcPr>
          <w:p>
            <w:pPr>
              <w:pStyle w:val="TableContents"/>
              <w:bidi w:val="0"/>
              <w:spacing w:before="0" w:after="283"/>
              <w:jc w:val="right"/>
              <w:rPr/>
            </w:pPr>
            <w:r>
              <w:rPr/>
              <w:t>5,058</w:t>
            </w:r>
          </w:p>
        </w:tc>
        <w:tc>
          <w:tcPr>
            <w:tcW w:w="158" w:type="dxa"/>
            <w:tcBorders/>
            <w:shd w:fill="CCEEFF" w:val="clear"/>
            <w:vAlign w:val="bottom"/>
          </w:tcPr>
          <w:p>
            <w:pPr>
              <w:pStyle w:val="TableContents"/>
              <w:bidi w:val="0"/>
              <w:spacing w:before="0" w:after="283"/>
              <w:jc w:val="left"/>
              <w:rPr/>
            </w:pPr>
            <w:r>
              <w:rPr/>
              <w:t> </w:t>
            </w:r>
          </w:p>
        </w:tc>
      </w:tr>
      <w:tr>
        <w:trPr/>
        <w:tc>
          <w:tcPr>
            <w:tcW w:w="3739"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w:t>
            </w:r>
          </w:p>
        </w:tc>
        <w:tc>
          <w:tcPr>
            <w:tcW w:w="90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759" w:type="dxa"/>
            <w:tcBorders/>
            <w:vAlign w:val="bottom"/>
          </w:tcPr>
          <w:p>
            <w:pPr>
              <w:pStyle w:val="TableContents"/>
              <w:bidi w:val="0"/>
              <w:spacing w:before="0" w:after="283"/>
              <w:jc w:val="right"/>
              <w:rPr/>
            </w:pPr>
            <w:r>
              <w:rPr/>
              <w:t>(4,058</w:t>
            </w:r>
          </w:p>
        </w:tc>
        <w:tc>
          <w:tcPr>
            <w:tcW w:w="158" w:type="dxa"/>
            <w:tcBorders/>
            <w:vAlign w:val="bottom"/>
          </w:tcPr>
          <w:p>
            <w:pPr>
              <w:pStyle w:val="TableContents"/>
              <w:bidi w:val="0"/>
              <w:spacing w:before="0" w:after="283"/>
              <w:jc w:val="left"/>
              <w:rPr/>
            </w:pPr>
            <w:r>
              <w:rPr/>
              <w:t>) </w:t>
            </w:r>
          </w:p>
        </w:tc>
      </w:tr>
      <w:tr>
        <w:trPr/>
        <w:tc>
          <w:tcPr>
            <w:tcW w:w="3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expenses</w:t>
            </w:r>
          </w:p>
        </w:tc>
        <w:tc>
          <w:tcPr>
            <w:tcW w:w="901"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759" w:type="dxa"/>
            <w:tcBorders/>
            <w:shd w:fill="CCEEFF" w:val="clear"/>
            <w:vAlign w:val="bottom"/>
          </w:tcPr>
          <w:p>
            <w:pPr>
              <w:pStyle w:val="TableContents"/>
              <w:bidi w:val="0"/>
              <w:spacing w:before="0" w:after="283"/>
              <w:jc w:val="right"/>
              <w:rPr/>
            </w:pPr>
            <w:r>
              <w:rPr/>
              <w:t>(479</w:t>
            </w:r>
          </w:p>
        </w:tc>
        <w:tc>
          <w:tcPr>
            <w:tcW w:w="158" w:type="dxa"/>
            <w:tcBorders/>
            <w:shd w:fill="CCEEFF" w:val="clear"/>
            <w:vAlign w:val="bottom"/>
          </w:tcPr>
          <w:p>
            <w:pPr>
              <w:pStyle w:val="TableContents"/>
              <w:bidi w:val="0"/>
              <w:spacing w:before="0" w:after="283"/>
              <w:jc w:val="left"/>
              <w:rPr/>
            </w:pPr>
            <w:r>
              <w:rPr/>
              <w:t>) </w:t>
            </w:r>
          </w:p>
        </w:tc>
      </w:tr>
      <w:tr>
        <w:trPr/>
        <w:tc>
          <w:tcPr>
            <w:tcW w:w="3739" w:type="dxa"/>
            <w:tcBorders/>
            <w:vAlign w:val="bottom"/>
          </w:tcPr>
          <w:p>
            <w:pPr>
              <w:pStyle w:val="TableContents"/>
              <w:bidi w:val="0"/>
              <w:spacing w:before="0" w:after="283"/>
              <w:jc w:val="left"/>
              <w:rPr>
                <w:sz w:val="4"/>
                <w:szCs w:val="4"/>
              </w:rPr>
            </w:pPr>
            <w:r>
              <w:rPr>
                <w:sz w:val="4"/>
                <w:szCs w:val="4"/>
              </w:rPr>
            </w:r>
          </w:p>
        </w:tc>
        <w:tc>
          <w:tcPr>
            <w:tcW w:w="901"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75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739" w:type="dxa"/>
            <w:tcBorders/>
          </w:tcPr>
          <w:p>
            <w:pPr>
              <w:pStyle w:val="TableContents"/>
              <w:bidi w:val="0"/>
              <w:spacing w:before="0" w:after="0"/>
              <w:jc w:val="left"/>
              <w:rPr>
                <w:rFonts w:ascii="Times New Roman" w:hAnsi="Times New Roman"/>
                <w:sz w:val="20"/>
              </w:rPr>
            </w:pPr>
            <w:r>
              <w:rPr>
                <w:rFonts w:ascii="Times New Roman" w:hAnsi="Times New Roman"/>
                <w:sz w:val="20"/>
              </w:rPr>
              <w:t>Liability included in accrued expenses and other current liabilities at December 31, 2023</w:t>
            </w:r>
          </w:p>
        </w:tc>
        <w:tc>
          <w:tcPr>
            <w:tcW w:w="90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759" w:type="dxa"/>
            <w:tcBorders/>
            <w:vAlign w:val="bottom"/>
          </w:tcPr>
          <w:p>
            <w:pPr>
              <w:pStyle w:val="TableContents"/>
              <w:bidi w:val="0"/>
              <w:spacing w:before="0" w:after="283"/>
              <w:jc w:val="right"/>
              <w:rPr/>
            </w:pPr>
            <w:r>
              <w:rPr/>
              <w:t>521</w:t>
            </w:r>
          </w:p>
        </w:tc>
        <w:tc>
          <w:tcPr>
            <w:tcW w:w="158" w:type="dxa"/>
            <w:tcBorders/>
            <w:vAlign w:val="bottom"/>
          </w:tcPr>
          <w:p>
            <w:pPr>
              <w:pStyle w:val="TableContents"/>
              <w:bidi w:val="0"/>
              <w:spacing w:before="0" w:after="283"/>
              <w:jc w:val="left"/>
              <w:rPr/>
            </w:pPr>
            <w:r>
              <w:rPr/>
              <w:t> </w:t>
            </w:r>
          </w:p>
        </w:tc>
      </w:tr>
      <w:tr>
        <w:trPr/>
        <w:tc>
          <w:tcPr>
            <w:tcW w:w="3739" w:type="dxa"/>
            <w:tcBorders/>
            <w:vAlign w:val="bottom"/>
          </w:tcPr>
          <w:p>
            <w:pPr>
              <w:pStyle w:val="TableContents"/>
              <w:bidi w:val="0"/>
              <w:spacing w:before="0" w:after="283"/>
              <w:jc w:val="left"/>
              <w:rPr>
                <w:sz w:val="4"/>
                <w:szCs w:val="4"/>
              </w:rPr>
            </w:pPr>
            <w:r>
              <w:rPr>
                <w:sz w:val="4"/>
                <w:szCs w:val="4"/>
              </w:rPr>
            </w:r>
          </w:p>
        </w:tc>
        <w:tc>
          <w:tcPr>
            <w:tcW w:w="901"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75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following a comprehensive review of strategic alternatives, the Company entered into the Merger Agreement with Tectonic pursuant to which a wholly-owned subsidiary of the Company will merge with and into Tectonic, with Tectonic surviving as a wholly-owned subsidiary of the Company. The Merger was unanimously approved by the Companys Board, and the Companys Board resolved to recommend approval of the Merger Agreement to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 is subject to approval by the Companys and Tectonics stockholders as well as other customary closing conditions, including the effectiveness of a registration statement on Form S-4 filed with the SEC in connection with the transaction and Nasdaqs approval of the listing of the shares of the Companys common stock to be issued in connection with the Merger. If the Company is unable to satisfy certain closing conditions or if other mutual closing conditions are not satisfied, Tectonic will not be obligated to complete the Merger. The Merger Agreement contains certain termination rights of each of the Company and Tectonic. Under certain circumstances detailed in the Merger Agreement, the Company could be required to pay Tectonic a termination fee of approximately $2,713 or Tectonic could be required to pay the Company a termination fee of approximately $4,900. In addition, in certain circumstances upon the termination of the Merger Agreement, the Company could be required to pay the costs and expenses of Tectonic in an amount not to exceed $650. If the Merger is completed, the business of Tectonic will continue as the business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1" w:name="fina770053_1"/>
      <w:bookmarkEnd w:id="201"/>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of Tectonic Therapeutic,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Tectonic Therapeutic, Inc. and subsidiaries (the Company) as of December 31, 2023 and 2022, the related consolidated statements of operations and other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has experienced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SAFE Liabilities  Refer to Notes 2, 3, and 13 to the financial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Critical Audit Matter Description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the Company entered into Simple Agreements for Future Equity (SAFEs) with certain existing investors. The SAFEs allow for redemption based upon certain triggering events that are outside of the control of the Company. As disclosed in Note 2 to the financial statements, the Company accounts for the SAFEs as liabilities at fair value on a recurring basis. Triggering events include an equity financing, public listing transaction, change of control or dissolution. On December 31, 2023, the probabilities of an equity financing, public listing transaction, and dissolution were estimated to be 10%, 87.5%, and 2.5%, respectively. The estimated time to redemption was five months for an equity financing or dissolution and four months for a public listing transaction. Changes in fair value are recognized in the Companys statements of operations and other comprehensive loss. As of December 31, 2023, the Company has recorded SAFE liabilities of $30.5 million. </w:t>
      </w:r>
    </w:p>
    <w:p>
      <w:pPr>
        <w:pStyle w:val="TextBody"/>
        <w:bidi w:val="0"/>
        <w:spacing w:before="240" w:after="0"/>
        <w:jc w:val="left"/>
        <w:rPr>
          <w:rFonts w:ascii="Times New Roman" w:hAnsi="Times New Roman"/>
          <w:sz w:val="20"/>
        </w:rPr>
      </w:pPr>
      <w:r>
        <w:rPr>
          <w:rFonts w:ascii="Times New Roman" w:hAnsi="Times New Roman"/>
          <w:sz w:val="20"/>
        </w:rPr>
        <w:t xml:space="preserve">We identified the valuation of the SAFE liabilities as a critical audit matter due to the level of judgment required by management. This requires a high degree of auditor judgment, subjectivity, and an increased extent of effort in performing procedures to evaluate the reasonableness of managements estimate, including the need to involve our fair value specialists. </w:t>
      </w:r>
    </w:p>
    <w:p>
      <w:pPr>
        <w:pStyle w:val="TextBody"/>
        <w:bidi w:val="0"/>
        <w:spacing w:before="360" w:after="0"/>
        <w:jc w:val="left"/>
        <w:rPr>
          <w:rFonts w:ascii="Times New Roman" w:hAnsi="Times New Roman"/>
          <w:i/>
          <w:sz w:val="20"/>
        </w:rPr>
      </w:pPr>
      <w:r>
        <w:rPr>
          <w:rFonts w:ascii="Times New Roman" w:hAnsi="Times New Roman"/>
          <w:i/>
          <w:sz w:val="20"/>
        </w:rPr>
        <w:t xml:space="preserve">How the Critical Audit Matter Was Addressed in the Audit </w:t>
      </w:r>
    </w:p>
    <w:p>
      <w:pPr>
        <w:pStyle w:val="TextBody"/>
        <w:bidi w:val="0"/>
        <w:spacing w:before="120" w:after="0"/>
        <w:jc w:val="left"/>
        <w:rPr>
          <w:rFonts w:ascii="Times New Roman" w:hAnsi="Times New Roman"/>
          <w:sz w:val="20"/>
        </w:rPr>
      </w:pPr>
      <w:r>
        <w:rPr>
          <w:rFonts w:ascii="Times New Roman" w:hAnsi="Times New Roman"/>
          <w:sz w:val="20"/>
        </w:rPr>
        <w:t xml:space="preserve">Our audit procedures related to the valuation of the SAFE liabilities included the following,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read and obtained an understanding of the key terms of the SAFE agreements, including the triggering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evaluated the reasonableness of the valuation assumptions, including triggering event probabilities and the estimated time to triggering events, by comparing the assumptions to known and knowable information at the valuation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assistance of our fair value specialists, we evaluated the reasonableness of (i) the valuation methodology, and (ii) the discount rate, including testing the source information underlying the determination of the discount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April 12, 2024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202" w:name="fina770053_2"/>
      <w:bookmarkEnd w:id="202"/>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22"/>
        <w:gridCol w:w="227"/>
        <w:gridCol w:w="140"/>
        <w:gridCol w:w="780"/>
        <w:gridCol w:w="157"/>
        <w:gridCol w:w="199"/>
        <w:gridCol w:w="140"/>
        <w:gridCol w:w="780"/>
        <w:gridCol w:w="160"/>
      </w:tblGrid>
      <w:tr>
        <w:trPr/>
        <w:tc>
          <w:tcPr>
            <w:tcW w:w="7622"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2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1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28,769</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35,966</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2,115</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1,076</w:t>
            </w:r>
          </w:p>
        </w:tc>
        <w:tc>
          <w:tcPr>
            <w:tcW w:w="160" w:type="dxa"/>
            <w:tcBorders/>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30,884</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37,042</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Property, equipment and improvements,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3,122</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3,608</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right-of-use assets,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1,437</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2,159</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right-of-use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2,669</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3,787</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669</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587</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587</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31</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26</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39,399</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47,209</w:t>
            </w:r>
          </w:p>
        </w:tc>
        <w:tc>
          <w:tcPr>
            <w:tcW w:w="160" w:type="dxa"/>
            <w:tcBorders/>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Convertible Preferred Stock and Stockholders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409</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574</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8,141</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5,814</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SAFE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30,515</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 current portion</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1,348</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950</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liability - current portion</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475</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499</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40,888</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7,837</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 net of current portion</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1,644</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2,992</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liability - net of current portion</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876</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1,351</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56</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43,408</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12,236</w:t>
            </w:r>
          </w:p>
        </w:tc>
        <w:tc>
          <w:tcPr>
            <w:tcW w:w="160" w:type="dxa"/>
            <w:tcBorders/>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(Series A-1, A-2, A-3 and A-4), $0.0001 par value; 6,825,483 shares authorized as of December 31, 2023 and 2022; 6,825,483 shares issued and outstanding as of December 31, 2023 and 2022; aggregate liquidation preference of $87,459 as of December 31, 2023 and 2022</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80,627</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80,627</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11,947,558 shares authorized as of December 31, 2023 and 2022; 2,634,246 and 2,525,771 shares issued and outstanding as of December 31, 2023 and 2022;</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5,979</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2,127</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(11</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(90,604</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(47,781</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622"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(84,636</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(45,654</w:t>
            </w:r>
          </w:p>
        </w:tc>
        <w:tc>
          <w:tcPr>
            <w:tcW w:w="160" w:type="dxa"/>
            <w:tcBorders/>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39,399</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47,209</w:t>
            </w:r>
          </w:p>
        </w:tc>
        <w:tc>
          <w:tcPr>
            <w:tcW w:w="160" w:type="dxa"/>
            <w:tcBorders/>
            <w:shd w:fill="CCEEFF" w:val="clear"/>
            <w:vAlign w:val="bottom"/>
          </w:tcPr>
          <w:p>
            <w:pPr>
              <w:pStyle w:val="TableContents"/>
              <w:bidi w:val="0"/>
              <w:spacing w:before="0" w:after="283"/>
              <w:jc w:val="left"/>
              <w:rPr/>
            </w:pPr>
            <w:r>
              <w:rPr/>
              <w:t> </w:t>
            </w:r>
          </w:p>
        </w:tc>
      </w:tr>
      <w:tr>
        <w:trPr/>
        <w:tc>
          <w:tcPr>
            <w:tcW w:w="762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203" w:name="fina770053_3"/>
      <w:bookmarkEnd w:id="203"/>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36,966</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25,654</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7,682</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7,176</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44,648</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32,830</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(44,648</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(32,830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643</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1,255</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581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149</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(144</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396</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1,825</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650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(42,823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(32,180</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(42,823</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(32,180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(18.04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(16.34</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2,373,674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1,969,418</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(42,834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(32,180</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204" w:name="fina770053_4"/>
      <w:bookmarkEnd w:id="204"/>
      <w:r>
        <w:rPr>
          <w:rFonts w:ascii="Times New Roman" w:hAnsi="Times New Roman"/>
          <w:b/>
          <w:sz w:val="20"/>
        </w:rPr>
        <w:t xml:space="preserve">CONSOLIDATED 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12875" w:type="dxa"/>
        <w:jc w:val="center"/>
        <w:tblInd w:w="0" w:type="dxa"/>
        <w:tblLayout w:type="fixed"/>
        <w:tblCellMar>
          <w:top w:w="0" w:type="dxa"/>
          <w:left w:w="0" w:type="dxa"/>
          <w:bottom w:w="0" w:type="dxa"/>
          <w:right w:w="0" w:type="dxa"/>
        </w:tblCellMar>
      </w:tblPr>
      <w:tblGrid>
        <w:gridCol w:w="1250"/>
        <w:gridCol w:w="60"/>
        <w:gridCol w:w="60"/>
        <w:gridCol w:w="980"/>
        <w:gridCol w:w="60"/>
        <w:gridCol w:w="60"/>
        <w:gridCol w:w="160"/>
        <w:gridCol w:w="700"/>
        <w:gridCol w:w="60"/>
        <w:gridCol w:w="60"/>
        <w:gridCol w:w="30"/>
        <w:gridCol w:w="30"/>
        <w:gridCol w:w="60"/>
        <w:gridCol w:w="60"/>
        <w:gridCol w:w="60"/>
        <w:gridCol w:w="980"/>
        <w:gridCol w:w="155"/>
        <w:gridCol w:w="60"/>
        <w:gridCol w:w="430"/>
        <w:gridCol w:w="430"/>
        <w:gridCol w:w="60"/>
        <w:gridCol w:w="60"/>
        <w:gridCol w:w="313"/>
        <w:gridCol w:w="1252"/>
        <w:gridCol w:w="60"/>
        <w:gridCol w:w="60"/>
        <w:gridCol w:w="598"/>
        <w:gridCol w:w="1432"/>
        <w:gridCol w:w="155"/>
        <w:gridCol w:w="60"/>
        <w:gridCol w:w="214"/>
        <w:gridCol w:w="1156"/>
        <w:gridCol w:w="155"/>
        <w:gridCol w:w="60"/>
        <w:gridCol w:w="209"/>
        <w:gridCol w:w="1131"/>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6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 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 Other</w:t>
              <w:br/>
              <w:t>Comprehensive</w:t>
              <w:br/>
              <w:t>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56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203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25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January 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3,941,829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42,610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2,297,901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641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(14,960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Series A preferred stocknet of issuance costs of $12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2,883,654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38,017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1,119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227,486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363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8"/>
              </w:rPr>
            </w:pPr>
            <w:r>
              <w:rPr>
                <w:rFonts w:ascii="Times New Roman" w:hAnsi="Times New Roman"/>
                <w:sz w:val="18"/>
              </w:rPr>
              <w:t>Repurchase of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(32,180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(32,180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6,825,483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80,627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2,525,771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2,127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(47,781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(45,654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108,475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1,121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1,121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Contribution from related party investors related to SAFEs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2,610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2,610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(42,823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(42,823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6,825,483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80,627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2,634,246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5,979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w:t>
            </w:r>
          </w:p>
        </w:tc>
        <w:tc>
          <w:tcPr>
            <w:tcW w:w="1432"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(90,604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(84,636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pBdr>
                <w:top w:val="double" w:sz="6" w:space="1" w:color="000000"/>
              </w:pBdr>
              <w:bidi w:val="0"/>
              <w:spacing w:before="0" w:after="0"/>
              <w:jc w:val="left"/>
              <w:rPr/>
            </w:pPr>
            <w:r>
              <w:rPr/>
              <w:t> </w:t>
            </w:r>
          </w:p>
        </w:tc>
        <w:tc>
          <w:tcPr>
            <w:tcW w:w="14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205" w:name="fina770053_5"/>
      <w:bookmarkEnd w:id="205"/>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41"/>
        <w:gridCol w:w="227"/>
        <w:gridCol w:w="140"/>
        <w:gridCol w:w="771"/>
        <w:gridCol w:w="156"/>
        <w:gridCol w:w="200"/>
        <w:gridCol w:w="140"/>
        <w:gridCol w:w="771"/>
        <w:gridCol w:w="159"/>
      </w:tblGrid>
      <w:tr>
        <w:trPr/>
        <w:tc>
          <w:tcPr>
            <w:tcW w:w="7641"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4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1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(42,823</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(32,180</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1,478</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1,006</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1,121</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1,119</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Loss on fixed asset disposal</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255</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1,118</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862</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issuance of common stock for the exchange of license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363</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(643</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(1,255</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(1,019</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(376</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(14</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(165</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(1,234</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1,611</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4,509</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(950</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(1,105</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(56</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56</w:t>
            </w:r>
          </w:p>
        </w:tc>
        <w:tc>
          <w:tcPr>
            <w:tcW w:w="159" w:type="dxa"/>
            <w:tcBorders/>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(40,681</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(27,637</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property, equipment and improvements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(279</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(2,088</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(279</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(2,088</w:t>
            </w:r>
          </w:p>
        </w:tc>
        <w:tc>
          <w:tcPr>
            <w:tcW w:w="159" w:type="dxa"/>
            <w:tcBorders/>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issuance of SAFEs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34,125</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preferred stock - net of issuance costs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38,017</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common stock options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121</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finance lease obligations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(499</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(393</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33,747</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37,628</w:t>
            </w:r>
          </w:p>
        </w:tc>
        <w:tc>
          <w:tcPr>
            <w:tcW w:w="159" w:type="dxa"/>
            <w:tcBorders/>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Effect of exchange rate changes on cash and cash equivalents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16</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 and restricted cash</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(7,197</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7,903</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beginning of period</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36,553</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28,650</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end of period</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29,356</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36,553</w:t>
            </w:r>
          </w:p>
        </w:tc>
        <w:tc>
          <w:tcPr>
            <w:tcW w:w="159" w:type="dxa"/>
            <w:tcBorders/>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28,769</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35,966</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587</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587</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29,356</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36,553</w:t>
            </w:r>
          </w:p>
        </w:tc>
        <w:tc>
          <w:tcPr>
            <w:tcW w:w="159" w:type="dxa"/>
            <w:tcBorders/>
            <w:vAlign w:val="bottom"/>
          </w:tcPr>
          <w:p>
            <w:pPr>
              <w:pStyle w:val="TableContents"/>
              <w:bidi w:val="0"/>
              <w:spacing w:before="0" w:after="283"/>
              <w:jc w:val="left"/>
              <w:rPr/>
            </w:pPr>
            <w:r>
              <w:rPr/>
              <w:t> </w:t>
            </w:r>
          </w:p>
        </w:tc>
      </w:tr>
      <w:tr>
        <w:trPr/>
        <w:tc>
          <w:tcPr>
            <w:tcW w:w="764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equipment through finance leases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234</w:t>
            </w:r>
          </w:p>
        </w:tc>
        <w:tc>
          <w:tcPr>
            <w:tcW w:w="15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1,340</w:t>
            </w:r>
          </w:p>
        </w:tc>
        <w:tc>
          <w:tcPr>
            <w:tcW w:w="159" w:type="dxa"/>
            <w:tcBorders/>
            <w:vAlign w:val="bottom"/>
          </w:tcPr>
          <w:p>
            <w:pPr>
              <w:pStyle w:val="TableContents"/>
              <w:bidi w:val="0"/>
              <w:spacing w:before="0" w:after="283"/>
              <w:jc w:val="left"/>
              <w:rPr/>
            </w:pPr>
            <w:r>
              <w:rPr/>
              <w:t> </w:t>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expenses and other current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669</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641"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152</w:t>
            </w:r>
          </w:p>
        </w:tc>
        <w:tc>
          <w:tcPr>
            <w:tcW w:w="15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144</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206" w:name="fina770053_6"/>
      <w:bookmarkEnd w:id="206"/>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(Company) is a biotechnology company focused on the discovery and development of therapeutic proteins and antibodies that modulate the activity of G-protein coupled receptors (GPCRs). Leveraging its proprietary technology platform called GEODe (GPCRs Engineered for Optimal Discovery), the Company is focused on developing biologic medicines that overcome the existing challenges of GPCR-targeted drug discovery and harness the human body to modify the course of disease. The Company focuses on areas of significant unmet medical need, often where therapeutic options are poor or nonexistent, as these are areas where new medicines have the potential to improve patient quality of life. The Company was incorporated on June 5, 2019 under the laws of the State of Delaware and has its principal headquarters in Watertown, Massachusetts.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Company had an accumulated deficit of $90.6 million and has incurred losses and negative cash flows from operations since inception, including a net loss of $42.8 million for the year ended December 31, 2023. To date, the Company has financed its operations primarily through the issuance of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is seeking to complete a planned reverse merger with AVROBIO, Inc. (AVROBIO) (see Note 14). In the event the Company does not complete the reverse merger, the Company plans to seek additional funding through private equity financings, debt financings or other capital sources, including collaboration agreements, strategic alliances and licensing arrangements. The Company may not be able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financing on acceptable terms, or at all. Although management continues to pursue these plans, there is no assurance that the Company will be successful in obtaining sufficient funding on terms acceptable to the Company to fund continuing operations, if at all. Management believes that the Companys cash and cash equivalents of $28.8 million as of December 31, 2023 is not sufficient to maintain its current and planned operations for at least the next twelve months following the issuance date of these consolidated financial statements. Management has concluded that these conditions, in aggregate, raise 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fund future operations through private and potentially public equity financings, debt financings, collaboration agreements, strategic alliances and licensing arrangements. The availability of sufficient funding to alleviate the conditions that raise substantial doubt are not within managements control and cannot be assessed as being probable of occurring. If the Company is unable to obtain adequate financing, management will evaluate alternatives, which may include a delay, reduction or elimination of research and development programs, product portfolio expansion or commercialization efforts, which could adversely affect future business prospects, and the ability to continue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accounts of the Company and its subsidiaries. All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the fair value determination of the SAFEs and the preferred stock tranche liability settled in 2022.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Companys wholly-owned foreign subsidiary in Australia is Australian Dollars. </w:t>
      </w:r>
    </w:p>
    <w:p>
      <w:pPr>
        <w:pStyle w:val="TextBody"/>
        <w:bidi w:val="0"/>
        <w:spacing w:before="120" w:after="0"/>
        <w:jc w:val="left"/>
        <w:rPr>
          <w:rFonts w:ascii="Times New Roman" w:hAnsi="Times New Roman"/>
          <w:sz w:val="20"/>
        </w:rPr>
      </w:pPr>
      <w:r>
        <w:rPr>
          <w:rFonts w:ascii="Times New Roman" w:hAnsi="Times New Roman"/>
          <w:sz w:val="20"/>
        </w:rPr>
        <w:t xml:space="preserve">Accounts and transactions denominated in currencies other than an entitys functional currency are remeasured into the functional currency using the appropriate foreign exchange rate in accordance with FASB ASC Topic 830, </w:t>
      </w:r>
      <w:r>
        <w:rPr>
          <w:rFonts w:ascii="Times New Roman" w:hAnsi="Times New Roman"/>
          <w:i/>
          <w:sz w:val="20"/>
        </w:rPr>
        <w:t>Foreign Currency Matters.</w:t>
      </w:r>
      <w:r>
        <w:rPr>
          <w:rFonts w:ascii="Times New Roman" w:hAnsi="Times New Roman"/>
          <w:sz w:val="20"/>
        </w:rPr>
        <w:t xml:space="preserve"> All foreign currency transaction gains and losses arising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from transactions denominated in foreign currencies are recorded in the statements of operations and comprehensive loss as other income or expenses. The financial statements of the Australian subsidiary will be translated into the Companys U.S. dollar reporting currency at each reporting date, and the translation adjustments will be recognized as an unrealized gain or loss within the cumulative translation adjustment.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considered the Companys organizational structure and the information regularly reviewed and evaluated by the Companys chief operating decision maker (CODM) when deciding how to allocate resources and assess performance. The Company has determined that its CODM is its Chief Executive Officer. The CODM reviews the financial information on a consolidated basis for purposes of evaluating financial performance and allocating resources. On the basis of this factor, the Company determined that it operates and manages its business as a single operating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three months or less when purchased to be cash equivalents. As of December 31, 2023, cash equivalents were comprised primarily of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all cash whose use is limited by contractual provisions as restricted cash. Restricted cash arises from the requirement for the Company to maintain cash of $0.6 million as collateral in connection with a letter of credit issued with the corporate headquarters and lab space lease agreement entered into on November 19, 2020 and may not access these funds until after the expiration of the initial lease term on December 31, 2025. The Company has classified the certificate of deposits collateralizing the letter of credits issued as a security deposit as restricted cash in the noncurrent asset section of the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direct legal, accounting and other fees and costs directly attributable to the Companys proposed Merger (see Note 14). The Company capitalized deferred offering costs incurred prior to the close of the Merger which are included in deferred offering costs within the consolidated balance sheet as of December 31, 2023. The deferred offering costs were $0.7 million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and Off-Balance Sheet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expose the Company to concentrations of credit risk consist primarily of cash and cash equivalents. Periodically, the Company maintains deposits in accredited financial institutions in excess of governmental insured limits. The Company deposits its cash and cash equivalents in financial institutions that it believes have a high credit quality and have not experienced any losses on such accounts and does not believe it is exposed to any unusual credit risk beyond the normal credit risk associated with commercial banking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Equipment and Improvements </w:t>
      </w:r>
    </w:p>
    <w:p>
      <w:pPr>
        <w:pStyle w:val="TextBody"/>
        <w:bidi w:val="0"/>
        <w:spacing w:before="120" w:after="0"/>
        <w:jc w:val="left"/>
        <w:rPr>
          <w:rFonts w:ascii="Times New Roman" w:hAnsi="Times New Roman"/>
          <w:sz w:val="20"/>
        </w:rPr>
      </w:pPr>
      <w:r>
        <w:rPr>
          <w:rFonts w:ascii="Times New Roman" w:hAnsi="Times New Roman"/>
          <w:sz w:val="20"/>
        </w:rPr>
        <w:t xml:space="preserve">Property, equipment and improvements are stated at cost less accumulated depreciation. Depreciation is calculated using the straight-line method over the estimated useful life of each asset. Construction in process is capitalized and once the asset is operational, the Company will commence depreciation of the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Upon retirement or sale, the cost of assets disposed of and the related accumulated depreciation are removed from the accounts and any resulting gain or loss is recognized. Expenditures for major renewals and improvements that extend the useful life of the asset are capitalized as part of the asset. Expenditures for repairs and maintenance are expensed as incurred. </w:t>
      </w:r>
    </w:p>
    <w:p>
      <w:pPr>
        <w:pStyle w:val="TextBody"/>
        <w:bidi w:val="0"/>
        <w:spacing w:before="120" w:after="0"/>
        <w:jc w:val="left"/>
        <w:rPr>
          <w:rFonts w:ascii="Times New Roman" w:hAnsi="Times New Roman"/>
          <w:sz w:val="20"/>
        </w:rPr>
      </w:pPr>
      <w:r>
        <w:rPr>
          <w:rFonts w:ascii="Times New Roman" w:hAnsi="Times New Roman"/>
          <w:sz w:val="20"/>
        </w:rPr>
        <w:t xml:space="preserve">The estimated useful lives for property and equipment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31"/>
        <w:gridCol w:w="69"/>
        <w:gridCol w:w="3439"/>
      </w:tblGrid>
      <w:tr>
        <w:trPr/>
        <w:tc>
          <w:tcPr>
            <w:tcW w:w="3431"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439"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439" w:type="dxa"/>
            <w:tcBorders>
              <w:bottom w:val="single" w:sz="8" w:space="0" w:color="000000"/>
            </w:tcBorders>
            <w:tcMar>
              <w:bottom w:w="28" w:type="dxa"/>
            </w:tcMar>
            <w:vAlign w:val="bottom"/>
          </w:tcPr>
          <w:p>
            <w:pPr>
              <w:pStyle w:val="TableContents"/>
              <w:bidi w:val="0"/>
              <w:spacing w:before="0" w:after="283"/>
              <w:jc w:val="center"/>
              <w:rPr>
                <w:b/>
              </w:rPr>
            </w:pPr>
            <w:r>
              <w:rPr>
                <w:b/>
              </w:rPr>
              <w:t>Estimated Useful Life</w:t>
            </w:r>
          </w:p>
        </w:tc>
      </w:tr>
      <w:tr>
        <w:trPr/>
        <w:tc>
          <w:tcPr>
            <w:tcW w:w="3431" w:type="dxa"/>
            <w:tcBorders/>
          </w:tcPr>
          <w:p>
            <w:pPr>
              <w:pStyle w:val="TableContents"/>
              <w:bidi w:val="0"/>
              <w:spacing w:before="0" w:after="283"/>
              <w:jc w:val="left"/>
              <w:rPr/>
            </w:pPr>
            <w:r>
              <w:rPr/>
              <w:t>Laboratory equipment</w:t>
            </w:r>
          </w:p>
        </w:tc>
        <w:tc>
          <w:tcPr>
            <w:tcW w:w="69" w:type="dxa"/>
            <w:tcBorders/>
            <w:vAlign w:val="bottom"/>
          </w:tcPr>
          <w:p>
            <w:pPr>
              <w:pStyle w:val="TableContents"/>
              <w:bidi w:val="0"/>
              <w:spacing w:before="0" w:after="283"/>
              <w:jc w:val="left"/>
              <w:rPr/>
            </w:pPr>
            <w:r>
              <w:rPr/>
              <w:t> </w:t>
            </w:r>
          </w:p>
        </w:tc>
        <w:tc>
          <w:tcPr>
            <w:tcW w:w="3439" w:type="dxa"/>
            <w:tcBorders/>
          </w:tcPr>
          <w:p>
            <w:pPr>
              <w:pStyle w:val="TableContents"/>
              <w:bidi w:val="0"/>
              <w:spacing w:before="0" w:after="283"/>
              <w:jc w:val="center"/>
              <w:rPr/>
            </w:pPr>
            <w:r>
              <w:rPr/>
              <w:t>5 years</w:t>
            </w:r>
          </w:p>
        </w:tc>
      </w:tr>
      <w:tr>
        <w:trPr/>
        <w:tc>
          <w:tcPr>
            <w:tcW w:w="3431" w:type="dxa"/>
            <w:tcBorders/>
          </w:tcPr>
          <w:p>
            <w:pPr>
              <w:pStyle w:val="TableContents"/>
              <w:bidi w:val="0"/>
              <w:spacing w:before="0" w:after="283"/>
              <w:jc w:val="left"/>
              <w:rPr/>
            </w:pPr>
            <w:r>
              <w:rPr/>
              <w:t>Furniture and office equipment</w:t>
            </w:r>
          </w:p>
        </w:tc>
        <w:tc>
          <w:tcPr>
            <w:tcW w:w="69" w:type="dxa"/>
            <w:tcBorders/>
            <w:vAlign w:val="bottom"/>
          </w:tcPr>
          <w:p>
            <w:pPr>
              <w:pStyle w:val="TableContents"/>
              <w:bidi w:val="0"/>
              <w:spacing w:before="0" w:after="283"/>
              <w:jc w:val="left"/>
              <w:rPr/>
            </w:pPr>
            <w:r>
              <w:rPr/>
              <w:t> </w:t>
            </w:r>
          </w:p>
        </w:tc>
        <w:tc>
          <w:tcPr>
            <w:tcW w:w="3439" w:type="dxa"/>
            <w:tcBorders/>
          </w:tcPr>
          <w:p>
            <w:pPr>
              <w:pStyle w:val="TableContents"/>
              <w:bidi w:val="0"/>
              <w:spacing w:before="0" w:after="283"/>
              <w:jc w:val="center"/>
              <w:rPr/>
            </w:pPr>
            <w:r>
              <w:rPr/>
              <w:t>5 years</w:t>
            </w:r>
          </w:p>
        </w:tc>
      </w:tr>
      <w:tr>
        <w:trPr/>
        <w:tc>
          <w:tcPr>
            <w:tcW w:w="3431" w:type="dxa"/>
            <w:tcBorders/>
          </w:tcPr>
          <w:p>
            <w:pPr>
              <w:pStyle w:val="TableContents"/>
              <w:bidi w:val="0"/>
              <w:spacing w:before="0" w:after="283"/>
              <w:jc w:val="left"/>
              <w:rPr/>
            </w:pPr>
            <w:r>
              <w:rPr/>
              <w:t>Computer equipment</w:t>
            </w:r>
          </w:p>
        </w:tc>
        <w:tc>
          <w:tcPr>
            <w:tcW w:w="69" w:type="dxa"/>
            <w:tcBorders/>
            <w:vAlign w:val="bottom"/>
          </w:tcPr>
          <w:p>
            <w:pPr>
              <w:pStyle w:val="TableContents"/>
              <w:bidi w:val="0"/>
              <w:spacing w:before="0" w:after="283"/>
              <w:jc w:val="left"/>
              <w:rPr/>
            </w:pPr>
            <w:r>
              <w:rPr/>
              <w:t> </w:t>
            </w:r>
          </w:p>
        </w:tc>
        <w:tc>
          <w:tcPr>
            <w:tcW w:w="3439" w:type="dxa"/>
            <w:tcBorders/>
          </w:tcPr>
          <w:p>
            <w:pPr>
              <w:pStyle w:val="TableContents"/>
              <w:bidi w:val="0"/>
              <w:spacing w:before="0" w:after="283"/>
              <w:jc w:val="center"/>
              <w:rPr/>
            </w:pPr>
            <w:r>
              <w:rPr/>
              <w:t>3 years</w:t>
            </w:r>
          </w:p>
        </w:tc>
      </w:tr>
      <w:tr>
        <w:trPr/>
        <w:tc>
          <w:tcPr>
            <w:tcW w:w="3431" w:type="dxa"/>
            <w:tcBorders/>
          </w:tcPr>
          <w:p>
            <w:pPr>
              <w:pStyle w:val="TableContents"/>
              <w:bidi w:val="0"/>
              <w:spacing w:before="0" w:after="283"/>
              <w:jc w:val="left"/>
              <w:rPr/>
            </w:pPr>
            <w:r>
              <w:rPr/>
              <w:t>Leasehold improvements</w:t>
            </w:r>
          </w:p>
        </w:tc>
        <w:tc>
          <w:tcPr>
            <w:tcW w:w="69" w:type="dxa"/>
            <w:tcBorders/>
            <w:vAlign w:val="bottom"/>
          </w:tcPr>
          <w:p>
            <w:pPr>
              <w:pStyle w:val="TableContents"/>
              <w:bidi w:val="0"/>
              <w:spacing w:before="0" w:after="283"/>
              <w:jc w:val="left"/>
              <w:rPr/>
            </w:pPr>
            <w:r>
              <w:rPr/>
              <w:t> </w:t>
            </w:r>
          </w:p>
        </w:tc>
        <w:tc>
          <w:tcPr>
            <w:tcW w:w="3439" w:type="dxa"/>
            <w:tcBorders/>
          </w:tcPr>
          <w:p>
            <w:pPr>
              <w:pStyle w:val="TableContents"/>
              <w:bidi w:val="0"/>
              <w:spacing w:before="0" w:after="283"/>
              <w:jc w:val="center"/>
              <w:rPr/>
            </w:pPr>
            <w:r>
              <w:rPr/>
              <w:t>Shorter of the lease term or 10 years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long-lived assets, which consist primarily of property, equipment and improvements, for impairment whenever events or changes in circumstances indicate that the carrying amount of such assets may not be recoverable. The carrying amount of a long-lived asset is not recoverable if it exceeds the sum of the undiscounted cash flows expected to result from the use and eventual disposition of the asset. If the carrying amount of the asset is not recoverable, an impairment will be recognized and measured as the amount by which the carrying amount of the asset exceeds its fair value. No impairments were identified during the years ended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to sell an asset or paid to transfer a liability in an orderly transaction between market participants at the measurement date. Market participants are independent buyers or sellers in the principal (or most advantageous) market for the asset or liability. Fair value measurements are categorized into a three-tier hierarchy on the basis of the inputs to valuation techniques used to measure fair value. The hierarchy gives the highest priority to unadjusted quoted prices in active markets for identical assets or liabilities (Level 1) and the lowest priority to unobservable inputs (Level 3). </w:t>
      </w:r>
    </w:p>
    <w:p>
      <w:pPr>
        <w:pStyle w:val="TextBody"/>
        <w:bidi w:val="0"/>
        <w:spacing w:before="120" w:after="0"/>
        <w:jc w:val="left"/>
        <w:rPr>
          <w:rFonts w:ascii="Times New Roman" w:hAnsi="Times New Roman"/>
          <w:sz w:val="20"/>
        </w:rPr>
      </w:pPr>
      <w:r>
        <w:rPr>
          <w:rFonts w:ascii="Times New Roman" w:hAnsi="Times New Roman"/>
          <w:sz w:val="20"/>
        </w:rPr>
        <w:t xml:space="preserve">The three levels of the fair value hierarchy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1</w:t>
            </w:r>
            <w:r>
              <w:rPr>
                <w:rFonts w:ascii="Times New Roman" w:hAnsi="Times New Roman"/>
                <w:sz w:val="20"/>
              </w:rPr>
              <w:t xml:space="preserve">Unadjusted quoted prices in active markets for identical, unrestricted assets or liabilities that are accessible at the measurement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2</w:t>
            </w:r>
            <w:r>
              <w:rPr>
                <w:rFonts w:ascii="Times New Roman" w:hAnsi="Times New Roman"/>
                <w:sz w:val="20"/>
              </w:rPr>
              <w:t xml:space="preserve">Quoted prices for similar assets or liabilities in active markets, quoted prices for identical or similar asset or liabilities in markets that are not active or valuations with significant inputs other than quoted prices that are observable, either directly or indirectly;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3</w:t>
            </w:r>
            <w:r>
              <w:rPr>
                <w:rFonts w:ascii="Times New Roman" w:hAnsi="Times New Roman"/>
                <w:sz w:val="20"/>
              </w:rPr>
              <w:t xml:space="preserve">Prices or valuations that require inputs that are both significant to the fair value measurement and unobservable.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instruments are categorized in their entirety in the same level of the fair value hierarchy as the lowest level input that is significant to the entire fair value 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expenses consist primarily of costs incurred for the development of the proprietary platform and product candidates and include (1) expenses incurred under agreements with third parties and contract research organizations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(CROs), (2) costs to acquire and develop supplies for research, (3) salaries and related costs, including stock-based compensation, (4) depreciation and other facility-related and overhead expenses, (5) licensing and license maintenance fees incurred under license option and license agreements where no alternative future use exists, and (6) costs related to compliance with regulatory requirements. The Company recognizes external research and development costs based on an evaluation of the progress to completion of specific tasks using information provided from the Companys contracted service providers.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Prepaid and Accrued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Substantial portions of the Companys research are performed by third-party laboratories, CROs and other vendors. These vendors generally bill monthly for services performed, or bill based upon milestone achievement. The Company accrues expenses based upon estimates of percentage of work completed and the contract milestones remaining. On occasion, the Company is obligated to make upfront payments upon execution of research and development agreements. Advance payments, including nonrefundable amounts, for goods or services that will be used or rendered for future research and development activities are capitalized as prepaid expenses until such goods are delivered or the related services are performed. The Company estimates the period over which such services will be performed based on the terms of the agreements as well as the level of effort to be expended in each period. Since inception, the Company has not experienced any material differences between the actual and estimated timing of performance or level of effort.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2022, the Company adopted ASC Topic 842, </w:t>
      </w:r>
      <w:r>
        <w:rPr>
          <w:rFonts w:ascii="Times New Roman" w:hAnsi="Times New Roman"/>
          <w:i/>
          <w:sz w:val="20"/>
        </w:rPr>
        <w:t>Leases</w:t>
      </w:r>
      <w:r>
        <w:rPr>
          <w:rFonts w:ascii="Times New Roman" w:hAnsi="Times New Roman"/>
          <w:sz w:val="20"/>
        </w:rPr>
        <w:t xml:space="preserve"> (ASC 842), and elected to apply the modified retrospective transition approach using the effective date as the initial date of application. ASC 842 requires that lessees recognize leases with a term greater than twelve months on the balance sheet. The Companys existing capital leases will now be referred to as finance leases. The Companys existing operating sublease arrangement in which it is the sublessor will remain off balance sheet and lease income will continue to be recognized on a straight-lined basis. ASC 842 provided a number of optional practical expedients in transition. The Company applied the package of three practical expedients to leases that commenced prior to the January 1, 2022. Use of these practical expedients allowed the Company not to reassess: (i) whether any expired or existing contracts were or contained leases; (ii) the lease classification for any expired or existing leases; and (iii) the treatment of initial direct costs for existing leases. </w:t>
      </w:r>
    </w:p>
    <w:p>
      <w:pPr>
        <w:pStyle w:val="TextBody"/>
        <w:bidi w:val="0"/>
        <w:spacing w:before="120" w:after="0"/>
        <w:jc w:val="left"/>
        <w:rPr>
          <w:rFonts w:ascii="Times New Roman" w:hAnsi="Times New Roman"/>
          <w:sz w:val="20"/>
        </w:rPr>
      </w:pPr>
      <w:r>
        <w:rPr>
          <w:rFonts w:ascii="Times New Roman" w:hAnsi="Times New Roman"/>
          <w:sz w:val="20"/>
        </w:rPr>
        <w:t xml:space="preserve">On January 1, 2022, the Company recorded operating lease liabilities and their corresponding right-of-use (ROU) assets based on the present value of lease payments over the remaining lease term. The Company used its incremental borrowing rate (IBR) on January 1, 2022, to calculate the present value of the Companys leases. The IBR approximates the rate of interest the Company would have to pay to borrow on a collateralized basis over a similar term. The determination of the appropriate IBR was dependent on several factors, including the economic environment, the amount of the borrowing, the Companys estimated credit rating and the lease term at the time of measurement. The Companys unsecured credit rating was estimated via a synthetic credit rating model which included fundamental analysis. The Companys unsecured credit rating was then adjusted upward using a notching technique to reflect collateralization. </w:t>
      </w:r>
    </w:p>
    <w:p>
      <w:pPr>
        <w:pStyle w:val="TextBody"/>
        <w:bidi w:val="0"/>
        <w:spacing w:before="120" w:after="0"/>
        <w:jc w:val="left"/>
        <w:rPr>
          <w:rFonts w:ascii="Times New Roman" w:hAnsi="Times New Roman"/>
          <w:sz w:val="20"/>
        </w:rPr>
      </w:pPr>
      <w:r>
        <w:rPr>
          <w:rFonts w:ascii="Times New Roman" w:hAnsi="Times New Roman"/>
          <w:sz w:val="20"/>
        </w:rPr>
        <w:t xml:space="preserve">For leases entered into after January 1, 2022, the Company applies the guidance in ASC 842, and determines whether an arrangement is or contains a lease at inception. A contract is or contains a lease if the contract conveys the right to control the use of an identified asset for a period of time in exchange for consideration. The Company classifies a lease at the lease commencement date, when control of the underlying asset is transferred from the lessor to the lessee, as an operating or finance lease and records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ROU asset and a lease liability on the consolidated balance sheet for any lease with a lease term greater than twelve months. The Company has elected the practical expedient to not recognize leases with a lease term of twelve months or less on the balance sheet (short-term leases) and will recognize lease payments for such short-term leases as an expense on a straight-line basis.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that contain both lease and non-lease components. Non-lease components may include items such as maintenance, utilities, or other operating costs. The Company has elected to combine the lease and associated non-lease components in its lease arrangements as a single lease component for all real estate and equipment leases. Variable lease costs, such as utilities or maintenance costs, are not included in the measurement of ROU assets and lease liabilities, but rather are expensed when the events determining the amount of variable lease consideration to be paid occurs. </w:t>
      </w:r>
    </w:p>
    <w:p>
      <w:pPr>
        <w:pStyle w:val="TextBody"/>
        <w:bidi w:val="0"/>
        <w:spacing w:before="120" w:after="0"/>
        <w:jc w:val="left"/>
        <w:rPr>
          <w:rFonts w:ascii="Times New Roman" w:hAnsi="Times New Roman"/>
          <w:sz w:val="20"/>
        </w:rPr>
      </w:pPr>
      <w:r>
        <w:rPr>
          <w:rFonts w:ascii="Times New Roman" w:hAnsi="Times New Roman"/>
          <w:sz w:val="20"/>
        </w:rPr>
        <w:t xml:space="preserve">For lease arrangements in which the Company is a lessee, finance and operating ROU assets and liabilities are recognized at the lease commencement date based on the present value of the lease payments over the lease term determined using the discount rate implicit in the lease if readily determinable. When the rate implicit in the lease is not readily determinable, the Company utilizes its IBR, which is determined on the basis of information that is available at the lease commencement date. ROU assets are further adjusted for items such as initial direct costs, prepaid rent, or lease incentives. Operating lease costs are expensed using the straight-line method as an operating expense over the lease term unless the operating lease ROU asset has been impaired.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between (i) a portion that is recorded as interest expense and (ii) a portion that reduces the finance lease liability associated with the lease.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SAFE instruments do not represent legal form debt (i.e., no creditor rights), but allow for redemption based upon certain triggering events that are outside of the control of the Company. The Company accounts for a SAFE as a liability at fair value on a recurring basis. Triggering events include an equity financing, public listing transaction, change of control or dissolution. Changes in the liabilitys fair value are recognized in the Companys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convertible preferred stock outside of stockholders deficit on the consolidated balance sheets as it is redeemable upon the occurrence of a Deemed Liquidation Event, as defined below, that is not strictly within the Companys control. The issuance of convertible preferred stock is recorded at the issuance price less any amounts allocated to freestanding liabilities associated with the issuance and related allocable issuance costs. The carrying values of the convertible preferred stock have not been adjusted to their liquidation preferences because it is not considered probable that a Deemed Liquidation Event will occur and make such stock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records the expense related to stock-based payment awards based on the fair value of those awards as determined on the date of grant. The Company recognizes stock-based compensation expense over the requisite service period of the individual grant, which is generally equal to the vesting period, using the straight-line method. For stock options with performance conditions, the Company records stock-based compensation expense when it is deemed probable that the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condition will be met. The Company uses the Black-Scholes-Merton (BSM) option-pricing model to determine the fair value of stock options. The BSM option-pricing model requires the use of assumptions to determine the fair value of the stock options. The fair value of the shares of common stock underlying stock options has historically been determined by the Board of Directors (Board), with input from management and contemporaneous third-party valuations, as there was no public market for the common stock. Given the absence of a public market for the Companys common stock, and in accordance with the American Institute of Certified Public Accountants Practice Aid, Valuation of Privately Held Company Equity Securities Issued as Compensation, the Board exercised reasonable judgment and considered numerous objective and subjective factors to determine the best estimate of the fair value of the Companys common stock at each stock option grant 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calculates the fair value of stock options granted by using the BSM option-pricing model with the following assumptions: </w:t>
      </w:r>
    </w:p>
    <w:p>
      <w:pPr>
        <w:pStyle w:val="TextBody"/>
        <w:bidi w:val="0"/>
        <w:spacing w:before="12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The estimated volatility is determined by evaluating the average historical volatility of a peer group of companies for the period preceding the stock option grant for a term that is approximately equal to the stock options expected term. </w:t>
      </w:r>
    </w:p>
    <w:p>
      <w:pPr>
        <w:pStyle w:val="TextBody"/>
        <w:bidi w:val="0"/>
        <w:spacing w:before="12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The expected life represents the period of time that the stock options are expected to be outstanding. Because the Company does not have substantial historical exercise behavior, it determines the expected life assumption using the simplified method, for employees and nonemployees, which is an average of the contractual term of the stock option and its vesting period. </w:t>
      </w:r>
    </w:p>
    <w:p>
      <w:pPr>
        <w:pStyle w:val="TextBody"/>
        <w:bidi w:val="0"/>
        <w:spacing w:before="12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The risk-free interest rate is based on the implied yield currently available on U.S. Treasury zero-coupon issues with a term that is equal to the stock options expected term at the grant date. </w:t>
      </w:r>
    </w:p>
    <w:p>
      <w:pPr>
        <w:pStyle w:val="TextBody"/>
        <w:bidi w:val="0"/>
        <w:spacing w:before="120" w:after="0"/>
        <w:jc w:val="left"/>
        <w:rPr>
          <w:rFonts w:ascii="Times New Roman" w:hAnsi="Times New Roman"/>
          <w:sz w:val="20"/>
        </w:rPr>
      </w:pPr>
      <w:r>
        <w:rPr>
          <w:rFonts w:ascii="Times New Roman" w:hAnsi="Times New Roman"/>
          <w:i/>
          <w:sz w:val="20"/>
        </w:rPr>
        <w:t>Dividend Yield</w:t>
      </w:r>
      <w:r>
        <w:rPr>
          <w:rFonts w:ascii="Times New Roman" w:hAnsi="Times New Roman"/>
          <w:sz w:val="20"/>
        </w:rPr>
        <w:t xml:space="preserve">The Company has not declared or paid dividends to date and does not anticipate declaring dividends for the foreseeable future. As such, the dividend yield is estimated to be zero. </w:t>
      </w:r>
    </w:p>
    <w:p>
      <w:pPr>
        <w:pStyle w:val="TextBody"/>
        <w:bidi w:val="0"/>
        <w:spacing w:before="120" w:after="0"/>
        <w:jc w:val="left"/>
        <w:rPr>
          <w:rFonts w:ascii="Times New Roman" w:hAnsi="Times New Roman"/>
          <w:sz w:val="20"/>
        </w:rPr>
      </w:pPr>
      <w:r>
        <w:rPr>
          <w:rFonts w:ascii="Times New Roman" w:hAnsi="Times New Roman"/>
          <w:i/>
          <w:sz w:val="20"/>
        </w:rPr>
        <w:t>Forfeitures</w:t>
      </w:r>
      <w:r>
        <w:rPr>
          <w:rFonts w:ascii="Times New Roman" w:hAnsi="Times New Roman"/>
          <w:sz w:val="20"/>
        </w:rPr>
        <w:t xml:space="preserve">The Company records forfeitures as they occur.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of restricted common stock granted to founders, employees and consultants is the estimated fair value on the grant date and is subject to various vesting schedules. Unvested restricted common stock are subject to repurchase rights held by the Company at the original issuance price in the event the restricted common stockholders service to the Company is terminated either voluntarily or involuntarily. The associated liability is classified in accrued expenses and other current liabilities in the consolidated balance sheets. The balance of this liability as of December 31, 2023 and 2022 is immaterial. </w:t>
      </w:r>
    </w:p>
    <w:p>
      <w:pPr>
        <w:pStyle w:val="TextBody"/>
        <w:bidi w:val="0"/>
        <w:spacing w:before="120" w:after="0"/>
        <w:jc w:val="left"/>
        <w:rPr>
          <w:rFonts w:ascii="Times New Roman" w:hAnsi="Times New Roman"/>
          <w:sz w:val="20"/>
        </w:rPr>
      </w:pPr>
      <w:r>
        <w:rPr>
          <w:rFonts w:ascii="Times New Roman" w:hAnsi="Times New Roman"/>
          <w:sz w:val="20"/>
        </w:rPr>
        <w:t xml:space="preserve">All stock-based compensation expense is recorded in research and development expense or general and administrative expense in the consolidated statements of operations and comprehensive loss, on the basis of the respective employee and nonemployees role within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under ASC Topic 740, </w:t>
      </w:r>
      <w:r>
        <w:rPr>
          <w:rFonts w:ascii="Times New Roman" w:hAnsi="Times New Roman"/>
          <w:i/>
          <w:sz w:val="20"/>
        </w:rPr>
        <w:t xml:space="preserve">Income Taxes </w:t>
      </w:r>
      <w:r>
        <w:rPr>
          <w:rFonts w:ascii="Times New Roman" w:hAnsi="Times New Roman"/>
          <w:sz w:val="20"/>
        </w:rPr>
        <w:t xml:space="preserve">(ASC 740), which requires the recognition of deferred tax assets and liabilities for the expected future tax consequences of events that have been included in the financial statements. Under this method, the Company determined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Related parties are directly or indirectly related to the Company, through one or more intermediaries and are in control, controlled by, or under common control with the Company. Related parties also include principal owners of the Company, its management, members of the immediate families of principal owners of the Company and its management, and other parties with which the Company may transact with if one party controls or can significantly influence the management or operating policies of the other to an extent that one of the transacting parties might be prevented from fully pursuing its own separate interests. The Board reviews and approves transactions with directors, officers and holders of 5% or more of the Companys voting securities and their affiliates or their family members. The material facts as to the related partys relationship or interest in the transaction are disclosed to the Board prior to its consideration of such transaction, and the transaction is not considered approved by the Board unless a majority of the directors who are not interested in the transaction approve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Net Loss per Share</w:t>
      </w:r>
    </w:p>
    <w:p>
      <w:pPr>
        <w:pStyle w:val="TextBody"/>
        <w:bidi w:val="0"/>
        <w:spacing w:before="120" w:after="0"/>
        <w:jc w:val="left"/>
        <w:rPr>
          <w:rFonts w:ascii="Times New Roman" w:hAnsi="Times New Roman"/>
          <w:sz w:val="20"/>
        </w:rPr>
      </w:pPr>
      <w:r>
        <w:rPr>
          <w:rFonts w:ascii="Times New Roman" w:hAnsi="Times New Roman"/>
          <w:sz w:val="20"/>
        </w:rPr>
        <w:t>The Company applies the two-class method when computing earnings per share attributable to common stockholders as the Company has issued securities that meet the definition of participating securities. The two-class method determines earnings per share for each class of common and participating securities according to dividends declared or accumulated in the current period and participation rights in undistributed earnings. The Company considers its convertible preferred stock and SAFEs to be participating securities as, in the event a dividend is paid on common stock, the holders of convertible preferred stock and SAFEs would be entitled to receive dividends on a basis consistent with the common stockholders. There is no allocation required under the two-class method during periods of loss since the participating securities do not have a contractual obligation to share in the losses of the Company.</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attributable to common stockholders is computed by dividing the net loss attributable to common stockholders by the weighted-average number of common shares outstanding for the period, excluding potentially dilutive common shares. Diluted net loss per share attributable to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stockholders is computed by adjusting net loss attributable to common stockholders to reallocate earnings based on the potential impact of dilutive securities. Diluted net loss per share attributable to common stockholders is computed by dividing the diluted net loss attributable to common stockholders by the weighted-average number of common shares outstanding for the period, including potential dilutive common shares. For purposes of this calculation, the Companys outstanding convertible preferred stock, stock options, unvested restricted common stock and the SAFEs are considered potential dilutive common shares. </w:t>
      </w:r>
    </w:p>
    <w:p>
      <w:pPr>
        <w:pStyle w:val="TextBody"/>
        <w:bidi w:val="0"/>
        <w:spacing w:before="120" w:after="0"/>
        <w:jc w:val="left"/>
        <w:rPr>
          <w:rFonts w:ascii="Times New Roman" w:hAnsi="Times New Roman"/>
          <w:sz w:val="20"/>
        </w:rPr>
      </w:pPr>
      <w:r>
        <w:rPr>
          <w:rFonts w:ascii="Times New Roman" w:hAnsi="Times New Roman"/>
          <w:sz w:val="20"/>
        </w:rPr>
        <w:t>The Company generated a net loss for each of the years presented. Accordingly, basic and diluted net loss per share attributable to common stockholders are the same because the inclusion of the potentially dilutive securities would be anti-dilutive.</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consolidated financial statements upon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No. 2020-06, </w:t>
      </w:r>
      <w:r>
        <w:rPr>
          <w:rFonts w:ascii="Times New Roman" w:hAnsi="Times New Roman"/>
          <w:i/>
          <w:sz w:val="20"/>
        </w:rPr>
        <w:t>DebtDebt with Conversion and Other Options (Subtopic</w:t>
      </w:r>
      <w:r>
        <w:rPr>
          <w:rFonts w:ascii="Times New Roman" w:hAnsi="Times New Roman"/>
          <w:sz w:val="20"/>
        </w:rPr>
        <w:t> </w:t>
      </w:r>
      <w:r>
        <w:rPr>
          <w:rFonts w:ascii="Times New Roman" w:hAnsi="Times New Roman"/>
          <w:i/>
          <w:sz w:val="20"/>
        </w:rPr>
        <w:t xml:space="preserve">470-20) and Derivatives and Hedging Contracts in an Entitys Own Equity (Subtopic 815-40): Accounting for Convertible Instruments and Contracts in an Entitys Own Equity </w:t>
      </w:r>
      <w:r>
        <w:rPr>
          <w:rFonts w:ascii="Times New Roman" w:hAnsi="Times New Roman"/>
          <w:sz w:val="20"/>
        </w:rPr>
        <w:t xml:space="preserve">(ASU 2020-06). ASU 2020-06 simplifies the accounting for convertible instruments by reducing the number of accounting models for 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not carried at fair value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is in the process of evaluating the impact of the adoption of ASU 2020-06 will have on the consolidated financial statements and disclosures.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w:t>
      </w:r>
      <w:r>
        <w:rPr>
          <w:rFonts w:ascii="Times New Roman" w:hAnsi="Times New Roman"/>
          <w:i/>
          <w:sz w:val="20"/>
        </w:rPr>
        <w:t>Segment Reporting</w:t>
      </w:r>
      <w:r>
        <w:rPr>
          <w:rFonts w:ascii="Times New Roman" w:hAnsi="Times New Roman"/>
          <w:sz w:val="20"/>
        </w:rPr>
        <w:t xml:space="preserve"> (Topic 280) (ASU 2023-07), which enhances the segment disclosure requirements for public entities on an annual and interim basis. Under ASU 2023-07, public entities will be required to disclose significant segment expenses that are regularly provided to the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December 2023, the FASB issued ASU No. 2023-09, </w:t>
      </w:r>
      <w:r>
        <w:rPr>
          <w:rFonts w:ascii="Times New Roman" w:hAnsi="Times New Roman"/>
          <w:i/>
          <w:sz w:val="20"/>
        </w:rPr>
        <w:t>Income Taxes</w:t>
      </w:r>
      <w:r>
        <w:rPr>
          <w:rFonts w:ascii="Times New Roman" w:hAnsi="Times New Roman"/>
          <w:sz w:val="20"/>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financial assets and liabilities measured at fair value on a recurring basis and indicate the level of the fair value hierarchy utilized to determine such fair values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84"/>
        <w:gridCol w:w="330"/>
        <w:gridCol w:w="140"/>
        <w:gridCol w:w="753"/>
        <w:gridCol w:w="60"/>
        <w:gridCol w:w="330"/>
        <w:gridCol w:w="381"/>
        <w:gridCol w:w="381"/>
        <w:gridCol w:w="60"/>
        <w:gridCol w:w="330"/>
        <w:gridCol w:w="140"/>
        <w:gridCol w:w="753"/>
        <w:gridCol w:w="60"/>
        <w:gridCol w:w="330"/>
        <w:gridCol w:w="140"/>
        <w:gridCol w:w="753"/>
        <w:gridCol w:w="63"/>
      </w:tblGrid>
      <w:tr>
        <w:trPr/>
        <w:tc>
          <w:tcPr>
            <w:tcW w:w="4384"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84"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461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27,278</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27,278</w:t>
            </w:r>
          </w:p>
        </w:tc>
        <w:tc>
          <w:tcPr>
            <w:tcW w:w="63"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84" w:type="dxa"/>
            <w:tcBorders/>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 </w:t>
            </w:r>
            <w:r>
              <w:rPr/>
              <w:t>27,278</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 </w:t>
            </w:r>
            <w:r>
              <w:rPr/>
              <w:t>27,278</w:t>
            </w:r>
          </w:p>
        </w:tc>
        <w:tc>
          <w:tcPr>
            <w:tcW w:w="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SAFE liabilities</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30,515</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30,515</w:t>
            </w:r>
          </w:p>
        </w:tc>
        <w:tc>
          <w:tcPr>
            <w:tcW w:w="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 </w:t>
            </w:r>
            <w:r>
              <w:rPr/>
              <w:t>30,515</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30,515</w:t>
            </w:r>
          </w:p>
        </w:tc>
        <w:tc>
          <w:tcPr>
            <w:tcW w:w="63"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240" w:hRule="atLeast"/>
        </w:trPr>
        <w:tc>
          <w:tcPr>
            <w:tcW w:w="4384" w:type="dxa"/>
            <w:tcBorders/>
            <w:vAlign w:val="center"/>
          </w:tcPr>
          <w:p>
            <w:pPr>
              <w:pStyle w:val="TableContents"/>
              <w:bidi w:val="0"/>
              <w:spacing w:before="0" w:after="283"/>
              <w:jc w:val="left"/>
              <w:rPr>
                <w:sz w:val="4"/>
                <w:szCs w:val="4"/>
              </w:rPr>
            </w:pPr>
            <w:r>
              <w:rPr>
                <w:sz w:val="4"/>
                <w:szCs w:val="4"/>
              </w:rPr>
            </w:r>
          </w:p>
        </w:tc>
        <w:tc>
          <w:tcPr>
            <w:tcW w:w="5004" w:type="dxa"/>
            <w:gridSpan w:val="16"/>
            <w:tcBorders/>
            <w:vAlign w:val="center"/>
          </w:tcPr>
          <w:p>
            <w:pPr>
              <w:pStyle w:val="TableContents"/>
              <w:bidi w:val="0"/>
              <w:spacing w:before="0" w:after="283"/>
              <w:jc w:val="left"/>
              <w:rPr>
                <w:sz w:val="4"/>
                <w:szCs w:val="4"/>
              </w:rPr>
            </w:pPr>
            <w:r>
              <w:rPr>
                <w:sz w:val="4"/>
                <w:szCs w:val="4"/>
              </w:rPr>
            </w:r>
          </w:p>
        </w:tc>
      </w:tr>
      <w:tr>
        <w:trPr/>
        <w:tc>
          <w:tcPr>
            <w:tcW w:w="4384"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461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33,640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33,640</w:t>
            </w:r>
          </w:p>
        </w:tc>
        <w:tc>
          <w:tcPr>
            <w:tcW w:w="63"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84" w:type="dxa"/>
            <w:tcBorders/>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33,640</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33,640</w:t>
            </w:r>
          </w:p>
        </w:tc>
        <w:tc>
          <w:tcPr>
            <w:tcW w:w="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Companys cash equivalents, which were invested in money market funds, were valued based on Level 1 inputs.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the Company entered into multiple SAFE agreements with certain existing investors and received $34.1 million (see Note 13). The SAFE liabilities are included within the Level 3 fair value hierarchy. The SAFE liabilities were valued using a probability weighted scenario analysis and discount rates derived by application of the build-up method to reflect the cost of equity. The valuation model requires a variety of inputs, including the probability of occurrence of events that would trigger conversion or redemption of the SAFEs, the expected timing of such events, and a discount rate. </w:t>
      </w:r>
    </w:p>
    <w:p>
      <w:pPr>
        <w:pStyle w:val="TextBody"/>
        <w:bidi w:val="0"/>
        <w:spacing w:before="120" w:after="0"/>
        <w:jc w:val="left"/>
        <w:rPr>
          <w:rFonts w:ascii="Times New Roman" w:hAnsi="Times New Roman"/>
          <w:sz w:val="20"/>
        </w:rPr>
      </w:pPr>
      <w:r>
        <w:rPr>
          <w:rFonts w:ascii="Times New Roman" w:hAnsi="Times New Roman"/>
          <w:sz w:val="20"/>
        </w:rPr>
        <w:t xml:space="preserve">The valuation of the SAFE liabilities as of December 31, 2023, was determined based on a probability-weighted scenario analysis that assumed the probabilities of the occurrence of an equity financing, public listing transaction and dissolution to be 10.0%, 87.5% and 2.5% respectively. The estimated time to redemption used was five months for an equity financing and dissolution and four months for a public listing transaction. The valuation used a discount rate of 30.2% to approximate the cost of equity, which was derived from application of a build-up method that incorporated the risk-free rate at the valuation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adjustments to reflect market risk, a small stock premium, and a selected company-specific risk premium. The valuation of the SAFE liabilities at the October issuance date was determined using the same methodology; however, the discount rate was 30.9% due the higher risk-free rate at the valuation date. In October 2023, the probabilities of the occurrence of an equity financing, public listing transaction and dissolution used were 87.5%, 10.0%, and 2.5%, respectively. The estimated time to redemption used was 1.5 months for an equity financing and 5.5 months for a public listing transaction and dissolution.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Preferred Stock Tranche Liability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preferred stock tranche liability was based on significant inputs not observable in the market and is a Level 3 measurement within the fair value hierarchy. The valuations were made using Black-Scholes-Merton pricing model with inputs based on certain subjective assumptions, including (a) estimated conversion dates, (b) expected stock price volatility, (c) a risk-free interest rates and (d) implied debt yields.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preferred stock tranche liability was determined at the issuance of the Preferred Stock, as defined below, in 2021 and re-measured at each balance sheet date until its settlement in September 2022. Accordingly, there was no outstanding preferred stock tranche liability as of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activity for the preferred stock tranche liability and the SAFE liabilities that were measured at fair value using significant unobservable Level 3 inputs during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26"/>
        <w:gridCol w:w="533"/>
        <w:gridCol w:w="424"/>
        <w:gridCol w:w="1405"/>
        <w:gridCol w:w="155"/>
        <w:gridCol w:w="533"/>
        <w:gridCol w:w="290"/>
        <w:gridCol w:w="1432"/>
        <w:gridCol w:w="157"/>
      </w:tblGrid>
      <w:tr>
        <w:trPr/>
        <w:tc>
          <w:tcPr>
            <w:tcW w:w="2826"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26"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Tranche Liability</w:t>
            </w:r>
          </w:p>
        </w:tc>
        <w:tc>
          <w:tcPr>
            <w:tcW w:w="155"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SAFE Liabilities</w:t>
            </w:r>
          </w:p>
        </w:tc>
        <w:tc>
          <w:tcPr>
            <w:tcW w:w="157" w:type="dxa"/>
            <w:tcBorders/>
            <w:vAlign w:val="bottom"/>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January 1, 2022</w:t>
            </w:r>
          </w:p>
        </w:tc>
        <w:tc>
          <w:tcPr>
            <w:tcW w:w="533"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643</w:t>
            </w:r>
          </w:p>
        </w:tc>
        <w:tc>
          <w:tcPr>
            <w:tcW w:w="155"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282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533"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(643</w:t>
            </w:r>
          </w:p>
        </w:tc>
        <w:tc>
          <w:tcPr>
            <w:tcW w:w="155"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2826"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533"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2826" w:type="dxa"/>
            <w:tcBorders/>
          </w:tcPr>
          <w:p>
            <w:pPr>
              <w:pStyle w:val="TableContents"/>
              <w:bidi w:val="0"/>
              <w:spacing w:before="0" w:after="0"/>
              <w:jc w:val="left"/>
              <w:rPr>
                <w:rFonts w:ascii="Times New Roman" w:hAnsi="Times New Roman"/>
                <w:sz w:val="20"/>
              </w:rPr>
            </w:pPr>
            <w:r>
              <w:rPr>
                <w:rFonts w:ascii="Times New Roman" w:hAnsi="Times New Roman"/>
                <w:sz w:val="20"/>
              </w:rPr>
              <w:t>Initial fair value recognition</w:t>
            </w:r>
          </w:p>
        </w:tc>
        <w:tc>
          <w:tcPr>
            <w:tcW w:w="533"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31,515</w:t>
            </w:r>
          </w:p>
        </w:tc>
        <w:tc>
          <w:tcPr>
            <w:tcW w:w="157" w:type="dxa"/>
            <w:tcBorders/>
            <w:vAlign w:val="bottom"/>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issuance</w:t>
            </w:r>
          </w:p>
        </w:tc>
        <w:tc>
          <w:tcPr>
            <w:tcW w:w="533"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255</w:t>
            </w:r>
          </w:p>
        </w:tc>
        <w:tc>
          <w:tcPr>
            <w:tcW w:w="157" w:type="dxa"/>
            <w:tcBorders/>
            <w:shd w:fill="CCEEFF" w:val="clear"/>
            <w:vAlign w:val="bottom"/>
          </w:tcPr>
          <w:p>
            <w:pPr>
              <w:pStyle w:val="TableContents"/>
              <w:bidi w:val="0"/>
              <w:spacing w:before="0" w:after="283"/>
              <w:jc w:val="left"/>
              <w:rPr/>
            </w:pPr>
            <w:r>
              <w:rPr/>
              <w:t> </w:t>
            </w:r>
          </w:p>
        </w:tc>
      </w:tr>
      <w:tr>
        <w:trPr/>
        <w:tc>
          <w:tcPr>
            <w:tcW w:w="282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533"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(1,255</w:t>
            </w:r>
          </w:p>
        </w:tc>
        <w:tc>
          <w:tcPr>
            <w:tcW w:w="157" w:type="dxa"/>
            <w:tcBorders/>
            <w:vAlign w:val="bottom"/>
          </w:tcPr>
          <w:p>
            <w:pPr>
              <w:pStyle w:val="TableContents"/>
              <w:bidi w:val="0"/>
              <w:spacing w:before="0" w:after="283"/>
              <w:jc w:val="left"/>
              <w:rPr/>
            </w:pPr>
            <w:r>
              <w:rPr/>
              <w:t>) </w:t>
            </w:r>
          </w:p>
        </w:tc>
      </w:tr>
      <w:tr>
        <w:trPr/>
        <w:tc>
          <w:tcPr>
            <w:tcW w:w="2826"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533"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30,515</w:t>
            </w:r>
          </w:p>
        </w:tc>
        <w:tc>
          <w:tcPr>
            <w:tcW w:w="157" w:type="dxa"/>
            <w:tcBorders/>
            <w:shd w:fill="CCEEFF" w:val="clear"/>
            <w:vAlign w:val="bottom"/>
          </w:tcPr>
          <w:p>
            <w:pPr>
              <w:pStyle w:val="TableContents"/>
              <w:bidi w:val="0"/>
              <w:spacing w:before="0" w:after="283"/>
              <w:jc w:val="left"/>
              <w:rPr/>
            </w:pPr>
            <w:r>
              <w:rPr/>
              <w:t> </w:t>
            </w:r>
          </w:p>
        </w:tc>
      </w:tr>
      <w:tr>
        <w:trPr/>
        <w:tc>
          <w:tcPr>
            <w:tcW w:w="2826"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424"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43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the Level 1, Level 2 or Level 3 categories during the years ended December 31, 2023 and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EQUIPMENT AND IMPROVEMENTS,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equipment and improvements, net is comprised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0"/>
        <w:gridCol w:w="365"/>
        <w:gridCol w:w="147"/>
        <w:gridCol w:w="636"/>
        <w:gridCol w:w="156"/>
        <w:gridCol w:w="365"/>
        <w:gridCol w:w="147"/>
        <w:gridCol w:w="588"/>
        <w:gridCol w:w="161"/>
      </w:tblGrid>
      <w:tr>
        <w:trPr/>
        <w:tc>
          <w:tcPr>
            <w:tcW w:w="519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20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1" w:type="dxa"/>
            <w:tcBorders/>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3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4,510</w:t>
            </w:r>
          </w:p>
        </w:tc>
        <w:tc>
          <w:tcPr>
            <w:tcW w:w="15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4,018</w:t>
            </w:r>
          </w:p>
        </w:tc>
        <w:tc>
          <w:tcPr>
            <w:tcW w:w="161"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office equipment</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244</w:t>
            </w:r>
          </w:p>
        </w:tc>
        <w:tc>
          <w:tcPr>
            <w:tcW w:w="156"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244</w:t>
            </w:r>
          </w:p>
        </w:tc>
        <w:tc>
          <w:tcPr>
            <w:tcW w:w="161"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3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161</w:t>
            </w:r>
          </w:p>
        </w:tc>
        <w:tc>
          <w:tcPr>
            <w:tcW w:w="15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149</w:t>
            </w:r>
          </w:p>
        </w:tc>
        <w:tc>
          <w:tcPr>
            <w:tcW w:w="161"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38</w:t>
            </w:r>
          </w:p>
        </w:tc>
        <w:tc>
          <w:tcPr>
            <w:tcW w:w="156"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49</w:t>
            </w:r>
          </w:p>
        </w:tc>
        <w:tc>
          <w:tcPr>
            <w:tcW w:w="161"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25</w:t>
            </w:r>
          </w:p>
        </w:tc>
        <w:tc>
          <w:tcPr>
            <w:tcW w:w="15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25</w:t>
            </w:r>
          </w:p>
        </w:tc>
        <w:tc>
          <w:tcPr>
            <w:tcW w:w="161" w:type="dxa"/>
            <w:tcBorders/>
            <w:shd w:fill="CCEEFF" w:val="clear"/>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90" w:type="dxa"/>
            <w:tcBorders/>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4,978</w:t>
            </w:r>
          </w:p>
        </w:tc>
        <w:tc>
          <w:tcPr>
            <w:tcW w:w="156"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4,485</w:t>
            </w:r>
          </w:p>
        </w:tc>
        <w:tc>
          <w:tcPr>
            <w:tcW w:w="161"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(1,856</w:t>
            </w:r>
          </w:p>
        </w:tc>
        <w:tc>
          <w:tcPr>
            <w:tcW w:w="15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(877</w:t>
            </w:r>
          </w:p>
        </w:tc>
        <w:tc>
          <w:tcPr>
            <w:tcW w:w="161" w:type="dxa"/>
            <w:tcBorders/>
            <w:shd w:fill="CCEEFF" w:val="clear"/>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3,122</w:t>
            </w:r>
          </w:p>
        </w:tc>
        <w:tc>
          <w:tcPr>
            <w:tcW w:w="156"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3,608</w:t>
            </w:r>
          </w:p>
        </w:tc>
        <w:tc>
          <w:tcPr>
            <w:tcW w:w="161" w:type="dxa"/>
            <w:tcBorders/>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Depreciation expense was $1.0 million and $0.6 million and was recorded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8"/>
        <w:gridCol w:w="492"/>
        <w:gridCol w:w="155"/>
        <w:gridCol w:w="425"/>
        <w:gridCol w:w="66"/>
        <w:gridCol w:w="503"/>
        <w:gridCol w:w="155"/>
        <w:gridCol w:w="427"/>
        <w:gridCol w:w="64"/>
      </w:tblGrid>
      <w:tr>
        <w:trPr/>
        <w:tc>
          <w:tcPr>
            <w:tcW w:w="5468"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68"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7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9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17</w:t>
            </w:r>
          </w:p>
        </w:tc>
        <w:tc>
          <w:tcPr>
            <w:tcW w:w="66"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7" w:type="dxa"/>
            <w:tcBorders/>
            <w:shd w:fill="CCEEFF" w:val="clear"/>
            <w:vAlign w:val="bottom"/>
          </w:tcPr>
          <w:p>
            <w:pPr>
              <w:pStyle w:val="TableContents"/>
              <w:bidi w:val="0"/>
              <w:spacing w:before="0" w:after="283"/>
              <w:jc w:val="right"/>
              <w:rPr/>
            </w:pPr>
            <w:r>
              <w:rPr/>
              <w:t>12</w:t>
            </w:r>
          </w:p>
        </w:tc>
        <w:tc>
          <w:tcPr>
            <w:tcW w:w="64" w:type="dxa"/>
            <w:tcBorders/>
            <w:shd w:fill="CCEEFF" w:val="clear"/>
            <w:vAlign w:val="bottom"/>
          </w:tcPr>
          <w:p>
            <w:pPr>
              <w:pStyle w:val="TableContents"/>
              <w:bidi w:val="0"/>
              <w:spacing w:before="0" w:after="283"/>
              <w:jc w:val="left"/>
              <w:rPr/>
            </w:pPr>
            <w:r>
              <w:rPr/>
              <w:t> </w:t>
            </w:r>
          </w:p>
        </w:tc>
      </w:tr>
      <w:tr>
        <w:trPr/>
        <w:tc>
          <w:tcPr>
            <w:tcW w:w="546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973</w:t>
            </w:r>
          </w:p>
        </w:tc>
        <w:tc>
          <w:tcPr>
            <w:tcW w:w="66"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635</w:t>
            </w:r>
          </w:p>
        </w:tc>
        <w:tc>
          <w:tcPr>
            <w:tcW w:w="64" w:type="dxa"/>
            <w:tcBorders/>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68"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bidi w:val="0"/>
              <w:spacing w:before="0" w:after="283"/>
              <w:jc w:val="center"/>
              <w:rPr/>
            </w:pPr>
            <w:r>
              <w:rPr/>
              <w:t>$ 990</w:t>
            </w:r>
          </w:p>
        </w:tc>
        <w:tc>
          <w:tcPr>
            <w:tcW w:w="66"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582" w:type="dxa"/>
            <w:gridSpan w:val="2"/>
            <w:tcBorders/>
            <w:vAlign w:val="bottom"/>
          </w:tcPr>
          <w:p>
            <w:pPr>
              <w:pStyle w:val="TableContents"/>
              <w:bidi w:val="0"/>
              <w:spacing w:before="0" w:after="283"/>
              <w:jc w:val="center"/>
              <w:rPr/>
            </w:pPr>
            <w:r>
              <w:rPr/>
              <w:t>$ 647</w:t>
            </w:r>
          </w:p>
        </w:tc>
        <w:tc>
          <w:tcPr>
            <w:tcW w:w="64" w:type="dxa"/>
            <w:tcBorders/>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2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These amounts are exclusive of amortization related to finance lease and capital lease assets of $0.5 million and $0.3 million in 2023 and 2022,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is comprised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00"/>
        <w:gridCol w:w="371"/>
        <w:gridCol w:w="140"/>
        <w:gridCol w:w="655"/>
        <w:gridCol w:w="60"/>
        <w:gridCol w:w="371"/>
        <w:gridCol w:w="140"/>
        <w:gridCol w:w="655"/>
        <w:gridCol w:w="63"/>
      </w:tblGrid>
      <w:tr>
        <w:trPr/>
        <w:tc>
          <w:tcPr>
            <w:tcW w:w="530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 related costs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5" w:type="dxa"/>
            <w:tcBorders/>
            <w:shd w:fill="CCEEFF" w:val="clear"/>
            <w:vAlign w:val="bottom"/>
          </w:tcPr>
          <w:p>
            <w:pPr>
              <w:pStyle w:val="TableContents"/>
              <w:bidi w:val="0"/>
              <w:spacing w:before="0" w:after="283"/>
              <w:jc w:val="right"/>
              <w:rPr/>
            </w:pPr>
            <w:r>
              <w:rPr/>
              <w:t> </w:t>
            </w:r>
            <w:r>
              <w:rPr/>
              <w:t>2,840</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5" w:type="dxa"/>
            <w:tcBorders/>
            <w:shd w:fill="CCEEFF" w:val="clear"/>
            <w:vAlign w:val="bottom"/>
          </w:tcPr>
          <w:p>
            <w:pPr>
              <w:pStyle w:val="TableContents"/>
              <w:bidi w:val="0"/>
              <w:spacing w:before="0" w:after="283"/>
              <w:jc w:val="right"/>
              <w:rPr/>
            </w:pPr>
            <w:r>
              <w:rPr/>
              <w:t> </w:t>
            </w:r>
            <w:r>
              <w:rPr/>
              <w:t>2,158</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Accrued office and laboratory costs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211</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481</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contract research organization fees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2,298</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1,345</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Accrued contract development and manufacturing organization fees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660</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842</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1,798</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489</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499</w:t>
            </w:r>
          </w:p>
        </w:tc>
        <w:tc>
          <w:tcPr>
            <w:tcW w:w="63" w:type="dxa"/>
            <w:tcBorders/>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795" w:type="dxa"/>
            <w:gridSpan w:val="2"/>
            <w:tcBorders/>
            <w:vAlign w:val="bottom"/>
          </w:tcPr>
          <w:p>
            <w:pPr>
              <w:pStyle w:val="TableContents"/>
              <w:bidi w:val="0"/>
              <w:spacing w:before="0" w:after="283"/>
              <w:jc w:val="center"/>
              <w:rPr/>
            </w:pPr>
            <w:r>
              <w:rPr/>
              <w:t>$ 8,141</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795" w:type="dxa"/>
            <w:gridSpan w:val="2"/>
            <w:tcBorders/>
            <w:vAlign w:val="bottom"/>
          </w:tcPr>
          <w:p>
            <w:pPr>
              <w:pStyle w:val="TableContents"/>
              <w:bidi w:val="0"/>
              <w:spacing w:before="0" w:after="283"/>
              <w:jc w:val="center"/>
              <w:rPr/>
            </w:pPr>
            <w:r>
              <w:rPr/>
              <w:t>$ 5,814</w:t>
            </w:r>
          </w:p>
        </w:tc>
        <w:tc>
          <w:tcPr>
            <w:tcW w:w="63" w:type="dxa"/>
            <w:tcBorders/>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6.</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commitments under its operating and finance leases are described in Note 7.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University of Texas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executed a research agreement with the University of Texas, whereby the Company and the University of Texas are conducting joint research activities in accordance with an agreed upon research program. An upfront fee of $25,000 was paid upon execution of the agreement in 2020, with the remaining balance due in two payments of $37,500 each. The first payment was due upon the completion of the joint research activities and the second due upon the receipt of the final research report by the Company. The agreement was terminated on June 30, 2022.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2022, the Company did not pay any amounts to the University of Texas under this agreement because the joint research activities were not completed before the research agreement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the Company entered into an agreement with the President and Fellows of Harvard College (Harvard), for an option fee in the low five digits, whereby Harvard granted the Company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exclusive option to negotiate a worldwide, exclusive, royalty-bearing license under Harvards interest in the patent rights covering certain technology that was developed by Harvard. In October 2021, the Company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were expensed. </w:t>
      </w:r>
    </w:p>
    <w:p>
      <w:pPr>
        <w:pStyle w:val="TextBody"/>
        <w:bidi w:val="0"/>
        <w:spacing w:before="120" w:after="0"/>
        <w:jc w:val="left"/>
        <w:rPr>
          <w:rFonts w:ascii="Times New Roman" w:hAnsi="Times New Roman"/>
          <w:sz w:val="20"/>
        </w:rPr>
      </w:pPr>
      <w:r>
        <w:rPr>
          <w:rFonts w:ascii="Times New Roman" w:hAnsi="Times New Roman"/>
          <w:sz w:val="20"/>
        </w:rPr>
        <w:t xml:space="preserve">As consideration for the License Agreement, the Company agreed to pay Harvard a non-refundable 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There was less than $0.1 million due to Harvard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Alloy Therapeutics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the Company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the Company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will be responsible to pay ATX commercial payments in the low seven digits per year during the first six years of commercial sales, amounting to an amount in the high eight digits in total commercial payments under the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the Company paid $0.1 million and zero to ATX,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Adimab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 2023, the Company entered into a discovery agreement with Adimab, LLC (Adimab), an antibody discovery company, whereby the Company and Adimab are collaborating on human antibody discovery in accordance with an agreed upon research program. The Company paid an upfront technology access fee totaling $20,000 upon execution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During the year ended December 31, 2023, the Company incurred $0.1 million of costs associated with the FTEs.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and 2022, the Company did not have any liabilities or other commitments related to indemnification claims.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operating leases for office and laboratory facilities and financing leases for laboratory equipment used in research and development activities. The remaining lease terms for its leases range from two years to four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the Company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 </w:t>
      </w:r>
    </w:p>
    <w:p>
      <w:pPr>
        <w:pStyle w:val="TextBody"/>
        <w:bidi w:val="0"/>
        <w:spacing w:before="120" w:after="0"/>
        <w:jc w:val="left"/>
        <w:rPr>
          <w:rFonts w:ascii="Times New Roman" w:hAnsi="Times New Roman"/>
          <w:sz w:val="20"/>
        </w:rPr>
      </w:pPr>
      <w:r>
        <w:rPr>
          <w:rFonts w:ascii="Times New Roman" w:hAnsi="Times New Roman"/>
          <w:sz w:val="20"/>
        </w:rPr>
        <w:t xml:space="preserve">In April 2021, the Company entered into an agreement to sublease a portion of its facility lease to a related party (see Note 13) in exchange for $28,333 per month. The sublease agreement was an operating lease with a term of 18 months and was set to expire on September 30, 2022. In July 2022, the Company granted the sublessee permission to terminate the agreement on July 31, 2022. An immaterial adjustment to straight-line rental income and accrued rent receivable was recorded as part of the early termination. The proceeds from the sublease agreement are recorded as an offset to facilities costs in the periods in which they are earned. </w:t>
      </w:r>
    </w:p>
    <w:p>
      <w:pPr>
        <w:pStyle w:val="TextBody"/>
        <w:bidi w:val="0"/>
        <w:spacing w:before="120" w:after="0"/>
        <w:jc w:val="left"/>
        <w:rPr>
          <w:rFonts w:ascii="Times New Roman" w:hAnsi="Times New Roman"/>
          <w:sz w:val="20"/>
        </w:rPr>
      </w:pPr>
      <w:r>
        <w:rPr>
          <w:rFonts w:ascii="Times New Roman" w:hAnsi="Times New Roman"/>
          <w:sz w:val="20"/>
        </w:rPr>
        <w:t xml:space="preserve">During 2022, the Company entered into four additional finance leases that resulted in an increase of $1.3 million in ROU assets, inclusive of lease payments made prior to commencement, and $1.3 million in related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about lease costs for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29"/>
        <w:gridCol w:w="367"/>
        <w:gridCol w:w="147"/>
        <w:gridCol w:w="688"/>
        <w:gridCol w:w="60"/>
        <w:gridCol w:w="367"/>
        <w:gridCol w:w="147"/>
        <w:gridCol w:w="688"/>
        <w:gridCol w:w="162"/>
      </w:tblGrid>
      <w:tr>
        <w:trPr/>
        <w:tc>
          <w:tcPr>
            <w:tcW w:w="5129"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2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0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2" w:type="dxa"/>
            <w:tcBorders/>
            <w:vAlign w:val="bottom"/>
          </w:tcPr>
          <w:p>
            <w:pPr>
              <w:pStyle w:val="TableContents"/>
              <w:bidi w:val="0"/>
              <w:spacing w:before="0" w:after="283"/>
              <w:jc w:val="left"/>
              <w:rPr/>
            </w:pPr>
            <w:r>
              <w:rPr/>
              <w:t> </w:t>
            </w:r>
          </w:p>
        </w:tc>
      </w:tr>
      <w:tr>
        <w:trPr/>
        <w:tc>
          <w:tcPr>
            <w:tcW w:w="5129" w:type="dxa"/>
            <w:tcBorders/>
            <w:vAlign w:val="bottom"/>
          </w:tcPr>
          <w:p>
            <w:pPr>
              <w:pStyle w:val="TableContents"/>
              <w:bidi w:val="0"/>
              <w:spacing w:before="0" w:after="283"/>
              <w:jc w:val="left"/>
              <w:rPr>
                <w:sz w:val="20"/>
              </w:rPr>
            </w:pPr>
            <w:r>
              <w:rPr>
                <w:sz w:val="20"/>
              </w:rPr>
              <w:t>Finance lease cost</w:t>
            </w:r>
          </w:p>
        </w:tc>
        <w:tc>
          <w:tcPr>
            <w:tcW w:w="367"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5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ROU assets</w:t>
            </w:r>
          </w:p>
        </w:tc>
        <w:tc>
          <w:tcPr>
            <w:tcW w:w="3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488</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359</w:t>
            </w:r>
          </w:p>
        </w:tc>
        <w:tc>
          <w:tcPr>
            <w:tcW w:w="162" w:type="dxa"/>
            <w:tcBorders/>
            <w:shd w:fill="CCEEFF" w:val="clear"/>
            <w:vAlign w:val="bottom"/>
          </w:tcPr>
          <w:p>
            <w:pPr>
              <w:pStyle w:val="TableContents"/>
              <w:bidi w:val="0"/>
              <w:spacing w:before="0" w:after="283"/>
              <w:jc w:val="left"/>
              <w:rPr/>
            </w:pPr>
            <w:r>
              <w:rPr/>
              <w:t> </w:t>
            </w:r>
          </w:p>
        </w:tc>
      </w:tr>
      <w:tr>
        <w:trPr/>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151</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106</w:t>
            </w:r>
          </w:p>
        </w:tc>
        <w:tc>
          <w:tcPr>
            <w:tcW w:w="162" w:type="dxa"/>
            <w:tcBorders/>
            <w:vAlign w:val="bottom"/>
          </w:tcPr>
          <w:p>
            <w:pPr>
              <w:pStyle w:val="TableContents"/>
              <w:bidi w:val="0"/>
              <w:spacing w:before="0" w:after="283"/>
              <w:jc w:val="left"/>
              <w:rPr/>
            </w:pPr>
            <w:r>
              <w:rPr/>
              <w:t> </w:t>
            </w:r>
          </w:p>
        </w:tc>
      </w:tr>
      <w:tr>
        <w:trPr/>
        <w:tc>
          <w:tcPr>
            <w:tcW w:w="5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1,404</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1,404</w:t>
            </w:r>
          </w:p>
        </w:tc>
        <w:tc>
          <w:tcPr>
            <w:tcW w:w="162" w:type="dxa"/>
            <w:tcBorders/>
            <w:shd w:fill="CCEEFF" w:val="clear"/>
            <w:vAlign w:val="bottom"/>
          </w:tcPr>
          <w:p>
            <w:pPr>
              <w:pStyle w:val="TableContents"/>
              <w:bidi w:val="0"/>
              <w:spacing w:before="0" w:after="283"/>
              <w:jc w:val="left"/>
              <w:rPr/>
            </w:pPr>
            <w:r>
              <w:rPr/>
              <w:t> </w:t>
            </w:r>
          </w:p>
        </w:tc>
      </w:tr>
      <w:tr>
        <w:trPr/>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749</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389</w:t>
            </w:r>
          </w:p>
        </w:tc>
        <w:tc>
          <w:tcPr>
            <w:tcW w:w="162" w:type="dxa"/>
            <w:tcBorders/>
            <w:vAlign w:val="bottom"/>
          </w:tcPr>
          <w:p>
            <w:pPr>
              <w:pStyle w:val="TableContents"/>
              <w:bidi w:val="0"/>
              <w:spacing w:before="0" w:after="283"/>
              <w:jc w:val="left"/>
              <w:rPr/>
            </w:pPr>
            <w:r>
              <w:rPr/>
              <w:t> </w:t>
            </w:r>
          </w:p>
        </w:tc>
      </w:tr>
      <w:tr>
        <w:trPr/>
        <w:tc>
          <w:tcPr>
            <w:tcW w:w="5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3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786</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907</w:t>
            </w:r>
          </w:p>
        </w:tc>
        <w:tc>
          <w:tcPr>
            <w:tcW w:w="162" w:type="dxa"/>
            <w:tcBorders/>
            <w:shd w:fill="CCEEFF" w:val="clear"/>
            <w:vAlign w:val="bottom"/>
          </w:tcPr>
          <w:p>
            <w:pPr>
              <w:pStyle w:val="TableContents"/>
              <w:bidi w:val="0"/>
              <w:spacing w:before="0" w:after="283"/>
              <w:jc w:val="left"/>
              <w:rPr/>
            </w:pPr>
            <w:r>
              <w:rPr/>
              <w:t> </w:t>
            </w:r>
          </w:p>
        </w:tc>
      </w:tr>
      <w:tr>
        <w:trPr/>
        <w:tc>
          <w:tcPr>
            <w:tcW w:w="5129" w:type="dxa"/>
            <w:tcBorders/>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(253</w:t>
            </w:r>
          </w:p>
        </w:tc>
        <w:tc>
          <w:tcPr>
            <w:tcW w:w="162" w:type="dxa"/>
            <w:tcBorders/>
            <w:vAlign w:val="bottom"/>
          </w:tcPr>
          <w:p>
            <w:pPr>
              <w:pStyle w:val="TableContents"/>
              <w:bidi w:val="0"/>
              <w:spacing w:before="0" w:after="283"/>
              <w:jc w:val="left"/>
              <w:rPr/>
            </w:pPr>
            <w:r>
              <w:rPr/>
              <w:t>) </w:t>
            </w:r>
          </w:p>
        </w:tc>
      </w:tr>
      <w:tr>
        <w:trPr/>
        <w:tc>
          <w:tcPr>
            <w:tcW w:w="5129"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3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 </w:t>
            </w:r>
            <w:r>
              <w:rPr/>
              <w:t>3,578</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 </w:t>
            </w:r>
            <w:r>
              <w:rPr/>
              <w:t>2,912</w:t>
            </w:r>
          </w:p>
        </w:tc>
        <w:tc>
          <w:tcPr>
            <w:tcW w:w="162" w:type="dxa"/>
            <w:tcBorders/>
            <w:shd w:fill="CCEEFF" w:val="clear"/>
            <w:vAlign w:val="bottom"/>
          </w:tcPr>
          <w:p>
            <w:pPr>
              <w:pStyle w:val="TableContents"/>
              <w:bidi w:val="0"/>
              <w:spacing w:before="0" w:after="283"/>
              <w:jc w:val="left"/>
              <w:rPr/>
            </w:pPr>
            <w:r>
              <w:rPr/>
              <w:t> </w:t>
            </w:r>
          </w:p>
        </w:tc>
      </w:tr>
      <w:tr>
        <w:trPr/>
        <w:tc>
          <w:tcPr>
            <w:tcW w:w="5129"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information about the Companys leases for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30"/>
        <w:gridCol w:w="284"/>
        <w:gridCol w:w="140"/>
        <w:gridCol w:w="562"/>
        <w:gridCol w:w="275"/>
        <w:gridCol w:w="284"/>
        <w:gridCol w:w="140"/>
        <w:gridCol w:w="562"/>
        <w:gridCol w:w="278"/>
      </w:tblGrid>
      <w:tr>
        <w:trPr/>
        <w:tc>
          <w:tcPr>
            <w:tcW w:w="523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23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9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278" w:type="dxa"/>
            <w:tcBorders/>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283"/>
              <w:jc w:val="left"/>
              <w:rPr>
                <w:sz w:val="19"/>
              </w:rPr>
            </w:pPr>
            <w:r>
              <w:rPr>
                <w:sz w:val="19"/>
              </w:rPr>
              <w:t>Cash paid for amounts included in the measurement of lease liabilities</w:t>
            </w:r>
          </w:p>
        </w:tc>
        <w:tc>
          <w:tcPr>
            <w:tcW w:w="28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8"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 - financing cash flows</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499</w:t>
            </w:r>
          </w:p>
        </w:tc>
        <w:tc>
          <w:tcPr>
            <w:tcW w:w="27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393</w:t>
            </w:r>
          </w:p>
        </w:tc>
        <w:tc>
          <w:tcPr>
            <w:tcW w:w="278"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 - operating cash flows</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151</w:t>
            </w:r>
          </w:p>
        </w:tc>
        <w:tc>
          <w:tcPr>
            <w:tcW w:w="27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106</w:t>
            </w:r>
          </w:p>
        </w:tc>
        <w:tc>
          <w:tcPr>
            <w:tcW w:w="278"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 - operating cash flows</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1,235</w:t>
            </w:r>
          </w:p>
        </w:tc>
        <w:tc>
          <w:tcPr>
            <w:tcW w:w="27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1,470</w:t>
            </w:r>
          </w:p>
        </w:tc>
        <w:tc>
          <w:tcPr>
            <w:tcW w:w="278"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lease liabilities</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1,340</w:t>
            </w:r>
          </w:p>
        </w:tc>
        <w:tc>
          <w:tcPr>
            <w:tcW w:w="278"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terms (in years)</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3.23</w:t>
            </w:r>
          </w:p>
        </w:tc>
        <w:tc>
          <w:tcPr>
            <w:tcW w:w="27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4.19</w:t>
            </w:r>
          </w:p>
        </w:tc>
        <w:tc>
          <w:tcPr>
            <w:tcW w:w="278"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2.09</w:t>
            </w:r>
          </w:p>
        </w:tc>
        <w:tc>
          <w:tcPr>
            <w:tcW w:w="27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3.09</w:t>
            </w:r>
          </w:p>
        </w:tc>
        <w:tc>
          <w:tcPr>
            <w:tcW w:w="278"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523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9.62</w:t>
            </w:r>
          </w:p>
        </w:tc>
        <w:tc>
          <w:tcPr>
            <w:tcW w:w="27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9.49</w:t>
            </w:r>
          </w:p>
        </w:tc>
        <w:tc>
          <w:tcPr>
            <w:tcW w:w="278"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8.25</w:t>
            </w:r>
          </w:p>
        </w:tc>
        <w:tc>
          <w:tcPr>
            <w:tcW w:w="27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8.25</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maturity of the Companys finance and operating lease liabilities for the year ended December 31, 2023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05"/>
        <w:gridCol w:w="427"/>
        <w:gridCol w:w="291"/>
        <w:gridCol w:w="1283"/>
        <w:gridCol w:w="155"/>
        <w:gridCol w:w="427"/>
        <w:gridCol w:w="329"/>
        <w:gridCol w:w="1478"/>
        <w:gridCol w:w="160"/>
      </w:tblGrid>
      <w:tr>
        <w:trPr/>
        <w:tc>
          <w:tcPr>
            <w:tcW w:w="3205"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ended December 31,</w:t>
            </w:r>
          </w:p>
        </w:tc>
        <w:tc>
          <w:tcPr>
            <w:tcW w:w="427" w:type="dxa"/>
            <w:tcBorders/>
            <w:vAlign w:val="bottom"/>
          </w:tcPr>
          <w:p>
            <w:pPr>
              <w:pStyle w:val="TableContents"/>
              <w:bidi w:val="0"/>
              <w:spacing w:before="0" w:after="283"/>
              <w:jc w:val="left"/>
              <w:rPr/>
            </w:pPr>
            <w:r>
              <w:rPr/>
              <w:t>  </w:t>
            </w:r>
          </w:p>
        </w:tc>
        <w:tc>
          <w:tcPr>
            <w:tcW w:w="15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160" w:type="dxa"/>
            <w:tcBorders/>
            <w:vAlign w:val="bottom"/>
          </w:tcPr>
          <w:p>
            <w:pPr>
              <w:pStyle w:val="TableContents"/>
              <w:bidi w:val="0"/>
              <w:spacing w:before="0" w:after="283"/>
              <w:jc w:val="left"/>
              <w:rPr/>
            </w:pPr>
            <w:r>
              <w:rPr/>
              <w:t> </w:t>
            </w:r>
          </w:p>
        </w:tc>
      </w:tr>
      <w:tr>
        <w:trPr/>
        <w:tc>
          <w:tcPr>
            <w:tcW w:w="3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2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583</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478" w:type="dxa"/>
            <w:tcBorders/>
            <w:shd w:fill="CCEEFF" w:val="clear"/>
            <w:vAlign w:val="bottom"/>
          </w:tcPr>
          <w:p>
            <w:pPr>
              <w:pStyle w:val="TableContents"/>
              <w:bidi w:val="0"/>
              <w:spacing w:before="0" w:after="283"/>
              <w:jc w:val="right"/>
              <w:rPr/>
            </w:pPr>
            <w:r>
              <w:rPr/>
              <w:t> </w:t>
            </w:r>
            <w:r>
              <w:rPr/>
              <w:t>1,534</w:t>
            </w:r>
          </w:p>
        </w:tc>
        <w:tc>
          <w:tcPr>
            <w:tcW w:w="160" w:type="dxa"/>
            <w:tcBorders/>
            <w:shd w:fill="CCEEFF" w:val="clear"/>
            <w:vAlign w:val="bottom"/>
          </w:tcPr>
          <w:p>
            <w:pPr>
              <w:pStyle w:val="TableContents"/>
              <w:bidi w:val="0"/>
              <w:spacing w:before="0" w:after="283"/>
              <w:jc w:val="left"/>
              <w:rPr/>
            </w:pPr>
            <w:r>
              <w:rPr/>
              <w:t> </w:t>
            </w:r>
          </w:p>
        </w:tc>
      </w:tr>
      <w:tr>
        <w:trPr/>
        <w:tc>
          <w:tcPr>
            <w:tcW w:w="3205"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2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552</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1,580</w:t>
            </w:r>
          </w:p>
        </w:tc>
        <w:tc>
          <w:tcPr>
            <w:tcW w:w="160" w:type="dxa"/>
            <w:tcBorders/>
            <w:vAlign w:val="bottom"/>
          </w:tcPr>
          <w:p>
            <w:pPr>
              <w:pStyle w:val="TableContents"/>
              <w:bidi w:val="0"/>
              <w:spacing w:before="0" w:after="283"/>
              <w:jc w:val="left"/>
              <w:rPr/>
            </w:pPr>
            <w:r>
              <w:rPr/>
              <w:t> </w:t>
            </w:r>
          </w:p>
        </w:tc>
      </w:tr>
      <w:tr>
        <w:trPr/>
        <w:tc>
          <w:tcPr>
            <w:tcW w:w="3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363</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132</w:t>
            </w:r>
          </w:p>
        </w:tc>
        <w:tc>
          <w:tcPr>
            <w:tcW w:w="160" w:type="dxa"/>
            <w:tcBorders/>
            <w:shd w:fill="CCEEFF" w:val="clear"/>
            <w:vAlign w:val="bottom"/>
          </w:tcPr>
          <w:p>
            <w:pPr>
              <w:pStyle w:val="TableContents"/>
              <w:bidi w:val="0"/>
              <w:spacing w:before="0" w:after="283"/>
              <w:jc w:val="left"/>
              <w:rPr/>
            </w:pPr>
            <w:r>
              <w:rPr/>
              <w:t> </w:t>
            </w:r>
          </w:p>
        </w:tc>
      </w:tr>
      <w:tr>
        <w:trPr/>
        <w:tc>
          <w:tcPr>
            <w:tcW w:w="320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205"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2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20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4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2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1,542</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283"/>
              <w:jc w:val="right"/>
              <w:rPr/>
            </w:pPr>
            <w:r>
              <w:rPr/>
              <w:t>3,246</w:t>
            </w:r>
          </w:p>
        </w:tc>
        <w:tc>
          <w:tcPr>
            <w:tcW w:w="160" w:type="dxa"/>
            <w:tcBorders/>
            <w:shd w:fill="CCEEFF" w:val="clear"/>
            <w:vAlign w:val="bottom"/>
          </w:tcPr>
          <w:p>
            <w:pPr>
              <w:pStyle w:val="TableContents"/>
              <w:bidi w:val="0"/>
              <w:spacing w:before="0" w:after="283"/>
              <w:jc w:val="left"/>
              <w:rPr/>
            </w:pPr>
            <w:r>
              <w:rPr/>
              <w:t> </w:t>
            </w:r>
          </w:p>
        </w:tc>
      </w:tr>
      <w:tr>
        <w:trPr/>
        <w:tc>
          <w:tcPr>
            <w:tcW w:w="3205"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427"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(254</w:t>
            </w:r>
          </w:p>
        </w:tc>
        <w:tc>
          <w:tcPr>
            <w:tcW w:w="160" w:type="dxa"/>
            <w:tcBorders/>
            <w:vAlign w:val="bottom"/>
          </w:tcPr>
          <w:p>
            <w:pPr>
              <w:pStyle w:val="TableContents"/>
              <w:bidi w:val="0"/>
              <w:spacing w:before="0" w:after="283"/>
              <w:jc w:val="left"/>
              <w:rPr/>
            </w:pPr>
            <w:r>
              <w:rPr/>
              <w:t>) </w:t>
            </w:r>
          </w:p>
        </w:tc>
      </w:tr>
      <w:tr>
        <w:trPr/>
        <w:tc>
          <w:tcPr>
            <w:tcW w:w="320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4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427"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 </w:t>
            </w:r>
            <w:r>
              <w:rPr/>
              <w:t>1,351</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478" w:type="dxa"/>
            <w:tcBorders/>
            <w:shd w:fill="CCEEFF" w:val="clear"/>
            <w:vAlign w:val="bottom"/>
          </w:tcPr>
          <w:p>
            <w:pPr>
              <w:pStyle w:val="TableContents"/>
              <w:bidi w:val="0"/>
              <w:spacing w:before="0" w:after="283"/>
              <w:jc w:val="right"/>
              <w:rPr/>
            </w:pPr>
            <w:r>
              <w:rPr/>
              <w:t>2,992</w:t>
            </w:r>
          </w:p>
        </w:tc>
        <w:tc>
          <w:tcPr>
            <w:tcW w:w="160" w:type="dxa"/>
            <w:tcBorders/>
            <w:shd w:fill="CCEEFF" w:val="clear"/>
            <w:vAlign w:val="bottom"/>
          </w:tcPr>
          <w:p>
            <w:pPr>
              <w:pStyle w:val="TableContents"/>
              <w:bidi w:val="0"/>
              <w:spacing w:before="0" w:after="283"/>
              <w:jc w:val="left"/>
              <w:rPr/>
            </w:pPr>
            <w:r>
              <w:rPr/>
              <w:t> </w:t>
            </w:r>
          </w:p>
        </w:tc>
      </w:tr>
      <w:tr>
        <w:trPr/>
        <w:tc>
          <w:tcPr>
            <w:tcW w:w="320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double" w:sz="6" w:space="1" w:color="000000"/>
              </w:pBdr>
              <w:bidi w:val="0"/>
              <w:spacing w:before="0" w:after="0"/>
              <w:jc w:val="left"/>
              <w:rPr/>
            </w:pPr>
            <w:r>
              <w:rPr/>
              <w:t> </w:t>
            </w:r>
          </w:p>
        </w:tc>
        <w:tc>
          <w:tcPr>
            <w:tcW w:w="147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issued Series A-1 convertible preferred stock (the Series A-1 Preferred Stock), Series A-2 convertible preferred stock (the Series A-2 Preferred Stock), Series A-3 convertible preferred stock (the Series A-3 Preferred Stock), and Series A-4 convertible preferred stock (the Series A-4 Preferred Stock); collectively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Preferred Stock consisted of the following (in thousands, expect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07"/>
        <w:gridCol w:w="143"/>
        <w:gridCol w:w="144"/>
        <w:gridCol w:w="760"/>
        <w:gridCol w:w="60"/>
        <w:gridCol w:w="143"/>
        <w:gridCol w:w="67"/>
        <w:gridCol w:w="1113"/>
        <w:gridCol w:w="60"/>
        <w:gridCol w:w="143"/>
        <w:gridCol w:w="99"/>
        <w:gridCol w:w="1659"/>
        <w:gridCol w:w="59"/>
        <w:gridCol w:w="143"/>
        <w:gridCol w:w="153"/>
        <w:gridCol w:w="826"/>
        <w:gridCol w:w="60"/>
        <w:gridCol w:w="143"/>
        <w:gridCol w:w="194"/>
        <w:gridCol w:w="1038"/>
        <w:gridCol w:w="60"/>
        <w:gridCol w:w="143"/>
        <w:gridCol w:w="92"/>
        <w:gridCol w:w="1525"/>
        <w:gridCol w:w="71"/>
      </w:tblGrid>
      <w:tr>
        <w:trPr/>
        <w:tc>
          <w:tcPr>
            <w:tcW w:w="130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3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7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71" w:type="dxa"/>
            <w:tcBorders/>
            <w:vAlign w:val="bottom"/>
          </w:tcPr>
          <w:p>
            <w:pPr>
              <w:pStyle w:val="TableContents"/>
              <w:bidi w:val="0"/>
              <w:spacing w:before="0" w:after="283"/>
              <w:jc w:val="left"/>
              <w:rPr/>
            </w:pPr>
            <w:r>
              <w:rPr/>
              <w:t> </w:t>
            </w:r>
          </w:p>
        </w:tc>
      </w:tr>
      <w:tr>
        <w:trPr/>
        <w:tc>
          <w:tcPr>
            <w:tcW w:w="13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br/>
              <w:t>Authorized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58" w:type="dxa"/>
            <w:gridSpan w:val="2"/>
            <w:tcBorders>
              <w:bottom w:val="single" w:sz="8" w:space="0" w:color="000000"/>
            </w:tcBorders>
            <w:tcMar>
              <w:bottom w:w="28" w:type="dxa"/>
            </w:tcMar>
            <w:vAlign w:val="bottom"/>
          </w:tcPr>
          <w:p>
            <w:pPr>
              <w:pStyle w:val="TableContents"/>
              <w:bidi w:val="0"/>
              <w:spacing w:before="0" w:after="283"/>
              <w:jc w:val="center"/>
              <w:rPr/>
            </w:pPr>
            <w:r>
              <w:rPr>
                <w:b/>
              </w:rPr>
              <w:t>Preferred</w:t>
            </w:r>
            <w:r>
              <w:rPr/>
              <w:br/>
            </w:r>
            <w:r>
              <w:rPr>
                <w:b/>
              </w:rPr>
              <w:t>Stock Issued</w:t>
              <w:br/>
              <w:t>and Outstanding</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Issuable Upon</w:t>
              <w:br/>
              <w:t>Conversion</w:t>
            </w:r>
          </w:p>
        </w:tc>
        <w:tc>
          <w:tcPr>
            <w:tcW w:w="71" w:type="dxa"/>
            <w:tcBorders/>
            <w:vAlign w:val="bottom"/>
          </w:tcPr>
          <w:p>
            <w:pPr>
              <w:pStyle w:val="TableContents"/>
              <w:bidi w:val="0"/>
              <w:spacing w:before="0" w:after="283"/>
              <w:jc w:val="left"/>
              <w:rPr/>
            </w:pPr>
            <w:r>
              <w:rPr/>
              <w:t> </w:t>
            </w:r>
          </w:p>
        </w:tc>
      </w:tr>
      <w:tr>
        <w:trPr/>
        <w:tc>
          <w:tcPr>
            <w:tcW w:w="1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1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4,118,120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283"/>
              <w:jc w:val="right"/>
              <w:rPr/>
            </w:pPr>
            <w:r>
              <w:rPr/>
              <w:t>4,118,120</w:t>
            </w:r>
          </w:p>
        </w:tc>
        <w:tc>
          <w:tcPr>
            <w:tcW w:w="5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r>
              <w:rPr/>
              <w:t>45,016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 </w:t>
            </w:r>
            <w:r>
              <w:rPr/>
              <w:t>54,308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4,118,120</w:t>
            </w:r>
          </w:p>
        </w:tc>
        <w:tc>
          <w:tcPr>
            <w:tcW w:w="71" w:type="dxa"/>
            <w:tcBorders/>
            <w:shd w:fill="CCEEFF" w:val="clear"/>
            <w:vAlign w:val="bottom"/>
          </w:tcPr>
          <w:p>
            <w:pPr>
              <w:pStyle w:val="TableContents"/>
              <w:bidi w:val="0"/>
              <w:spacing w:before="0" w:after="283"/>
              <w:jc w:val="left"/>
              <w:rPr/>
            </w:pPr>
            <w:r>
              <w:rPr/>
              <w:t> </w:t>
            </w:r>
          </w:p>
        </w:tc>
      </w:tr>
      <w:tr>
        <w:trPr/>
        <w:tc>
          <w:tcPr>
            <w:tcW w:w="1307" w:type="dxa"/>
            <w:tcBorders/>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1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1,649,188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283"/>
              <w:jc w:val="right"/>
              <w:rPr/>
            </w:pPr>
            <w:r>
              <w:rPr/>
              <w:t>1,649,188</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21,654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21,749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1,649,188</w:t>
            </w:r>
          </w:p>
        </w:tc>
        <w:tc>
          <w:tcPr>
            <w:tcW w:w="71" w:type="dxa"/>
            <w:tcBorders/>
            <w:vAlign w:val="bottom"/>
          </w:tcPr>
          <w:p>
            <w:pPr>
              <w:pStyle w:val="TableContents"/>
              <w:bidi w:val="0"/>
              <w:spacing w:before="0" w:after="283"/>
              <w:jc w:val="left"/>
              <w:rPr/>
            </w:pPr>
            <w:r>
              <w:rPr/>
              <w:t> </w:t>
            </w:r>
          </w:p>
        </w:tc>
      </w:tr>
      <w:tr>
        <w:trPr/>
        <w:tc>
          <w:tcPr>
            <w:tcW w:w="1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A-3 Preferred Stock</w:t>
            </w:r>
          </w:p>
        </w:tc>
        <w:tc>
          <w:tcPr>
            <w:tcW w:w="1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696,516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283"/>
              <w:jc w:val="right"/>
              <w:rPr/>
            </w:pPr>
            <w:r>
              <w:rPr/>
              <w:t>696,516</w:t>
            </w:r>
          </w:p>
        </w:tc>
        <w:tc>
          <w:tcPr>
            <w:tcW w:w="5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9,187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7,348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696,516</w:t>
            </w:r>
          </w:p>
        </w:tc>
        <w:tc>
          <w:tcPr>
            <w:tcW w:w="71" w:type="dxa"/>
            <w:tcBorders/>
            <w:shd w:fill="CCEEFF" w:val="clear"/>
            <w:vAlign w:val="bottom"/>
          </w:tcPr>
          <w:p>
            <w:pPr>
              <w:pStyle w:val="TableContents"/>
              <w:bidi w:val="0"/>
              <w:spacing w:before="0" w:after="283"/>
              <w:jc w:val="left"/>
              <w:rPr/>
            </w:pPr>
            <w:r>
              <w:rPr/>
              <w:t> </w:t>
            </w:r>
          </w:p>
        </w:tc>
      </w:tr>
      <w:tr>
        <w:trPr/>
        <w:tc>
          <w:tcPr>
            <w:tcW w:w="1307" w:type="dxa"/>
            <w:tcBorders/>
          </w:tcPr>
          <w:p>
            <w:pPr>
              <w:pStyle w:val="TableContents"/>
              <w:bidi w:val="0"/>
              <w:spacing w:before="0" w:after="0"/>
              <w:jc w:val="left"/>
              <w:rPr>
                <w:rFonts w:ascii="Times New Roman" w:hAnsi="Times New Roman"/>
                <w:sz w:val="20"/>
              </w:rPr>
            </w:pPr>
            <w:r>
              <w:rPr>
                <w:rFonts w:ascii="Times New Roman" w:hAnsi="Times New Roman"/>
                <w:sz w:val="20"/>
              </w:rPr>
              <w:t>Series A-4 Preferred Stock</w:t>
            </w:r>
          </w:p>
        </w:tc>
        <w:tc>
          <w:tcPr>
            <w:tcW w:w="1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r>
              <w:rPr/>
              <w:t>0.0001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361,659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283"/>
              <w:jc w:val="right"/>
              <w:rPr/>
            </w:pPr>
            <w:r>
              <w:rPr/>
              <w:t>361,659</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4,770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4,054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361,659</w:t>
            </w:r>
          </w:p>
        </w:tc>
        <w:tc>
          <w:tcPr>
            <w:tcW w:w="71" w:type="dxa"/>
            <w:tcBorders/>
            <w:vAlign w:val="bottom"/>
          </w:tcPr>
          <w:p>
            <w:pPr>
              <w:pStyle w:val="TableContents"/>
              <w:bidi w:val="0"/>
              <w:spacing w:before="0" w:after="283"/>
              <w:jc w:val="left"/>
              <w:rPr/>
            </w:pPr>
            <w:r>
              <w:rPr/>
              <w:t> </w:t>
            </w:r>
          </w:p>
        </w:tc>
      </w:tr>
      <w:tr>
        <w:trPr/>
        <w:tc>
          <w:tcPr>
            <w:tcW w:w="130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659"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52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center"/>
              <w:rPr/>
            </w:pPr>
            <w:r>
              <w:rPr/>
              <w:t>6,825,483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58" w:type="dxa"/>
            <w:gridSpan w:val="2"/>
            <w:tcBorders/>
            <w:vAlign w:val="bottom"/>
          </w:tcPr>
          <w:p>
            <w:pPr>
              <w:pStyle w:val="TableContents"/>
              <w:bidi w:val="0"/>
              <w:spacing w:before="0" w:after="283"/>
              <w:jc w:val="center"/>
              <w:rPr/>
            </w:pPr>
            <w:r>
              <w:rPr/>
              <w:t>6,825,483</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9" w:type="dxa"/>
            <w:gridSpan w:val="2"/>
            <w:tcBorders/>
            <w:vAlign w:val="bottom"/>
          </w:tcPr>
          <w:p>
            <w:pPr>
              <w:pStyle w:val="TableContents"/>
              <w:bidi w:val="0"/>
              <w:spacing w:before="0" w:after="283"/>
              <w:jc w:val="center"/>
              <w:rPr/>
            </w:pPr>
            <w:r>
              <w:rPr/>
              <w:t>$ 80,627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bidi w:val="0"/>
              <w:spacing w:before="0" w:after="283"/>
              <w:jc w:val="center"/>
              <w:rPr/>
            </w:pPr>
            <w:r>
              <w:rPr/>
              <w:t>$ 87,459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bidi w:val="0"/>
              <w:spacing w:before="0" w:after="283"/>
              <w:jc w:val="center"/>
              <w:rPr/>
            </w:pPr>
            <w:r>
              <w:rPr/>
              <w:t>6,825,483</w:t>
            </w:r>
          </w:p>
        </w:tc>
        <w:tc>
          <w:tcPr>
            <w:tcW w:w="71" w:type="dxa"/>
            <w:tcBorders/>
            <w:vAlign w:val="bottom"/>
          </w:tcPr>
          <w:p>
            <w:pPr>
              <w:pStyle w:val="TableContents"/>
              <w:bidi w:val="0"/>
              <w:spacing w:before="0" w:after="283"/>
              <w:jc w:val="left"/>
              <w:rPr/>
            </w:pPr>
            <w:r>
              <w:rPr/>
              <w:t> </w:t>
            </w:r>
          </w:p>
        </w:tc>
      </w:tr>
      <w:tr>
        <w:trPr/>
        <w:tc>
          <w:tcPr>
            <w:tcW w:w="130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659"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525"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07"/>
        <w:gridCol w:w="143"/>
        <w:gridCol w:w="144"/>
        <w:gridCol w:w="760"/>
        <w:gridCol w:w="60"/>
        <w:gridCol w:w="143"/>
        <w:gridCol w:w="67"/>
        <w:gridCol w:w="1113"/>
        <w:gridCol w:w="60"/>
        <w:gridCol w:w="143"/>
        <w:gridCol w:w="99"/>
        <w:gridCol w:w="1659"/>
        <w:gridCol w:w="59"/>
        <w:gridCol w:w="143"/>
        <w:gridCol w:w="153"/>
        <w:gridCol w:w="826"/>
        <w:gridCol w:w="60"/>
        <w:gridCol w:w="143"/>
        <w:gridCol w:w="194"/>
        <w:gridCol w:w="1038"/>
        <w:gridCol w:w="60"/>
        <w:gridCol w:w="143"/>
        <w:gridCol w:w="92"/>
        <w:gridCol w:w="1525"/>
        <w:gridCol w:w="71"/>
      </w:tblGrid>
      <w:tr>
        <w:trPr/>
        <w:tc>
          <w:tcPr>
            <w:tcW w:w="130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3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7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71" w:type="dxa"/>
            <w:tcBorders/>
            <w:vAlign w:val="bottom"/>
          </w:tcPr>
          <w:p>
            <w:pPr>
              <w:pStyle w:val="TableContents"/>
              <w:bidi w:val="0"/>
              <w:spacing w:before="0" w:after="283"/>
              <w:jc w:val="left"/>
              <w:rPr/>
            </w:pPr>
            <w:r>
              <w:rPr/>
              <w:t> </w:t>
            </w:r>
          </w:p>
        </w:tc>
      </w:tr>
      <w:tr>
        <w:trPr/>
        <w:tc>
          <w:tcPr>
            <w:tcW w:w="13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br/>
              <w:t>Authorized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58" w:type="dxa"/>
            <w:gridSpan w:val="2"/>
            <w:tcBorders>
              <w:bottom w:val="single" w:sz="8" w:space="0" w:color="000000"/>
            </w:tcBorders>
            <w:tcMar>
              <w:bottom w:w="28" w:type="dxa"/>
            </w:tcMar>
            <w:vAlign w:val="bottom"/>
          </w:tcPr>
          <w:p>
            <w:pPr>
              <w:pStyle w:val="TableContents"/>
              <w:bidi w:val="0"/>
              <w:spacing w:before="0" w:after="283"/>
              <w:jc w:val="center"/>
              <w:rPr/>
            </w:pPr>
            <w:r>
              <w:rPr>
                <w:b/>
              </w:rPr>
              <w:t>Preferred</w:t>
            </w:r>
            <w:r>
              <w:rPr/>
              <w:br/>
            </w:r>
            <w:r>
              <w:rPr>
                <w:b/>
              </w:rPr>
              <w:t>Stock Issued</w:t>
              <w:br/>
              <w:t>and Outstanding</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Issuable Upon</w:t>
              <w:br/>
              <w:t>Conversion</w:t>
            </w:r>
          </w:p>
        </w:tc>
        <w:tc>
          <w:tcPr>
            <w:tcW w:w="71" w:type="dxa"/>
            <w:tcBorders/>
            <w:vAlign w:val="bottom"/>
          </w:tcPr>
          <w:p>
            <w:pPr>
              <w:pStyle w:val="TableContents"/>
              <w:bidi w:val="0"/>
              <w:spacing w:before="0" w:after="283"/>
              <w:jc w:val="left"/>
              <w:rPr/>
            </w:pPr>
            <w:r>
              <w:rPr/>
              <w:t> </w:t>
            </w:r>
          </w:p>
        </w:tc>
      </w:tr>
      <w:tr>
        <w:trPr/>
        <w:tc>
          <w:tcPr>
            <w:tcW w:w="1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1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4,118,120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283"/>
              <w:jc w:val="right"/>
              <w:rPr/>
            </w:pPr>
            <w:r>
              <w:rPr/>
              <w:t>4,118,120</w:t>
            </w:r>
          </w:p>
        </w:tc>
        <w:tc>
          <w:tcPr>
            <w:tcW w:w="5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r>
              <w:rPr/>
              <w:t>45,016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 </w:t>
            </w:r>
            <w:r>
              <w:rPr/>
              <w:t>54,308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4,118,120</w:t>
            </w:r>
          </w:p>
        </w:tc>
        <w:tc>
          <w:tcPr>
            <w:tcW w:w="71" w:type="dxa"/>
            <w:tcBorders/>
            <w:shd w:fill="CCEEFF" w:val="clear"/>
            <w:vAlign w:val="bottom"/>
          </w:tcPr>
          <w:p>
            <w:pPr>
              <w:pStyle w:val="TableContents"/>
              <w:bidi w:val="0"/>
              <w:spacing w:before="0" w:after="283"/>
              <w:jc w:val="left"/>
              <w:rPr/>
            </w:pPr>
            <w:r>
              <w:rPr/>
              <w:t> </w:t>
            </w:r>
          </w:p>
        </w:tc>
      </w:tr>
      <w:tr>
        <w:trPr/>
        <w:tc>
          <w:tcPr>
            <w:tcW w:w="1307" w:type="dxa"/>
            <w:tcBorders/>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1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0.0001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1,649,188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283"/>
              <w:jc w:val="right"/>
              <w:rPr/>
            </w:pPr>
            <w:r>
              <w:rPr/>
              <w:t>1,649,188</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21,654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21,749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1,649,188</w:t>
            </w:r>
          </w:p>
        </w:tc>
        <w:tc>
          <w:tcPr>
            <w:tcW w:w="71" w:type="dxa"/>
            <w:tcBorders/>
            <w:vAlign w:val="bottom"/>
          </w:tcPr>
          <w:p>
            <w:pPr>
              <w:pStyle w:val="TableContents"/>
              <w:bidi w:val="0"/>
              <w:spacing w:before="0" w:after="283"/>
              <w:jc w:val="left"/>
              <w:rPr/>
            </w:pPr>
            <w:r>
              <w:rPr/>
              <w:t> </w:t>
            </w:r>
          </w:p>
        </w:tc>
      </w:tr>
      <w:tr>
        <w:trPr/>
        <w:tc>
          <w:tcPr>
            <w:tcW w:w="1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A-3 Preferred Stock</w:t>
            </w:r>
          </w:p>
        </w:tc>
        <w:tc>
          <w:tcPr>
            <w:tcW w:w="1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0.0001</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696,516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283"/>
              <w:jc w:val="right"/>
              <w:rPr/>
            </w:pPr>
            <w:r>
              <w:rPr/>
              <w:t>696,516</w:t>
            </w:r>
          </w:p>
        </w:tc>
        <w:tc>
          <w:tcPr>
            <w:tcW w:w="5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9,187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7,348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696,516</w:t>
            </w:r>
          </w:p>
        </w:tc>
        <w:tc>
          <w:tcPr>
            <w:tcW w:w="71" w:type="dxa"/>
            <w:tcBorders/>
            <w:shd w:fill="CCEEFF" w:val="clear"/>
            <w:vAlign w:val="bottom"/>
          </w:tcPr>
          <w:p>
            <w:pPr>
              <w:pStyle w:val="TableContents"/>
              <w:bidi w:val="0"/>
              <w:spacing w:before="0" w:after="283"/>
              <w:jc w:val="left"/>
              <w:rPr/>
            </w:pPr>
            <w:r>
              <w:rPr/>
              <w:t> </w:t>
            </w:r>
          </w:p>
        </w:tc>
      </w:tr>
      <w:tr>
        <w:trPr/>
        <w:tc>
          <w:tcPr>
            <w:tcW w:w="1307" w:type="dxa"/>
            <w:tcBorders/>
          </w:tcPr>
          <w:p>
            <w:pPr>
              <w:pStyle w:val="TableContents"/>
              <w:bidi w:val="0"/>
              <w:spacing w:before="0" w:after="0"/>
              <w:jc w:val="left"/>
              <w:rPr>
                <w:rFonts w:ascii="Times New Roman" w:hAnsi="Times New Roman"/>
                <w:sz w:val="20"/>
              </w:rPr>
            </w:pPr>
            <w:r>
              <w:rPr>
                <w:rFonts w:ascii="Times New Roman" w:hAnsi="Times New Roman"/>
                <w:sz w:val="20"/>
              </w:rPr>
              <w:t>Series A-4 Preferred Stock</w:t>
            </w:r>
          </w:p>
        </w:tc>
        <w:tc>
          <w:tcPr>
            <w:tcW w:w="1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r>
              <w:rPr/>
              <w:t>0.0001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361,659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283"/>
              <w:jc w:val="right"/>
              <w:rPr/>
            </w:pPr>
            <w:r>
              <w:rPr/>
              <w:t>361,659</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4,770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4,054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361,659</w:t>
            </w:r>
          </w:p>
        </w:tc>
        <w:tc>
          <w:tcPr>
            <w:tcW w:w="71" w:type="dxa"/>
            <w:tcBorders/>
            <w:vAlign w:val="bottom"/>
          </w:tcPr>
          <w:p>
            <w:pPr>
              <w:pStyle w:val="TableContents"/>
              <w:bidi w:val="0"/>
              <w:spacing w:before="0" w:after="283"/>
              <w:jc w:val="left"/>
              <w:rPr/>
            </w:pPr>
            <w:r>
              <w:rPr/>
              <w:t> </w:t>
            </w:r>
          </w:p>
        </w:tc>
      </w:tr>
      <w:tr>
        <w:trPr/>
        <w:tc>
          <w:tcPr>
            <w:tcW w:w="130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659"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52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center"/>
              <w:rPr/>
            </w:pPr>
            <w:r>
              <w:rPr/>
              <w:t>6,825,483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58" w:type="dxa"/>
            <w:gridSpan w:val="2"/>
            <w:tcBorders/>
            <w:vAlign w:val="bottom"/>
          </w:tcPr>
          <w:p>
            <w:pPr>
              <w:pStyle w:val="TableContents"/>
              <w:bidi w:val="0"/>
              <w:spacing w:before="0" w:after="283"/>
              <w:jc w:val="center"/>
              <w:rPr/>
            </w:pPr>
            <w:r>
              <w:rPr/>
              <w:t>6,825,483</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9" w:type="dxa"/>
            <w:gridSpan w:val="2"/>
            <w:tcBorders/>
            <w:vAlign w:val="bottom"/>
          </w:tcPr>
          <w:p>
            <w:pPr>
              <w:pStyle w:val="TableContents"/>
              <w:bidi w:val="0"/>
              <w:spacing w:before="0" w:after="283"/>
              <w:jc w:val="center"/>
              <w:rPr/>
            </w:pPr>
            <w:r>
              <w:rPr/>
              <w:t>$ 80,627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bidi w:val="0"/>
              <w:spacing w:before="0" w:after="283"/>
              <w:jc w:val="center"/>
              <w:rPr/>
            </w:pPr>
            <w:r>
              <w:rPr/>
              <w:t>$ 87,459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bidi w:val="0"/>
              <w:spacing w:before="0" w:after="283"/>
              <w:jc w:val="center"/>
              <w:rPr/>
            </w:pPr>
            <w:r>
              <w:rPr/>
              <w:t>6,825,483</w:t>
            </w:r>
          </w:p>
        </w:tc>
        <w:tc>
          <w:tcPr>
            <w:tcW w:w="71" w:type="dxa"/>
            <w:tcBorders/>
            <w:vAlign w:val="bottom"/>
          </w:tcPr>
          <w:p>
            <w:pPr>
              <w:pStyle w:val="TableContents"/>
              <w:bidi w:val="0"/>
              <w:spacing w:before="0" w:after="283"/>
              <w:jc w:val="left"/>
              <w:rPr/>
            </w:pPr>
            <w:r>
              <w:rPr/>
              <w:t> </w:t>
            </w:r>
          </w:p>
        </w:tc>
      </w:tr>
      <w:tr>
        <w:trPr/>
        <w:tc>
          <w:tcPr>
            <w:tcW w:w="1307"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659"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525"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issuance of each series of the Preferred Stock, the Company assessed the embedded conversion and liquidation features of the issued Preferred Stock and determined that such features did not require the Company to separately account for these features.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7, 2022, the Company issued 2,446,372 shares of Series A-1 Preferred Stock and 437,282 shares of Series A-2 Preferred Stock at a price of $13.1876 per share, for aggregate gross proceeds of $38.0 million and incurred $11,966 of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have the following rights and privileges: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Preferred Stock are entitled to receive noncumulative dividends if and when declared by the Board at a rate of 8% per annum. The Company may not declare, pay or set aside any dividends on shares of any other series of capital stock of the Company, other than dividends on common stock payable in common stock, unless the holders of the Preferred Stock first receive, or simultaneously receive, a dividend on each outstanding share of the Preferred Stock. No dividends were declared or paid during the year ended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involuntary liquidation, dissolution or winding up of the Company or Deemed Liquidation Event, holders of the Preferred Stock shall be paid out of the assets of the Company available for distribution an amount per share equal to the greater of (i) the applicable original issue price, plus any dividends declared but unpaid, or (ii) such amount per share as would have been payable had all shares of the Preferred Stock been converted into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the assets available for distribution to its stockholders are insufficient to pay the holders of shares of the Preferred Stock the full amount which they shall be entitled, the holders of shares of Preferred Stock shall share ratably in any distribution in proportion to the respective amounts which would otherwise be payable if all amounts payable were paid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On any matter presented to the stockholders of the Company for their actions or consideration at any meeting of the Company, each holder of outstanding shares of Series A-1, Series A-3 and Series A-4 (the Voting Preferred Stock) shall be entitled to the number of votes equal to the number of whole shares of common stock into which the shares of the Voting Preferred Stock are convertible. Holders of outstanding shares of Series A-2 Preferred Stock are not entitled to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is conditionally redeemable upon the occurrence of a Deemed Liquidation Event. A Deemed Liquidation Event is defined as (a) a merger or consolidation (an event) in which the Company is a constituent party (or a subsidiary of the Company is a constituent party and the Company issues shares of its capital stock pursuant to the event), except those in which the shares Companys stock outstanding immediately before the event continue to represent, or are converted into or exchanged for shares of capital stock that represent, immediately following the event, at least a majority, by voting power, of the capital stock of (1) the surviving or resulting corporation; or (2) if the surviving or resulting corporation is a wholly owned subsidiary of another corporation immediately following such event, the parent corporation of the surviving or resulting corporation and (b) the sale or disposition of the Company or one or more subsidiaries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Mandatory Conversion </w:t>
      </w:r>
    </w:p>
    <w:p>
      <w:pPr>
        <w:pStyle w:val="TextBody"/>
        <w:bidi w:val="0"/>
        <w:spacing w:before="120" w:after="0"/>
        <w:jc w:val="left"/>
        <w:rPr>
          <w:rFonts w:ascii="Times New Roman" w:hAnsi="Times New Roman"/>
          <w:sz w:val="20"/>
        </w:rPr>
      </w:pPr>
      <w:r>
        <w:rPr>
          <w:rFonts w:ascii="Times New Roman" w:hAnsi="Times New Roman"/>
          <w:sz w:val="20"/>
        </w:rPr>
        <w:t xml:space="preserve">All outstanding shares of the Preferred Stock shall automatically convert into shares of common stock, at the conversion price upon either (a) the closing of the sale of shares of common stock to the public at a price of at least $39.56280 per share (subject to appropriate adjustment in the event of any stock dividend, stock split, combination or other similar recapitalization with respect to the common stock), in a firm-commitment underwritten initial public offering, resulting in at least $75.0 million of gross proceeds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or (b) the date and time, or the occurrence of an event, specified by vote or written consent of the holders of a majority of the voting preferred stock (the Requisite Holders). </w:t>
      </w:r>
    </w:p>
    <w:p>
      <w:pPr>
        <w:pStyle w:val="TextBody"/>
        <w:bidi w:val="0"/>
        <w:spacing w:before="120" w:after="0"/>
        <w:jc w:val="left"/>
        <w:rPr>
          <w:rFonts w:ascii="Times New Roman" w:hAnsi="Times New Roman"/>
          <w:sz w:val="20"/>
        </w:rPr>
      </w:pPr>
      <w:r>
        <w:rPr>
          <w:rFonts w:ascii="Times New Roman" w:hAnsi="Times New Roman"/>
          <w:sz w:val="20"/>
        </w:rPr>
        <w:t xml:space="preserve">Additionally, shares of Series A-1 Preferred Stock and A-2 Preferred Stock held by stockholders that did not exercise their tranche rights as part of the September 7, 2022 second tranche closing of the Preferred Stock financing were automatically converted into shares of common stock at the conversion price in effect immediately prior to this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Optional 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the Preferred Stock shall be convertible at any time and from time to time and without the payment of additional consideration by the holder into such number of fully paid and non-assessable shares of common stock as determined by dividing the original issue price by the conversion price. Each share of Series A-2 Preferred Stock shall be convertible into one share of Series A-1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conversion price for the Series A-1 Preferred Stock and the Series A-2 Preferred Stock initially is equal to $13.18760, and the initial conversion price for the Series A-3 Preferred Stock and the Series A-4 Preferred Stock is $10.55008 and $11.20946, respectively. The conversion price is subject to adjustment for any stock-splits, stock dividends, combinations or other similar recapitalizations and other adjustments as set forth in the Companys ARCOI.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Companys ARCOI authorized the Company to issue up to 11,947,558 shares of $0.0001 par value common stock, of which, 2,634,246 shares were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Voting, dividend and liquidation rights of the holders of common stock are subject to and qualified by the rights, powers and preferences of the holders of the Preferred Stock. Holders of common stock are entitled to one vote for each share of common stock; however, the holders of the common stock shall not be entitled to vote on any amendment to the ARCOI that relates solely to the terms of one or more outstanding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included in issued and outstanding common stock shares of restricted common stock granted by the Company. As of December 31, 2023, there were 2,634,246 common shares issued and outstanding, of which 2,598,752 relate to shares of unrestricted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June 2019, the Company adopted the 2019 Equity Incentive Plan (the 2019 Plan), which provides employees, consultants and advisors and non-employee members of the Board of Directors and its affiliates with the opportunity to receive grants of stock options, stock awards and equity awards. Since inception, the Company has only issued stock options. Under the 2019 Plan, the Company may grant equity awards that could require the issuance of up to 1,991,264 shares of the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For incentive stock options and non-statutory stock options, the option exercise price may not be less than 100% of the estimated fair value on the date of grant. Options granted typically vest over a four-year period but may be granted with different vesting terms. The options expire ten years from the grant date.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activity in the 2019 Plan for the year ended December 31, 2023 is as follows (in thousands except share and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59"/>
        <w:gridCol w:w="180"/>
        <w:gridCol w:w="60"/>
        <w:gridCol w:w="993"/>
        <w:gridCol w:w="155"/>
        <w:gridCol w:w="180"/>
        <w:gridCol w:w="432"/>
        <w:gridCol w:w="1374"/>
        <w:gridCol w:w="60"/>
        <w:gridCol w:w="180"/>
        <w:gridCol w:w="302"/>
        <w:gridCol w:w="1645"/>
        <w:gridCol w:w="60"/>
        <w:gridCol w:w="180"/>
        <w:gridCol w:w="312"/>
        <w:gridCol w:w="1249"/>
        <w:gridCol w:w="67"/>
      </w:tblGrid>
      <w:tr>
        <w:trPr/>
        <w:tc>
          <w:tcPr>
            <w:tcW w:w="1959"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9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br/>
              <w:t>(Years)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 Value</w:t>
            </w:r>
          </w:p>
        </w:tc>
        <w:tc>
          <w:tcPr>
            <w:tcW w:w="67" w:type="dxa"/>
            <w:tcBorders/>
            <w:vAlign w:val="bottom"/>
          </w:tcPr>
          <w:p>
            <w:pPr>
              <w:pStyle w:val="TableContents"/>
              <w:bidi w:val="0"/>
              <w:spacing w:before="0" w:after="283"/>
              <w:jc w:val="left"/>
              <w:rPr/>
            </w:pPr>
            <w:r>
              <w:rPr/>
              <w:t> </w:t>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January 1, 2023</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1,556,819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1.32</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420</w:t>
            </w:r>
          </w:p>
        </w:tc>
        <w:tc>
          <w:tcPr>
            <w:tcW w:w="67" w:type="dxa"/>
            <w:tcBorders/>
            <w:shd w:fill="CCEEFF" w:val="clear"/>
            <w:vAlign w:val="bottom"/>
          </w:tcPr>
          <w:p>
            <w:pPr>
              <w:pStyle w:val="TableContents"/>
              <w:bidi w:val="0"/>
              <w:spacing w:before="0" w:after="283"/>
              <w:jc w:val="left"/>
              <w:rPr/>
            </w:pPr>
            <w:r>
              <w:rPr/>
              <w:t> </w:t>
            </w:r>
          </w:p>
        </w:tc>
      </w:tr>
      <w:tr>
        <w:trPr/>
        <w:tc>
          <w:tcPr>
            <w:tcW w:w="195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441,615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2.74</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(108,475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1.27</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172</w:t>
            </w:r>
          </w:p>
        </w:tc>
        <w:tc>
          <w:tcPr>
            <w:tcW w:w="67" w:type="dxa"/>
            <w:tcBorders/>
            <w:shd w:fill="CCEEFF" w:val="clear"/>
            <w:vAlign w:val="bottom"/>
          </w:tcPr>
          <w:p>
            <w:pPr>
              <w:pStyle w:val="TableContents"/>
              <w:bidi w:val="0"/>
              <w:spacing w:before="0" w:after="283"/>
              <w:jc w:val="left"/>
              <w:rPr/>
            </w:pPr>
            <w:r>
              <w:rPr/>
              <w:t> </w:t>
            </w:r>
          </w:p>
        </w:tc>
      </w:tr>
      <w:tr>
        <w:trPr/>
        <w:tc>
          <w:tcPr>
            <w:tcW w:w="1959" w:type="dxa"/>
            <w:tcBorders/>
          </w:tcPr>
          <w:p>
            <w:pPr>
              <w:pStyle w:val="TableContents"/>
              <w:bidi w:val="0"/>
              <w:spacing w:before="0" w:after="0"/>
              <w:jc w:val="left"/>
              <w:rPr>
                <w:rFonts w:ascii="Times New Roman" w:hAnsi="Times New Roman"/>
                <w:sz w:val="20"/>
              </w:rPr>
            </w:pPr>
            <w:r>
              <w:rPr>
                <w:rFonts w:ascii="Times New Roman" w:hAnsi="Times New Roman"/>
                <w:sz w:val="20"/>
              </w:rPr>
              <w:t>Forfeited and expired</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(14,027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1.53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59"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1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1,875,932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1.66</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2,276</w:t>
            </w:r>
          </w:p>
        </w:tc>
        <w:tc>
          <w:tcPr>
            <w:tcW w:w="67" w:type="dxa"/>
            <w:tcBorders/>
            <w:shd w:fill="CCEEFF" w:val="clear"/>
            <w:vAlign w:val="bottom"/>
          </w:tcPr>
          <w:p>
            <w:pPr>
              <w:pStyle w:val="TableContents"/>
              <w:bidi w:val="0"/>
              <w:spacing w:before="0" w:after="283"/>
              <w:jc w:val="left"/>
              <w:rPr/>
            </w:pPr>
            <w:r>
              <w:rPr/>
              <w:t> </w:t>
            </w:r>
          </w:p>
        </w:tc>
      </w:tr>
      <w:tr>
        <w:trPr/>
        <w:tc>
          <w:tcPr>
            <w:tcW w:w="1959"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1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59"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as of December 31, 2023</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972,054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1.30</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1,525</w:t>
            </w:r>
          </w:p>
        </w:tc>
        <w:tc>
          <w:tcPr>
            <w:tcW w:w="67" w:type="dxa"/>
            <w:tcBorders/>
            <w:vAlign w:val="bottom"/>
          </w:tcPr>
          <w:p>
            <w:pPr>
              <w:pStyle w:val="TableContents"/>
              <w:bidi w:val="0"/>
              <w:spacing w:before="0" w:after="283"/>
              <w:jc w:val="left"/>
              <w:rPr/>
            </w:pPr>
            <w:r>
              <w:rPr/>
              <w:t> </w:t>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December 31, 2023</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1,875,932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1.66</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2,276</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weighted-average grant-date fair value of options granted during the years ended December 31, 2023 and 2022 was $2.16 and $1.57 per share, respectively. The total intrinsic value of options exercised during the years ended December 31, 2023 and 2022 was $171,915 and $1,458, respectively. </w:t>
      </w:r>
    </w:p>
    <w:p>
      <w:pPr>
        <w:pStyle w:val="TextBody"/>
        <w:bidi w:val="0"/>
        <w:spacing w:before="120" w:after="0"/>
        <w:jc w:val="left"/>
        <w:rPr>
          <w:rFonts w:ascii="Times New Roman" w:hAnsi="Times New Roman"/>
          <w:sz w:val="20"/>
        </w:rPr>
      </w:pPr>
      <w:r>
        <w:rPr>
          <w:rFonts w:ascii="Times New Roman" w:hAnsi="Times New Roman"/>
          <w:sz w:val="20"/>
        </w:rPr>
        <w:t xml:space="preserve">Cash received from option exercises for the years ended December 31, 2023 and 2022 was $111,770 and $4,105,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fair values of the options granted were estimated based on the BSM option pricing model, using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81"/>
        <w:gridCol w:w="402"/>
        <w:gridCol w:w="1664"/>
        <w:gridCol w:w="315"/>
        <w:gridCol w:w="1493"/>
      </w:tblGrid>
      <w:tr>
        <w:trPr/>
        <w:tc>
          <w:tcPr>
            <w:tcW w:w="3881"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3881"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72" w:type="dxa"/>
            <w:gridSpan w:val="3"/>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r>
      <w:tr>
        <w:trPr/>
        <w:tc>
          <w:tcPr>
            <w:tcW w:w="3881"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664" w:type="dxa"/>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15" w:type="dxa"/>
            <w:tcBorders/>
            <w:vAlign w:val="bottom"/>
          </w:tcPr>
          <w:p>
            <w:pPr>
              <w:pStyle w:val="TableContents"/>
              <w:bidi w:val="0"/>
              <w:spacing w:before="0" w:after="283"/>
              <w:jc w:val="left"/>
              <w:rPr/>
            </w:pPr>
            <w:r>
              <w:rPr/>
              <w:t> </w:t>
            </w:r>
          </w:p>
        </w:tc>
        <w:tc>
          <w:tcPr>
            <w:tcW w:w="1493" w:type="dxa"/>
            <w:tcBorders>
              <w:bottom w:val="single" w:sz="8" w:space="0" w:color="000000"/>
            </w:tcBorders>
            <w:tcMar>
              <w:bottom w:w="28" w:type="dxa"/>
            </w:tcMar>
            <w:vAlign w:val="bottom"/>
          </w:tcPr>
          <w:p>
            <w:pPr>
              <w:pStyle w:val="TableContents"/>
              <w:bidi w:val="0"/>
              <w:spacing w:before="0" w:after="283"/>
              <w:jc w:val="center"/>
              <w:rPr>
                <w:b/>
              </w:rPr>
            </w:pPr>
            <w:r>
              <w:rPr>
                <w:b/>
              </w:rPr>
              <w:t>2022</w:t>
            </w:r>
          </w:p>
        </w:tc>
      </w:tr>
      <w:tr>
        <w:trPr/>
        <w:tc>
          <w:tcPr>
            <w:tcW w:w="3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per share of underlying common stock</w:t>
            </w:r>
          </w:p>
        </w:tc>
        <w:tc>
          <w:tcPr>
            <w:tcW w:w="402"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center"/>
              <w:rPr/>
            </w:pPr>
            <w:r>
              <w:rPr/>
              <w:t>$2.16</w:t>
            </w:r>
          </w:p>
        </w:tc>
        <w:tc>
          <w:tcPr>
            <w:tcW w:w="315"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center"/>
              <w:rPr/>
            </w:pPr>
            <w:r>
              <w:rPr/>
              <w:t>$1.57</w:t>
            </w:r>
          </w:p>
        </w:tc>
      </w:tr>
      <w:tr>
        <w:trPr/>
        <w:tc>
          <w:tcPr>
            <w:tcW w:w="3881"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402"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center"/>
              <w:rPr/>
            </w:pPr>
            <w:r>
              <w:rPr/>
              <w:t>6.01</w:t>
            </w:r>
          </w:p>
        </w:tc>
        <w:tc>
          <w:tcPr>
            <w:tcW w:w="315"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center"/>
              <w:rPr/>
            </w:pPr>
            <w:r>
              <w:rPr/>
              <w:t>6.02</w:t>
            </w:r>
          </w:p>
        </w:tc>
      </w:tr>
      <w:tr>
        <w:trPr/>
        <w:tc>
          <w:tcPr>
            <w:tcW w:w="3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02"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center"/>
              <w:rPr/>
            </w:pPr>
            <w:r>
              <w:rPr/>
              <w:t>93.44 - 111.21%</w:t>
            </w:r>
          </w:p>
        </w:tc>
        <w:tc>
          <w:tcPr>
            <w:tcW w:w="315"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center"/>
              <w:rPr/>
            </w:pPr>
            <w:r>
              <w:rPr/>
              <w:t>87.02 - 91.24%</w:t>
            </w:r>
          </w:p>
        </w:tc>
      </w:tr>
      <w:tr>
        <w:trPr/>
        <w:tc>
          <w:tcPr>
            <w:tcW w:w="3881"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02"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center"/>
              <w:rPr/>
            </w:pPr>
            <w:r>
              <w:rPr/>
              <w:t>4.14%</w:t>
            </w:r>
          </w:p>
        </w:tc>
        <w:tc>
          <w:tcPr>
            <w:tcW w:w="315"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center"/>
              <w:rPr/>
            </w:pPr>
            <w:r>
              <w:rPr/>
              <w:t>3.01%</w:t>
            </w:r>
          </w:p>
        </w:tc>
      </w:tr>
      <w:tr>
        <w:trPr/>
        <w:tc>
          <w:tcPr>
            <w:tcW w:w="38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402"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center"/>
              <w:rPr/>
            </w:pPr>
            <w:r>
              <w:rPr/>
              <w:t>0%</w:t>
            </w:r>
          </w:p>
        </w:tc>
        <w:tc>
          <w:tcPr>
            <w:tcW w:w="315"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Common Stock </w:t>
      </w:r>
    </w:p>
    <w:p>
      <w:pPr>
        <w:pStyle w:val="TextBody"/>
        <w:bidi w:val="0"/>
        <w:spacing w:before="120" w:after="0"/>
        <w:jc w:val="left"/>
        <w:rPr>
          <w:rFonts w:ascii="Times New Roman" w:hAnsi="Times New Roman"/>
          <w:sz w:val="20"/>
        </w:rPr>
      </w:pPr>
      <w:r>
        <w:rPr>
          <w:rFonts w:ascii="Times New Roman" w:hAnsi="Times New Roman"/>
          <w:sz w:val="20"/>
        </w:rPr>
        <w:t xml:space="preserve">Since 2019, the Company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December 31, 2023, there were 35,494 unvested restricted common stock, with a repurchase liability of less than $0.1 million, that is classified in accrued expenses and other current liabilities in the accompanying consolidated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restricted stock activity: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94"/>
        <w:gridCol w:w="500"/>
        <w:gridCol w:w="120"/>
        <w:gridCol w:w="1767"/>
        <w:gridCol w:w="158"/>
      </w:tblGrid>
      <w:tr>
        <w:trPr/>
        <w:tc>
          <w:tcPr>
            <w:tcW w:w="4394"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94"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1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58" w:type="dxa"/>
            <w:tcBorders/>
            <w:vAlign w:val="bottom"/>
          </w:tcPr>
          <w:p>
            <w:pPr>
              <w:pStyle w:val="TableContents"/>
              <w:bidi w:val="0"/>
              <w:spacing w:before="0" w:after="283"/>
              <w:jc w:val="left"/>
              <w:rPr/>
            </w:pPr>
            <w:r>
              <w:rPr/>
              <w:t> </w:t>
            </w:r>
          </w:p>
        </w:tc>
      </w:tr>
      <w:tr>
        <w:trPr/>
        <w:tc>
          <w:tcPr>
            <w:tcW w:w="4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 as of</w:t>
              <w:br/>
              <w:t>January 1, 2023</w:t>
            </w:r>
          </w:p>
        </w:tc>
        <w:tc>
          <w:tcPr>
            <w:tcW w:w="50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312,826</w:t>
            </w:r>
          </w:p>
        </w:tc>
        <w:tc>
          <w:tcPr>
            <w:tcW w:w="158" w:type="dxa"/>
            <w:tcBorders/>
            <w:shd w:fill="CCEEFF" w:val="clear"/>
            <w:vAlign w:val="bottom"/>
          </w:tcPr>
          <w:p>
            <w:pPr>
              <w:pStyle w:val="TableContents"/>
              <w:bidi w:val="0"/>
              <w:spacing w:before="0" w:after="283"/>
              <w:jc w:val="left"/>
              <w:rPr/>
            </w:pPr>
            <w:r>
              <w:rPr/>
              <w:t> </w:t>
            </w:r>
          </w:p>
        </w:tc>
      </w:tr>
      <w:tr>
        <w:trPr/>
        <w:tc>
          <w:tcPr>
            <w:tcW w:w="439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0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(277,332</w:t>
            </w:r>
          </w:p>
        </w:tc>
        <w:tc>
          <w:tcPr>
            <w:tcW w:w="158" w:type="dxa"/>
            <w:tcBorders/>
            <w:shd w:fill="CCEEFF" w:val="clear"/>
            <w:vAlign w:val="bottom"/>
          </w:tcPr>
          <w:p>
            <w:pPr>
              <w:pStyle w:val="TableContents"/>
              <w:bidi w:val="0"/>
              <w:spacing w:before="0" w:after="283"/>
              <w:jc w:val="left"/>
              <w:rPr/>
            </w:pPr>
            <w:r>
              <w:rPr/>
              <w:t>) </w:t>
            </w:r>
          </w:p>
        </w:tc>
      </w:tr>
      <w:tr>
        <w:trPr/>
        <w:tc>
          <w:tcPr>
            <w:tcW w:w="439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394"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 as of</w:t>
              <w:br/>
              <w:t>December 31, 2023</w:t>
            </w:r>
          </w:p>
        </w:tc>
        <w:tc>
          <w:tcPr>
            <w:tcW w:w="50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35,494</w:t>
            </w:r>
          </w:p>
        </w:tc>
        <w:tc>
          <w:tcPr>
            <w:tcW w:w="158" w:type="dxa"/>
            <w:tcBorders/>
            <w:shd w:fill="CCEEFF" w:val="clear"/>
            <w:vAlign w:val="bottom"/>
          </w:tcPr>
          <w:p>
            <w:pPr>
              <w:pStyle w:val="TableContents"/>
              <w:bidi w:val="0"/>
              <w:spacing w:before="0" w:after="283"/>
              <w:jc w:val="left"/>
              <w:rPr/>
            </w:pPr>
            <w:r>
              <w:rPr/>
              <w:t> </w:t>
            </w:r>
          </w:p>
        </w:tc>
      </w:tr>
      <w:tr>
        <w:trPr/>
        <w:tc>
          <w:tcPr>
            <w:tcW w:w="4394"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17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of unvested restricted common stock and restricted common stock vested and forfeited for the years ended December 31, 2023 and 2022 was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stock-based compensation expense regarding its employees and nonemployees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1"/>
        <w:gridCol w:w="375"/>
        <w:gridCol w:w="140"/>
        <w:gridCol w:w="560"/>
        <w:gridCol w:w="60"/>
        <w:gridCol w:w="375"/>
        <w:gridCol w:w="140"/>
        <w:gridCol w:w="560"/>
        <w:gridCol w:w="64"/>
      </w:tblGrid>
      <w:tr>
        <w:trPr/>
        <w:tc>
          <w:tcPr>
            <w:tcW w:w="5481"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81"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8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705</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738</w:t>
            </w:r>
          </w:p>
        </w:tc>
        <w:tc>
          <w:tcPr>
            <w:tcW w:w="64" w:type="dxa"/>
            <w:tcBorders/>
            <w:shd w:fill="CCEEFF" w:val="clear"/>
            <w:vAlign w:val="bottom"/>
          </w:tcPr>
          <w:p>
            <w:pPr>
              <w:pStyle w:val="TableContents"/>
              <w:bidi w:val="0"/>
              <w:spacing w:before="0" w:after="283"/>
              <w:jc w:val="left"/>
              <w:rPr/>
            </w:pPr>
            <w:r>
              <w:rPr/>
              <w:t> </w:t>
            </w:r>
          </w:p>
        </w:tc>
      </w:tr>
      <w:tr>
        <w:trPr/>
        <w:tc>
          <w:tcPr>
            <w:tcW w:w="548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416</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381</w:t>
            </w:r>
          </w:p>
        </w:tc>
        <w:tc>
          <w:tcPr>
            <w:tcW w:w="64" w:type="dxa"/>
            <w:tcBorders/>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81" w:type="dxa"/>
            <w:tcBorders/>
            <w:shd w:fill="CCEEFF" w:val="clear"/>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1,121</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1,119</w:t>
            </w:r>
          </w:p>
        </w:tc>
        <w:tc>
          <w:tcPr>
            <w:tcW w:w="64" w:type="dxa"/>
            <w:tcBorders/>
            <w:shd w:fill="CCEEFF" w:val="clear"/>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records compensation expense on a straight-line basis over the vesting period. As of December 31, 2023, total compensation cost not yet recognized related to unvested stock options was $2.4 million, which is expected to be recognized over a weighted-average period of 2.6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tax expense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68"/>
        <w:gridCol w:w="431"/>
        <w:gridCol w:w="147"/>
        <w:gridCol w:w="773"/>
        <w:gridCol w:w="157"/>
        <w:gridCol w:w="431"/>
        <w:gridCol w:w="147"/>
        <w:gridCol w:w="638"/>
        <w:gridCol w:w="163"/>
      </w:tblGrid>
      <w:tr>
        <w:trPr/>
        <w:tc>
          <w:tcPr>
            <w:tcW w:w="4868"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68"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293"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3" w:type="dxa"/>
            <w:tcBorders/>
            <w:vAlign w:val="bottom"/>
          </w:tcPr>
          <w:p>
            <w:pPr>
              <w:pStyle w:val="TableContents"/>
              <w:bidi w:val="0"/>
              <w:spacing w:before="0" w:after="283"/>
              <w:jc w:val="left"/>
              <w:rPr/>
            </w:pPr>
            <w:r>
              <w:rPr/>
              <w:t> </w:t>
            </w:r>
          </w:p>
        </w:tc>
      </w:tr>
      <w:tr>
        <w:trPr/>
        <w:tc>
          <w:tcPr>
            <w:tcW w:w="4868"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4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expense (benefit):</w:t>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868"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868"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6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expense (benefit):</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expense (benefit):</w:t>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868"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11,207</w:t>
            </w:r>
          </w:p>
        </w:tc>
        <w:tc>
          <w:tcPr>
            <w:tcW w:w="15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7,407</w:t>
            </w:r>
          </w:p>
        </w:tc>
        <w:tc>
          <w:tcPr>
            <w:tcW w:w="163" w:type="dxa"/>
            <w:tcBorders/>
            <w:vAlign w:val="bottom"/>
          </w:tcPr>
          <w:p>
            <w:pPr>
              <w:pStyle w:val="TableContents"/>
              <w:bidi w:val="0"/>
              <w:spacing w:before="0" w:after="283"/>
              <w:jc w:val="left"/>
              <w:rPr/>
            </w:pPr>
            <w:r>
              <w:rPr/>
              <w:t> </w:t>
            </w:r>
          </w:p>
        </w:tc>
      </w:tr>
      <w:tr>
        <w:trPr/>
        <w:tc>
          <w:tcPr>
            <w:tcW w:w="4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3,361</w:t>
            </w:r>
          </w:p>
        </w:tc>
        <w:tc>
          <w:tcPr>
            <w:tcW w:w="15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2,189</w:t>
            </w:r>
          </w:p>
        </w:tc>
        <w:tc>
          <w:tcPr>
            <w:tcW w:w="163" w:type="dxa"/>
            <w:tcBorders/>
            <w:shd w:fill="CCEEFF" w:val="clear"/>
            <w:vAlign w:val="bottom"/>
          </w:tcPr>
          <w:p>
            <w:pPr>
              <w:pStyle w:val="TableContents"/>
              <w:bidi w:val="0"/>
              <w:spacing w:before="0" w:after="283"/>
              <w:jc w:val="left"/>
              <w:rPr/>
            </w:pPr>
            <w:r>
              <w:rPr/>
              <w:t> </w:t>
            </w:r>
          </w:p>
        </w:tc>
      </w:tr>
      <w:tr>
        <w:trPr/>
        <w:tc>
          <w:tcPr>
            <w:tcW w:w="4868"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68"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14,568</w:t>
            </w:r>
          </w:p>
        </w:tc>
        <w:tc>
          <w:tcPr>
            <w:tcW w:w="15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9,596</w:t>
            </w:r>
          </w:p>
        </w:tc>
        <w:tc>
          <w:tcPr>
            <w:tcW w:w="163" w:type="dxa"/>
            <w:tcBorders/>
            <w:vAlign w:val="bottom"/>
          </w:tcPr>
          <w:p>
            <w:pPr>
              <w:pStyle w:val="TableContents"/>
              <w:bidi w:val="0"/>
              <w:spacing w:before="0" w:after="283"/>
              <w:jc w:val="left"/>
              <w:rPr/>
            </w:pPr>
            <w:r>
              <w:rPr/>
              <w:t> </w:t>
            </w:r>
          </w:p>
        </w:tc>
      </w:tr>
      <w:tr>
        <w:trPr/>
        <w:tc>
          <w:tcPr>
            <w:tcW w:w="4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change in valuation allowance</w:t>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(14,568</w:t>
            </w:r>
          </w:p>
        </w:tc>
        <w:tc>
          <w:tcPr>
            <w:tcW w:w="15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(9,596</w:t>
            </w:r>
          </w:p>
        </w:tc>
        <w:tc>
          <w:tcPr>
            <w:tcW w:w="163" w:type="dxa"/>
            <w:tcBorders/>
            <w:shd w:fill="CCEEFF" w:val="clear"/>
            <w:vAlign w:val="bottom"/>
          </w:tcPr>
          <w:p>
            <w:pPr>
              <w:pStyle w:val="TableContents"/>
              <w:bidi w:val="0"/>
              <w:spacing w:before="0" w:after="283"/>
              <w:jc w:val="left"/>
              <w:rPr/>
            </w:pPr>
            <w:r>
              <w:rPr/>
              <w:t>) </w:t>
            </w:r>
          </w:p>
        </w:tc>
      </w:tr>
      <w:tr>
        <w:trPr/>
        <w:tc>
          <w:tcPr>
            <w:tcW w:w="4868"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68" w:type="dxa"/>
            <w:tcBorders/>
          </w:tcPr>
          <w:p>
            <w:pPr>
              <w:pStyle w:val="TableContents"/>
              <w:bidi w:val="0"/>
              <w:spacing w:before="0" w:after="0"/>
              <w:jc w:val="left"/>
              <w:rPr>
                <w:rFonts w:ascii="Times New Roman" w:hAnsi="Times New Roman"/>
                <w:sz w:val="20"/>
              </w:rPr>
            </w:pPr>
            <w:r>
              <w:rPr>
                <w:rFonts w:ascii="Times New Roman" w:hAnsi="Times New Roman"/>
                <w:sz w:val="20"/>
              </w:rPr>
              <w:t>Total income tax expense (benefit):</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68"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the Companys loss before income tax expense are compromised solely of domestic sources. The reconciliation of the federal statutory income tax rate to the Companys effective income tax rate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01"/>
        <w:gridCol w:w="366"/>
        <w:gridCol w:w="60"/>
        <w:gridCol w:w="576"/>
        <w:gridCol w:w="275"/>
        <w:gridCol w:w="263"/>
        <w:gridCol w:w="60"/>
        <w:gridCol w:w="576"/>
        <w:gridCol w:w="278"/>
      </w:tblGrid>
      <w:tr>
        <w:trPr/>
        <w:tc>
          <w:tcPr>
            <w:tcW w:w="5301"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301"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278" w:type="dxa"/>
            <w:tcBorders/>
            <w:vAlign w:val="bottom"/>
          </w:tcPr>
          <w:p>
            <w:pPr>
              <w:pStyle w:val="TableContents"/>
              <w:bidi w:val="0"/>
              <w:spacing w:before="0" w:after="283"/>
              <w:jc w:val="left"/>
              <w:rPr/>
            </w:pPr>
            <w:r>
              <w:rPr/>
              <w:t> </w:t>
            </w:r>
          </w:p>
        </w:tc>
      </w:tr>
      <w:tr>
        <w:trPr/>
        <w:tc>
          <w:tcPr>
            <w:tcW w:w="5301"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8" w:type="dxa"/>
            <w:tcBorders/>
            <w:vAlign w:val="bottom"/>
          </w:tcPr>
          <w:p>
            <w:pPr>
              <w:pStyle w:val="TableContents"/>
              <w:bidi w:val="0"/>
              <w:spacing w:before="0" w:after="283"/>
              <w:jc w:val="left"/>
              <w:rPr/>
            </w:pPr>
            <w:r>
              <w:rPr/>
              <w:t> </w:t>
            </w:r>
          </w:p>
        </w:tc>
      </w:tr>
      <w:tr>
        <w:trPr/>
        <w:tc>
          <w:tcPr>
            <w:tcW w:w="5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statutory income tax rate</w:t>
            </w:r>
          </w:p>
        </w:tc>
        <w:tc>
          <w:tcPr>
            <w:tcW w:w="3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21.0</w:t>
            </w:r>
          </w:p>
        </w:tc>
        <w:tc>
          <w:tcPr>
            <w:tcW w:w="27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21.0</w:t>
            </w:r>
          </w:p>
        </w:tc>
        <w:tc>
          <w:tcPr>
            <w:tcW w:w="278" w:type="dxa"/>
            <w:tcBorders/>
            <w:shd w:fill="CCEEFF" w:val="clear"/>
            <w:vAlign w:val="bottom"/>
          </w:tcPr>
          <w:p>
            <w:pPr>
              <w:pStyle w:val="TableContents"/>
              <w:bidi w:val="0"/>
              <w:spacing w:before="0" w:after="283"/>
              <w:jc w:val="left"/>
              <w:rPr/>
            </w:pPr>
            <w:r>
              <w:rPr/>
              <w:t>% </w:t>
            </w:r>
          </w:p>
        </w:tc>
      </w:tr>
      <w:tr>
        <w:trPr/>
        <w:tc>
          <w:tcPr>
            <w:tcW w:w="5301"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w:t>
            </w:r>
          </w:p>
        </w:tc>
        <w:tc>
          <w:tcPr>
            <w:tcW w:w="3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6.8</w:t>
            </w:r>
          </w:p>
        </w:tc>
        <w:tc>
          <w:tcPr>
            <w:tcW w:w="278" w:type="dxa"/>
            <w:tcBorders/>
            <w:vAlign w:val="bottom"/>
          </w:tcPr>
          <w:p>
            <w:pPr>
              <w:pStyle w:val="TableContents"/>
              <w:bidi w:val="0"/>
              <w:spacing w:before="0" w:after="283"/>
              <w:jc w:val="left"/>
              <w:rPr/>
            </w:pPr>
            <w:r>
              <w:rPr/>
              <w:t>% </w:t>
            </w:r>
          </w:p>
        </w:tc>
      </w:tr>
      <w:tr>
        <w:trPr/>
        <w:tc>
          <w:tcPr>
            <w:tcW w:w="5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rate differential</w:t>
            </w:r>
          </w:p>
        </w:tc>
        <w:tc>
          <w:tcPr>
            <w:tcW w:w="3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0.0</w:t>
            </w:r>
          </w:p>
        </w:tc>
        <w:tc>
          <w:tcPr>
            <w:tcW w:w="278" w:type="dxa"/>
            <w:tcBorders/>
            <w:shd w:fill="CCEEFF" w:val="clear"/>
            <w:vAlign w:val="bottom"/>
          </w:tcPr>
          <w:p>
            <w:pPr>
              <w:pStyle w:val="TableContents"/>
              <w:bidi w:val="0"/>
              <w:spacing w:before="0" w:after="283"/>
              <w:jc w:val="left"/>
              <w:rPr/>
            </w:pPr>
            <w:r>
              <w:rPr/>
              <w:t>% </w:t>
            </w:r>
          </w:p>
        </w:tc>
      </w:tr>
      <w:tr>
        <w:trPr/>
        <w:tc>
          <w:tcPr>
            <w:tcW w:w="5301" w:type="dxa"/>
            <w:tcBorders/>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3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-0.3</w:t>
            </w:r>
          </w:p>
        </w:tc>
        <w:tc>
          <w:tcPr>
            <w:tcW w:w="278" w:type="dxa"/>
            <w:tcBorders/>
            <w:vAlign w:val="bottom"/>
          </w:tcPr>
          <w:p>
            <w:pPr>
              <w:pStyle w:val="TableContents"/>
              <w:bidi w:val="0"/>
              <w:spacing w:before="0" w:after="283"/>
              <w:jc w:val="left"/>
              <w:rPr/>
            </w:pPr>
            <w:r>
              <w:rPr/>
              <w:t>% </w:t>
            </w:r>
          </w:p>
        </w:tc>
      </w:tr>
      <w:tr>
        <w:trPr/>
        <w:tc>
          <w:tcPr>
            <w:tcW w:w="5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Equity-based compensation</w:t>
            </w:r>
          </w:p>
        </w:tc>
        <w:tc>
          <w:tcPr>
            <w:tcW w:w="3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-0.6</w:t>
            </w:r>
          </w:p>
        </w:tc>
        <w:tc>
          <w:tcPr>
            <w:tcW w:w="278" w:type="dxa"/>
            <w:tcBorders/>
            <w:shd w:fill="CCEEFF" w:val="clear"/>
            <w:vAlign w:val="bottom"/>
          </w:tcPr>
          <w:p>
            <w:pPr>
              <w:pStyle w:val="TableContents"/>
              <w:bidi w:val="0"/>
              <w:spacing w:before="0" w:after="283"/>
              <w:jc w:val="left"/>
              <w:rPr/>
            </w:pPr>
            <w:r>
              <w:rPr/>
              <w:t>% </w:t>
            </w:r>
          </w:p>
        </w:tc>
      </w:tr>
      <w:tr>
        <w:trPr/>
        <w:tc>
          <w:tcPr>
            <w:tcW w:w="5301"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liability fair value adjustment</w:t>
            </w:r>
          </w:p>
        </w:tc>
        <w:tc>
          <w:tcPr>
            <w:tcW w:w="3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0.4</w:t>
            </w:r>
          </w:p>
        </w:tc>
        <w:tc>
          <w:tcPr>
            <w:tcW w:w="278" w:type="dxa"/>
            <w:tcBorders/>
            <w:vAlign w:val="bottom"/>
          </w:tcPr>
          <w:p>
            <w:pPr>
              <w:pStyle w:val="TableContents"/>
              <w:bidi w:val="0"/>
              <w:spacing w:before="0" w:after="283"/>
              <w:jc w:val="left"/>
              <w:rPr/>
            </w:pPr>
            <w:r>
              <w:rPr/>
              <w:t>% </w:t>
            </w:r>
          </w:p>
        </w:tc>
      </w:tr>
      <w:tr>
        <w:trPr/>
        <w:tc>
          <w:tcPr>
            <w:tcW w:w="5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3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2.5</w:t>
            </w:r>
          </w:p>
        </w:tc>
        <w:tc>
          <w:tcPr>
            <w:tcW w:w="278" w:type="dxa"/>
            <w:tcBorders/>
            <w:shd w:fill="CCEEFF" w:val="clear"/>
            <w:vAlign w:val="bottom"/>
          </w:tcPr>
          <w:p>
            <w:pPr>
              <w:pStyle w:val="TableContents"/>
              <w:bidi w:val="0"/>
              <w:spacing w:before="0" w:after="283"/>
              <w:jc w:val="left"/>
              <w:rPr/>
            </w:pPr>
            <w:r>
              <w:rPr/>
              <w:t>% </w:t>
            </w:r>
          </w:p>
        </w:tc>
      </w:tr>
      <w:tr>
        <w:trPr/>
        <w:tc>
          <w:tcPr>
            <w:tcW w:w="5301"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-34.0</w:t>
            </w:r>
          </w:p>
        </w:tc>
        <w:tc>
          <w:tcPr>
            <w:tcW w:w="27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-29.8</w:t>
            </w:r>
          </w:p>
        </w:tc>
        <w:tc>
          <w:tcPr>
            <w:tcW w:w="278" w:type="dxa"/>
            <w:tcBorders/>
            <w:vAlign w:val="bottom"/>
          </w:tcPr>
          <w:p>
            <w:pPr>
              <w:pStyle w:val="TableContents"/>
              <w:bidi w:val="0"/>
              <w:spacing w:before="0" w:after="283"/>
              <w:jc w:val="left"/>
              <w:rPr/>
            </w:pPr>
            <w:r>
              <w:rPr/>
              <w:t>% </w:t>
            </w:r>
          </w:p>
        </w:tc>
      </w:tr>
      <w:tr>
        <w:trPr/>
        <w:tc>
          <w:tcPr>
            <w:tcW w:w="5301"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5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3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0.0</w:t>
            </w:r>
          </w:p>
        </w:tc>
        <w:tc>
          <w:tcPr>
            <w:tcW w:w="278" w:type="dxa"/>
            <w:tcBorders/>
            <w:shd w:fill="CCEEFF" w:val="clear"/>
            <w:vAlign w:val="bottom"/>
          </w:tcPr>
          <w:p>
            <w:pPr>
              <w:pStyle w:val="TableContents"/>
              <w:bidi w:val="0"/>
              <w:spacing w:before="0" w:after="283"/>
              <w:jc w:val="left"/>
              <w:rPr/>
            </w:pPr>
            <w:r>
              <w:rPr/>
              <w:t>% </w:t>
            </w:r>
          </w:p>
        </w:tc>
      </w:tr>
      <w:tr>
        <w:trPr/>
        <w:tc>
          <w:tcPr>
            <w:tcW w:w="5301"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the Companys deferred tax assets and liabilities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27"/>
        <w:gridCol w:w="400"/>
        <w:gridCol w:w="145"/>
        <w:gridCol w:w="762"/>
        <w:gridCol w:w="155"/>
        <w:gridCol w:w="400"/>
        <w:gridCol w:w="145"/>
        <w:gridCol w:w="762"/>
        <w:gridCol w:w="159"/>
      </w:tblGrid>
      <w:tr>
        <w:trPr/>
        <w:tc>
          <w:tcPr>
            <w:tcW w:w="4827"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7"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369"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9" w:type="dxa"/>
            <w:tcBorders/>
            <w:vAlign w:val="bottom"/>
          </w:tcPr>
          <w:p>
            <w:pPr>
              <w:pStyle w:val="TableContents"/>
              <w:bidi w:val="0"/>
              <w:spacing w:before="0" w:after="283"/>
              <w:jc w:val="left"/>
              <w:rPr/>
            </w:pPr>
            <w:r>
              <w:rPr/>
              <w:t> </w:t>
            </w:r>
          </w:p>
        </w:tc>
      </w:tr>
      <w:tr>
        <w:trPr/>
        <w:tc>
          <w:tcPr>
            <w:tcW w:w="4827"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4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827"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11,392</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7,765</w:t>
            </w:r>
          </w:p>
        </w:tc>
        <w:tc>
          <w:tcPr>
            <w:tcW w:w="159" w:type="dxa"/>
            <w:tcBorders/>
            <w:vAlign w:val="bottom"/>
          </w:tcPr>
          <w:p>
            <w:pPr>
              <w:pStyle w:val="TableContents"/>
              <w:bidi w:val="0"/>
              <w:spacing w:before="0" w:after="283"/>
              <w:jc w:val="left"/>
              <w:rPr/>
            </w:pPr>
            <w:r>
              <w:rPr/>
              <w:t> </w:t>
            </w:r>
          </w:p>
        </w:tc>
      </w:tr>
      <w:tr>
        <w:trPr/>
        <w:tc>
          <w:tcPr>
            <w:tcW w:w="4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credits</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4,336</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1,579</w:t>
            </w:r>
          </w:p>
        </w:tc>
        <w:tc>
          <w:tcPr>
            <w:tcW w:w="159" w:type="dxa"/>
            <w:tcBorders/>
            <w:shd w:fill="CCEEFF" w:val="clear"/>
            <w:vAlign w:val="bottom"/>
          </w:tcPr>
          <w:p>
            <w:pPr>
              <w:pStyle w:val="TableContents"/>
              <w:bidi w:val="0"/>
              <w:spacing w:before="0" w:after="283"/>
              <w:jc w:val="left"/>
              <w:rPr/>
            </w:pPr>
            <w:r>
              <w:rPr/>
              <w:t> </w:t>
            </w:r>
          </w:p>
        </w:tc>
      </w:tr>
      <w:tr>
        <w:trPr/>
        <w:tc>
          <w:tcPr>
            <w:tcW w:w="4827"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817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1,575</w:t>
            </w:r>
          </w:p>
        </w:tc>
        <w:tc>
          <w:tcPr>
            <w:tcW w:w="159" w:type="dxa"/>
            <w:tcBorders/>
            <w:vAlign w:val="bottom"/>
          </w:tcPr>
          <w:p>
            <w:pPr>
              <w:pStyle w:val="TableContents"/>
              <w:bidi w:val="0"/>
              <w:spacing w:before="0" w:after="283"/>
              <w:jc w:val="left"/>
              <w:rPr/>
            </w:pPr>
            <w:r>
              <w:rPr/>
              <w:t> </w:t>
            </w:r>
          </w:p>
        </w:tc>
      </w:tr>
      <w:tr>
        <w:trPr/>
        <w:tc>
          <w:tcPr>
            <w:tcW w:w="4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R&amp;D expenses</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14,595</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7,027</w:t>
            </w:r>
          </w:p>
        </w:tc>
        <w:tc>
          <w:tcPr>
            <w:tcW w:w="159" w:type="dxa"/>
            <w:tcBorders/>
            <w:shd w:fill="CCEEFF" w:val="clear"/>
            <w:vAlign w:val="bottom"/>
          </w:tcPr>
          <w:p>
            <w:pPr>
              <w:pStyle w:val="TableContents"/>
              <w:bidi w:val="0"/>
              <w:spacing w:before="0" w:after="283"/>
              <w:jc w:val="left"/>
              <w:rPr/>
            </w:pPr>
            <w:r>
              <w:rPr/>
              <w:t> </w:t>
            </w:r>
          </w:p>
        </w:tc>
      </w:tr>
      <w:tr>
        <w:trPr/>
        <w:tc>
          <w:tcPr>
            <w:tcW w:w="4827" w:type="dxa"/>
            <w:tcBorders/>
          </w:tcPr>
          <w:p>
            <w:pPr>
              <w:pStyle w:val="TableContents"/>
              <w:bidi w:val="0"/>
              <w:spacing w:before="0" w:after="0"/>
              <w:jc w:val="left"/>
              <w:rPr>
                <w:rFonts w:ascii="Times New Roman" w:hAnsi="Times New Roman"/>
                <w:sz w:val="20"/>
              </w:rPr>
            </w:pPr>
            <w:r>
              <w:rPr>
                <w:rFonts w:ascii="Times New Roman" w:hAnsi="Times New Roman"/>
                <w:sz w:val="20"/>
              </w:rPr>
              <w:t>Accruals &amp; other</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1,027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859</w:t>
            </w:r>
          </w:p>
        </w:tc>
        <w:tc>
          <w:tcPr>
            <w:tcW w:w="159" w:type="dxa"/>
            <w:tcBorders/>
            <w:vAlign w:val="bottom"/>
          </w:tcPr>
          <w:p>
            <w:pPr>
              <w:pStyle w:val="TableContents"/>
              <w:bidi w:val="0"/>
              <w:spacing w:before="0" w:after="283"/>
              <w:jc w:val="left"/>
              <w:rPr/>
            </w:pPr>
            <w:r>
              <w:rPr/>
              <w:t> </w:t>
            </w:r>
          </w:p>
        </w:tc>
      </w:tr>
      <w:tr>
        <w:trPr/>
        <w:tc>
          <w:tcPr>
            <w:tcW w:w="4827"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32,167</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18,805</w:t>
            </w:r>
          </w:p>
        </w:tc>
        <w:tc>
          <w:tcPr>
            <w:tcW w:w="159" w:type="dxa"/>
            <w:tcBorders/>
            <w:shd w:fill="CCEEFF" w:val="clear"/>
            <w:vAlign w:val="bottom"/>
          </w:tcPr>
          <w:p>
            <w:pPr>
              <w:pStyle w:val="TableContents"/>
              <w:bidi w:val="0"/>
              <w:spacing w:before="0" w:after="283"/>
              <w:jc w:val="left"/>
              <w:rPr/>
            </w:pPr>
            <w:r>
              <w:rPr/>
              <w:t> </w:t>
            </w:r>
          </w:p>
        </w:tc>
      </w:tr>
      <w:tr>
        <w:trPr/>
        <w:tc>
          <w:tcPr>
            <w:tcW w:w="4827"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27"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(30,228</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(15,658</w:t>
            </w:r>
          </w:p>
        </w:tc>
        <w:tc>
          <w:tcPr>
            <w:tcW w:w="159" w:type="dxa"/>
            <w:tcBorders/>
            <w:vAlign w:val="bottom"/>
          </w:tcPr>
          <w:p>
            <w:pPr>
              <w:pStyle w:val="TableContents"/>
              <w:bidi w:val="0"/>
              <w:spacing w:before="0" w:after="283"/>
              <w:jc w:val="left"/>
              <w:rPr/>
            </w:pPr>
            <w:r>
              <w:rPr/>
              <w:t>) </w:t>
            </w:r>
          </w:p>
        </w:tc>
      </w:tr>
      <w:tr>
        <w:trPr/>
        <w:tc>
          <w:tcPr>
            <w:tcW w:w="4827"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1,939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3,147</w:t>
            </w:r>
          </w:p>
        </w:tc>
        <w:tc>
          <w:tcPr>
            <w:tcW w:w="159" w:type="dxa"/>
            <w:tcBorders/>
            <w:shd w:fill="CCEEFF" w:val="clear"/>
            <w:vAlign w:val="bottom"/>
          </w:tcPr>
          <w:p>
            <w:pPr>
              <w:pStyle w:val="TableContents"/>
              <w:bidi w:val="0"/>
              <w:spacing w:before="0" w:after="283"/>
              <w:jc w:val="left"/>
              <w:rPr/>
            </w:pPr>
            <w:r>
              <w:rPr/>
              <w:t> </w:t>
            </w:r>
          </w:p>
        </w:tc>
      </w:tr>
      <w:tr>
        <w:trPr/>
        <w:tc>
          <w:tcPr>
            <w:tcW w:w="4827"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2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(1,210</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(1,530</w:t>
            </w:r>
          </w:p>
        </w:tc>
        <w:tc>
          <w:tcPr>
            <w:tcW w:w="159" w:type="dxa"/>
            <w:tcBorders/>
            <w:shd w:fill="CCEEFF" w:val="clear"/>
            <w:vAlign w:val="bottom"/>
          </w:tcPr>
          <w:p>
            <w:pPr>
              <w:pStyle w:val="TableContents"/>
              <w:bidi w:val="0"/>
              <w:spacing w:before="0" w:after="283"/>
              <w:jc w:val="left"/>
              <w:rPr/>
            </w:pPr>
            <w:r>
              <w:rPr/>
              <w:t>) </w:t>
            </w:r>
          </w:p>
        </w:tc>
      </w:tr>
      <w:tr>
        <w:trPr/>
        <w:tc>
          <w:tcPr>
            <w:tcW w:w="4827"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(729</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(1,617</w:t>
            </w:r>
          </w:p>
        </w:tc>
        <w:tc>
          <w:tcPr>
            <w:tcW w:w="159" w:type="dxa"/>
            <w:tcBorders/>
            <w:vAlign w:val="bottom"/>
          </w:tcPr>
          <w:p>
            <w:pPr>
              <w:pStyle w:val="TableContents"/>
              <w:bidi w:val="0"/>
              <w:spacing w:before="0" w:after="283"/>
              <w:jc w:val="left"/>
              <w:rPr/>
            </w:pPr>
            <w:r>
              <w:rPr/>
              <w:t>) </w:t>
            </w:r>
          </w:p>
        </w:tc>
      </w:tr>
      <w:tr>
        <w:trPr/>
        <w:tc>
          <w:tcPr>
            <w:tcW w:w="4827"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liabilitites</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(1,939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(3,147</w:t>
            </w:r>
          </w:p>
        </w:tc>
        <w:tc>
          <w:tcPr>
            <w:tcW w:w="159" w:type="dxa"/>
            <w:tcBorders/>
            <w:shd w:fill="CCEEFF" w:val="clear"/>
            <w:vAlign w:val="bottom"/>
          </w:tcPr>
          <w:p>
            <w:pPr>
              <w:pStyle w:val="TableContents"/>
              <w:bidi w:val="0"/>
              <w:spacing w:before="0" w:after="283"/>
              <w:jc w:val="left"/>
              <w:rPr/>
            </w:pPr>
            <w:r>
              <w:rPr/>
              <w:t>) </w:t>
            </w:r>
          </w:p>
        </w:tc>
      </w:tr>
      <w:tr>
        <w:trPr/>
        <w:tc>
          <w:tcPr>
            <w:tcW w:w="4827"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27"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 (liability)</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827"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Future realization of the tax benefits of existing temporary differences and net operating loss (NOL) carryforwards ultimately depends on the existence of sufficient taxable income within the carryforward period. As of December 31, 2023 and 2022,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utilization of NOLs and tax credit carryforwards to offset future taxable income may be subject to an annual limitation as a result of ownership changes that have occurred previously or may occur in the future. Under Sections 382 and 383 of the Internal Revenue Code (IRC) of 1986, as amended, a corporation that undergoes an ownership change may be subject to limitations on its ability to utilize its pre-change NOLs and other tax attributes otherwise available to offset future taxable income and/or tax liability. An ownership change is defined as a cumulative change of 50% or more in the ownership positions of certain stockholders during a rolling three-year period. The Company has not completed a formal study to determine if any ownership changes within the meaning of the IRC Section 382 and 383 have occurred as of December 31, 2023 and 2022. An ownership change would restrict its ability to use its NOLs or tax credit carryforwards and could require the Company to pay federal or state income taxes earlier than would be required if such limitations were not in effect. </w:t>
      </w:r>
    </w:p>
    <w:p>
      <w:pPr>
        <w:pStyle w:val="TextBody"/>
        <w:bidi w:val="0"/>
        <w:spacing w:before="120" w:after="0"/>
        <w:jc w:val="left"/>
        <w:rPr>
          <w:rFonts w:ascii="Times New Roman" w:hAnsi="Times New Roman"/>
          <w:sz w:val="20"/>
        </w:rPr>
      </w:pPr>
      <w:r>
        <w:rPr>
          <w:rFonts w:ascii="Times New Roman" w:hAnsi="Times New Roman"/>
          <w:sz w:val="20"/>
        </w:rPr>
        <w:t xml:space="preserve">The Companys valuation allowance increased for the year ended December 31, 2023 by $14.6 million due primarily to the generation of NOLs. As of December 31, 2023, the Company has NOL carryforwards for federal and state tax reporting purposes of $43.6 million and $35.3 million, respectively. NOL carryforwards generated after December 31, 2017 for federal tax reporting purposes of $43.6 million have an indefinite life. NOL carryforwards for state purposes of $35.3 million begin to expire in 2039. As of December 31, 2023, the Company also has federal and state research and development tax credits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$2.9 million and $1.9 million, which being to expire in 2039 and 2034, respectively. The Tax Cuts and Jobs Act resulted in significant changes to the treatment of research and developmental expenses under Section 174. For tax years beginning after December 31, 2021, taxpayers are required to capitalize and amortize all research and development expenses that are paid or incurred in connection with their trade or business. Specifically, costs for U.S. based research and development activities must be amortized over five years and costs for foreign research and development activities must be amortized over 15 years using a midyear convention. During the year ended December 31, 2023, the Company capitalized $36.2 million of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uncertain tax positions under ASC 740-10, which requires that realization of an uncertain income tax position be recognized. The benefit to be recorded is the amount most likely to be realized assuming a review by tax authorities having all relevant information and applying current conventions. The Company concluded that there are no uncertain tax positions in any of the periods presented. Accrued interest and penalties are included on the related tax liability line in the consolidated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the year ended December 31, 2020 for both federal and state. However, to the extent the Company utilizes NOLs from years ending prior to 2020, the statute remains open to the extent of the NOLs or other credits are utilized.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was calculated as follows (in thousands, except share and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49"/>
        <w:gridCol w:w="470"/>
        <w:gridCol w:w="140"/>
        <w:gridCol w:w="983"/>
        <w:gridCol w:w="157"/>
        <w:gridCol w:w="470"/>
        <w:gridCol w:w="140"/>
        <w:gridCol w:w="983"/>
        <w:gridCol w:w="163"/>
      </w:tblGrid>
      <w:tr>
        <w:trPr/>
        <w:tc>
          <w:tcPr>
            <w:tcW w:w="4249"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49"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8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4249"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4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24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(42,823</w:t>
            </w:r>
          </w:p>
        </w:tc>
        <w:tc>
          <w:tcPr>
            <w:tcW w:w="15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(32,180</w:t>
            </w:r>
          </w:p>
        </w:tc>
        <w:tc>
          <w:tcPr>
            <w:tcW w:w="163" w:type="dxa"/>
            <w:tcBorders/>
            <w:vAlign w:val="bottom"/>
          </w:tcPr>
          <w:p>
            <w:pPr>
              <w:pStyle w:val="TableContents"/>
              <w:bidi w:val="0"/>
              <w:spacing w:before="0" w:after="283"/>
              <w:jc w:val="left"/>
              <w:rPr/>
            </w:pPr>
            <w:r>
              <w:rPr/>
              <w:t>) </w:t>
            </w:r>
          </w:p>
        </w:tc>
      </w:tr>
      <w:tr>
        <w:trPr/>
        <w:tc>
          <w:tcPr>
            <w:tcW w:w="4249"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4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24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2,373,674</w:t>
            </w:r>
          </w:p>
        </w:tc>
        <w:tc>
          <w:tcPr>
            <w:tcW w:w="15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1,969,418</w:t>
            </w:r>
          </w:p>
        </w:tc>
        <w:tc>
          <w:tcPr>
            <w:tcW w:w="163" w:type="dxa"/>
            <w:tcBorders/>
            <w:vAlign w:val="bottom"/>
          </w:tcPr>
          <w:p>
            <w:pPr>
              <w:pStyle w:val="TableContents"/>
              <w:bidi w:val="0"/>
              <w:spacing w:before="0" w:after="283"/>
              <w:jc w:val="left"/>
              <w:rPr/>
            </w:pPr>
            <w:r>
              <w:rPr/>
              <w:t> </w:t>
            </w:r>
          </w:p>
        </w:tc>
      </w:tr>
      <w:tr>
        <w:trPr/>
        <w:tc>
          <w:tcPr>
            <w:tcW w:w="4249"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(18.04</w:t>
            </w:r>
          </w:p>
        </w:tc>
        <w:tc>
          <w:tcPr>
            <w:tcW w:w="15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(16.34</w:t>
            </w:r>
          </w:p>
        </w:tc>
        <w:tc>
          <w:tcPr>
            <w:tcW w:w="163" w:type="dxa"/>
            <w:tcBorders/>
            <w:shd w:fill="CCEEFF" w:val="clear"/>
            <w:vAlign w:val="bottom"/>
          </w:tcPr>
          <w:p>
            <w:pPr>
              <w:pStyle w:val="TableContents"/>
              <w:bidi w:val="0"/>
              <w:spacing w:before="0" w:after="283"/>
              <w:jc w:val="left"/>
              <w:rPr/>
            </w:pPr>
            <w:r>
              <w:rPr/>
              <w:t>) </w:t>
            </w:r>
          </w:p>
        </w:tc>
      </w:tr>
      <w:tr>
        <w:trPr/>
        <w:tc>
          <w:tcPr>
            <w:tcW w:w="4249"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years ended December 31, 2023 and 2022, the Company excluded the following potential common shares from the computation of diluted net loss per share attributable to common stockholders for the period because including them would have had an anti-dilutive effect: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9"/>
        <w:gridCol w:w="240"/>
        <w:gridCol w:w="60"/>
        <w:gridCol w:w="1111"/>
        <w:gridCol w:w="60"/>
        <w:gridCol w:w="240"/>
        <w:gridCol w:w="60"/>
        <w:gridCol w:w="1002"/>
        <w:gridCol w:w="63"/>
      </w:tblGrid>
      <w:tr>
        <w:trPr/>
        <w:tc>
          <w:tcPr>
            <w:tcW w:w="4919"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49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4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6,825,483</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6,825,483</w:t>
            </w:r>
          </w:p>
        </w:tc>
        <w:tc>
          <w:tcPr>
            <w:tcW w:w="63" w:type="dxa"/>
            <w:tcBorders/>
            <w:shd w:fill="CCEEFF" w:val="clear"/>
            <w:vAlign w:val="bottom"/>
          </w:tcPr>
          <w:p>
            <w:pPr>
              <w:pStyle w:val="TableContents"/>
              <w:bidi w:val="0"/>
              <w:spacing w:before="0" w:after="283"/>
              <w:jc w:val="left"/>
              <w:rPr/>
            </w:pPr>
            <w:r>
              <w:rPr/>
              <w:t> </w:t>
            </w:r>
          </w:p>
        </w:tc>
      </w:tr>
      <w:tr>
        <w:trPr/>
        <w:tc>
          <w:tcPr>
            <w:tcW w:w="4919"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1,875,932</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1,556,819</w:t>
            </w:r>
          </w:p>
        </w:tc>
        <w:tc>
          <w:tcPr>
            <w:tcW w:w="63" w:type="dxa"/>
            <w:tcBorders/>
            <w:vAlign w:val="bottom"/>
          </w:tcPr>
          <w:p>
            <w:pPr>
              <w:pStyle w:val="TableContents"/>
              <w:bidi w:val="0"/>
              <w:spacing w:before="0" w:after="283"/>
              <w:jc w:val="left"/>
              <w:rPr/>
            </w:pPr>
            <w:r>
              <w:rPr/>
              <w:t> </w:t>
            </w:r>
          </w:p>
        </w:tc>
      </w:tr>
      <w:tr>
        <w:trPr/>
        <w:tc>
          <w:tcPr>
            <w:tcW w:w="4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35,494</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312,826</w:t>
            </w:r>
          </w:p>
        </w:tc>
        <w:tc>
          <w:tcPr>
            <w:tcW w:w="63" w:type="dxa"/>
            <w:tcBorders/>
            <w:shd w:fill="CCEEFF" w:val="clear"/>
            <w:vAlign w:val="bottom"/>
          </w:tcPr>
          <w:p>
            <w:pPr>
              <w:pStyle w:val="TableContents"/>
              <w:bidi w:val="0"/>
              <w:spacing w:before="0" w:after="283"/>
              <w:jc w:val="left"/>
              <w:rPr/>
            </w:pPr>
            <w:r>
              <w:rPr/>
              <w:t> </w:t>
            </w:r>
          </w:p>
        </w:tc>
      </w:tr>
      <w:tr>
        <w:trPr/>
        <w:tc>
          <w:tcPr>
            <w:tcW w:w="4919" w:type="dxa"/>
            <w:tcBorders/>
          </w:tcPr>
          <w:p>
            <w:pPr>
              <w:pStyle w:val="TableContents"/>
              <w:bidi w:val="0"/>
              <w:spacing w:before="0" w:after="0"/>
              <w:jc w:val="left"/>
              <w:rPr>
                <w:rFonts w:ascii="Times New Roman" w:hAnsi="Times New Roman"/>
                <w:sz w:val="20"/>
              </w:rPr>
            </w:pPr>
            <w:r>
              <w:rPr>
                <w:rFonts w:ascii="Times New Roman" w:hAnsi="Times New Roman"/>
                <w:sz w:val="20"/>
              </w:rPr>
              <w:t>SAFEs (as converted to common stock)</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2,842,954</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919"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19" w:type="dxa"/>
            <w:tcBorders/>
            <w:shd w:fill="CCEEFF" w:val="clear"/>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11,579,863</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8,695,128</w:t>
            </w:r>
          </w:p>
        </w:tc>
        <w:tc>
          <w:tcPr>
            <w:tcW w:w="63" w:type="dxa"/>
            <w:tcBorders/>
            <w:shd w:fill="CCEEFF" w:val="clear"/>
            <w:vAlign w:val="bottom"/>
          </w:tcPr>
          <w:p>
            <w:pPr>
              <w:pStyle w:val="TableContents"/>
              <w:bidi w:val="0"/>
              <w:spacing w:before="0" w:after="283"/>
              <w:jc w:val="left"/>
              <w:rPr/>
            </w:pPr>
            <w:r>
              <w:rPr/>
              <w:t> </w:t>
            </w:r>
          </w:p>
        </w:tc>
      </w:tr>
      <w:tr>
        <w:trPr/>
        <w:tc>
          <w:tcPr>
            <w:tcW w:w="4919"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Scientific Advisory Board Member </w:t>
      </w:r>
    </w:p>
    <w:p>
      <w:pPr>
        <w:pStyle w:val="TextBody"/>
        <w:bidi w:val="0"/>
        <w:spacing w:before="120" w:after="0"/>
        <w:jc w:val="left"/>
        <w:rPr>
          <w:rFonts w:ascii="Times New Roman" w:hAnsi="Times New Roman"/>
          <w:sz w:val="20"/>
        </w:rPr>
      </w:pPr>
      <w:r>
        <w:rPr>
          <w:rFonts w:ascii="Times New Roman" w:hAnsi="Times New Roman"/>
          <w:sz w:val="20"/>
        </w:rPr>
        <w:t xml:space="preserve">One of the Companys co-founders is a member of the Companys Scientific Advisory Board (SAB) and meets the criteria of a related party. For each of the years ended December 31, 2023 and 2022, the Company paid the SAB member fees in the amount of $0.1 million for advisory services provided. There were no amounts due to or from this related party as of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Harvard College (Harvard) meets the criteria of a related party resulting from the Companys co-founders employment as professors in the Harvard Department of Molecular Pharmacology. Additionally, both co-founders are members of the Board and one co-founder is a major shareholder in the Company. Core intellectual property utilized by the Company is licensed from Harvard in exchange for license fees, future milestones and royalties, and equity in the Company in the form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and 2022, the Company paid Harvard $0.2 and $0.1 million in cash considerations, respectively (see Note 6). Accounts payable to Harvard amounted to less than $0.1 million and zero as of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 sublease agreement with a company controlled by the Companys co-founders. The sublease agreement was terminated in July 2022. For the years ended December 31, 2023 and 2022, the Company received cash considerations and recorded sublease income in the amount of zero and $0.3 million, respectively (see Note 7). There were no amounts due to or from this related party as of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September 7, 2022, the Company issued 2,237,846 shares of Series A-1 Preferred Stock and 437,282 shares of Series A-2 Preferred Stock to related parties (see Note 8). These related parties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key members of management, members of the Board, and certain of the Chief Executive Officers family members.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Agreements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the Company entered into multiple SAFE agreements with certain existing investors and received $34.1 million representing the purchase amount. All investors are considered related parties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SAFE agreements have no maturity date, bear no interest, and will be redeemed by the Company upon the occurrence of a triggering event, including an equity financing, public listing transaction, change of control or dissolution. Equity financing is defined as a sale of the Companys preferred stock at a fixed valuation. In the event of an equity financing, the SAFEs will automatically be redeemed through delivery of a variable number of shares of Company preferred stock equal to the SAFE purchase amount divided by the preferred stock per share issuance price in the equity financing. In the case of SAFE agreements issued in October 2023, a 10% discount will be applied to the per share issuance price in the equity financing in determining the number of shares of Company preferred stock issued to the investors upon redemption. </w:t>
      </w:r>
    </w:p>
    <w:p>
      <w:pPr>
        <w:pStyle w:val="TextBody"/>
        <w:bidi w:val="0"/>
        <w:spacing w:before="120" w:after="0"/>
        <w:jc w:val="left"/>
        <w:rPr>
          <w:rFonts w:ascii="Times New Roman" w:hAnsi="Times New Roman"/>
          <w:sz w:val="20"/>
        </w:rPr>
      </w:pPr>
      <w:r>
        <w:rPr>
          <w:rFonts w:ascii="Times New Roman" w:hAnsi="Times New Roman"/>
          <w:sz w:val="20"/>
        </w:rPr>
        <w:t xml:space="preserve">Public listing transaction is defined as a direct listing, initial public offering (IPO) of the Companys common stock, a reverse merger or a SPAC transaction. In any of these instances, the SAFEs will automatically be redeemed through delivery of a variable number of shares of the Companys common stock determined by dividing the SAFE purchase amount by the offering or conversion price in the respective transaction. In the event of a change in control transaction, the SAFE investors will be entitled to receive a portion of the transaction proceeds equal to the greater of the SAFE purchase amount, payable in cash or other consideration, or the amount payable on the number of shares of the Companys common stock equal to the SAFE purchase amount divided by the change in control conversion price, as defined in the agreement. In a dissolution event, the investor will automatically be entitled to receive a portion of the dissolution purchase amount equal to the SAFE proceeds. </w:t>
      </w:r>
    </w:p>
    <w:p>
      <w:pPr>
        <w:pStyle w:val="TextBody"/>
        <w:bidi w:val="0"/>
        <w:spacing w:before="120" w:after="0"/>
        <w:jc w:val="left"/>
        <w:rPr>
          <w:rFonts w:ascii="Times New Roman" w:hAnsi="Times New Roman"/>
          <w:sz w:val="20"/>
        </w:rPr>
      </w:pPr>
      <w:r>
        <w:rPr>
          <w:rFonts w:ascii="Times New Roman" w:hAnsi="Times New Roman"/>
          <w:sz w:val="20"/>
        </w:rPr>
        <w:t xml:space="preserve">The SAFEs are not in the legal form of an outstanding share or debt and therefore were evaluated under ASC 480, </w:t>
      </w:r>
      <w:r>
        <w:rPr>
          <w:rFonts w:ascii="Times New Roman" w:hAnsi="Times New Roman"/>
          <w:i/>
          <w:sz w:val="20"/>
        </w:rPr>
        <w:t xml:space="preserve">Distinguishing Liabilities from Equity </w:t>
      </w:r>
      <w:r>
        <w:rPr>
          <w:rFonts w:ascii="Times New Roman" w:hAnsi="Times New Roman"/>
          <w:sz w:val="20"/>
        </w:rPr>
        <w:t xml:space="preserve">(ASC 480). Because the SAFEs allow for redemption based upon certain triggering events that are outside the Companys control, the SAFEs were classified as liabilities pursuant to ASC 480 and initially measured at their fair value upon issuance. In addition, until redemption, the SAFEs are measured at fair value on a recurring basis with subsequent changes in fair value recoded in the Companys statement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SAFEs issued in October 2023 were recognized at their fair value of $10.4 million on the issuance date. The issuance date fair value exceeded the proceeds received by approximately $0.3 million and this difference was recognized as loss at issuance in the consolidated statement of operations and comprehensive loss. The SAFEs issued in December 2023 were recognized at their fair value of approximately $21.4 million on the issuance date. The proceeds received exceeded the issuance date fair value by approximately $2.6 million and this difference was recognized as a capital contribution from the related party investors in additional paid-in capital in the consolidated statement of stockholders deficit. The subsequent measurement to the total SAFE liabilities fair value of $30.5 million is recorded in the consolidated statement of operations and comprehensive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March 25, 2024, which is the date the consolidated financial statements were available to be issued and April 12, 2024, which is the date the consolidated financial statements were available to be re-issued, to ensure that these consolidated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statements include appropriate disclosure of events both recognized in the consolidated financial statements and events which occurred but were not recognized in the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Proposed Merger with AVROBIO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1, on January 30, 2024, the Company entered into an Agreement and Plan of Merger and Reorganization (the Merger Agreement) with AVROBIO, pursuant to which the subsidiaries of AVROBIO will merge with and into the Company, with the Company continuing as a wholly owned subsidiary of the surviving corporation of the merger (the Merger). The Merger is expected to be accounted for as a reverse recapitalization in accordance with GAAP, with AVROBIO treated as the acquired company for financial reporting purposes, and the Company treated as the accounting acquirer.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Merger Agreement, certain parties will enter into certain subscription agreements (the Subscription Agreements) with the Company to purchase, prior to the consummation of the merger, approximately 7,790,903 shares of the Companys common stock for an aggregate purchase price of approximately $96.6 million. Shares of the Companys common stock issued pursuant to the Subscription Agreements will be converted into shares of AVROBIO common stock at the closing of the merger based on an exchange ratio,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207" w:name="toc770053_201"/>
      <w:bookmarkEnd w:id="207"/>
      <w:r>
        <w:rPr>
          <w:rFonts w:ascii="Times New Roman" w:hAnsi="Times New Roman"/>
          <w:b/>
          <w:sz w:val="20"/>
        </w:rPr>
        <w:t xml:space="preserve">Annex A </w:t>
      </w:r>
    </w:p>
    <w:p>
      <w:pPr>
        <w:pStyle w:val="TextBody"/>
        <w:bidi w:val="0"/>
        <w:spacing w:before="0" w:after="0"/>
        <w:jc w:val="left"/>
        <w:rPr/>
      </w:pPr>
      <w:r>
        <w:rPr/>
        <w:t> </w:t>
      </w:r>
    </w:p>
    <w:p>
      <w:pPr>
        <w:pStyle w:val="TextBody"/>
        <w:bidi w:val="0"/>
        <w:spacing w:before="60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480" w:after="0"/>
        <w:jc w:val="center"/>
        <w:rPr>
          <w:rFonts w:ascii="Times New Roman" w:hAnsi="Times New Roman"/>
          <w:sz w:val="20"/>
        </w:rPr>
      </w:pPr>
      <w:r>
        <w:rPr>
          <w:rFonts w:ascii="Times New Roman" w:hAnsi="Times New Roman"/>
          <w:sz w:val="20"/>
        </w:rPr>
        <w:t xml:space="preserve">among: </w:t>
      </w:r>
    </w:p>
    <w:p>
      <w:pPr>
        <w:pStyle w:val="TextBody"/>
        <w:bidi w:val="0"/>
        <w:spacing w:before="480" w:after="0"/>
        <w:jc w:val="center"/>
        <w:rPr>
          <w:rFonts w:ascii="Times New Roman" w:hAnsi="Times New Roman"/>
          <w:sz w:val="20"/>
        </w:rPr>
      </w:pPr>
      <w:r>
        <w:rPr>
          <w:rFonts w:ascii="Times New Roman" w:hAnsi="Times New Roman"/>
          <w:b/>
          <w:sz w:val="20"/>
        </w:rPr>
        <w:t>AVROBIO, INC.</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b/>
          <w:sz w:val="20"/>
        </w:rPr>
        <w:t>ALPINE MERGER SUBSIDIARY, INC.</w:t>
      </w:r>
      <w:r>
        <w:rPr>
          <w:rFonts w:ascii="Times New Roman" w:hAnsi="Times New Roman"/>
          <w:sz w:val="20"/>
        </w:rPr>
        <w:t xml:space="preserve">; and </w:t>
      </w:r>
    </w:p>
    <w:p>
      <w:pPr>
        <w:pStyle w:val="TextBody"/>
        <w:bidi w:val="0"/>
        <w:spacing w:before="48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480" w:after="0"/>
        <w:jc w:val="center"/>
        <w:rPr>
          <w:rFonts w:ascii="Times New Roman" w:hAnsi="Times New Roman"/>
          <w:sz w:val="20"/>
        </w:rPr>
      </w:pPr>
      <w:r>
        <w:rPr>
          <w:rFonts w:ascii="Times New Roman" w:hAnsi="Times New Roman"/>
          <w:sz w:val="20"/>
        </w:rPr>
        <w:t xml:space="preserve">Dated as of January 30, 2024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8"/>
        <w:gridCol w:w="199"/>
        <w:gridCol w:w="8642"/>
        <w:gridCol w:w="138"/>
        <w:gridCol w:w="60"/>
        <w:gridCol w:w="516"/>
        <w:gridCol w:w="62"/>
      </w:tblGrid>
      <w:tr>
        <w:trPr/>
        <w:tc>
          <w:tcPr>
            <w:tcW w:w="588"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864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left"/>
              <w:rPr/>
            </w:pPr>
            <w:hyperlink w:anchor="annxa770053_1">
              <w:r>
                <w:rPr>
                  <w:rStyle w:val="InternetLink"/>
                  <w:b/>
                </w:rPr>
                <w:t xml:space="preserve">Section 1. Definitions and Interpretative Provisions </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A-3</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1.1</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
              <w:r>
                <w:rPr>
                  <w:rStyle w:val="InternetLink"/>
                </w:rPr>
                <w:t>Definitions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1.2</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3">
              <w:r>
                <w:rPr>
                  <w:rStyle w:val="InternetLink"/>
                </w:rPr>
                <w:t>Other Definitional and Interpretative Provisions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A-18</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left"/>
              <w:rPr/>
            </w:pPr>
            <w:hyperlink w:anchor="annxa770053_4">
              <w:r>
                <w:rPr>
                  <w:rStyle w:val="InternetLink"/>
                  <w:b/>
                </w:rPr>
                <w:t xml:space="preserve">Section 2. Description of Transaction </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A-19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2.1</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5">
              <w:r>
                <w:rPr>
                  <w:rStyle w:val="InternetLink"/>
                </w:rPr>
                <w:t>The Merger</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2.2</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6">
              <w:r>
                <w:rPr>
                  <w:rStyle w:val="InternetLink"/>
                </w:rPr>
                <w:t>Effects of the Merger</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2.3</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7">
              <w:r>
                <w:rPr>
                  <w:rStyle w:val="InternetLink"/>
                </w:rPr>
                <w:t>Closing; Effective Time</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2.4</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8">
              <w:r>
                <w:rPr>
                  <w:rStyle w:val="InternetLink"/>
                </w:rPr>
                <w:t>Organizational Documents; Directors and Officers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2.5</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9">
              <w:r>
                <w:rPr>
                  <w:rStyle w:val="InternetLink"/>
                </w:rPr>
                <w:t>Conversion of Company Equity Securities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A-20</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2.6</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0">
              <w:r>
                <w:rPr>
                  <w:rStyle w:val="InternetLink"/>
                </w:rPr>
                <w:t>Contingent Value Right</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A-21</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2.7</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1">
              <w:r>
                <w:rPr>
                  <w:rStyle w:val="InternetLink"/>
                </w:rPr>
                <w:t>Closing of the Companys Transfer Books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A-22</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2.8</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2">
              <w:r>
                <w:rPr>
                  <w:rStyle w:val="InternetLink"/>
                </w:rPr>
                <w:t>Surrender of Company Capital Stock</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A-22</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2.9</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3">
              <w:r>
                <w:rPr>
                  <w:rStyle w:val="InternetLink"/>
                </w:rPr>
                <w:t>Calculation of Net Cash and Company Equity Value.</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A-23</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2.10</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4">
              <w:r>
                <w:rPr>
                  <w:rStyle w:val="InternetLink"/>
                </w:rPr>
                <w:t>Further Action</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2.11</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5">
              <w:r>
                <w:rPr>
                  <w:rStyle w:val="InternetLink"/>
                </w:rPr>
                <w:t>Intended Tax Treatment</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2.12</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6">
              <w:r>
                <w:rPr>
                  <w:rStyle w:val="InternetLink"/>
                </w:rPr>
                <w:t>Withholding</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2.13</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7">
              <w:r>
                <w:rPr>
                  <w:rStyle w:val="InternetLink"/>
                </w:rPr>
                <w:t>Appraisal Rights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A-25</w:t>
            </w:r>
          </w:p>
        </w:tc>
        <w:tc>
          <w:tcPr>
            <w:tcW w:w="62" w:type="dxa"/>
            <w:tcBorders/>
            <w:vAlign w:val="bottom"/>
          </w:tcPr>
          <w:p>
            <w:pPr>
              <w:pStyle w:val="TableContents"/>
              <w:bidi w:val="0"/>
              <w:spacing w:before="0" w:after="283"/>
              <w:jc w:val="left"/>
              <w:rPr/>
            </w:pPr>
            <w:r>
              <w:rPr/>
              <w:t> </w:t>
            </w:r>
          </w:p>
        </w:tc>
      </w:tr>
      <w:tr>
        <w:trPr>
          <w:trHeight w:val="120" w:hRule="atLeast"/>
        </w:trPr>
        <w:tc>
          <w:tcPr>
            <w:tcW w:w="9429" w:type="dxa"/>
            <w:gridSpan w:val="3"/>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9429" w:type="dxa"/>
            <w:gridSpan w:val="3"/>
            <w:tcBorders/>
          </w:tcPr>
          <w:p>
            <w:pPr>
              <w:pStyle w:val="TableContents"/>
              <w:bidi w:val="0"/>
              <w:spacing w:before="0" w:after="283"/>
              <w:jc w:val="left"/>
              <w:rPr/>
            </w:pPr>
            <w:hyperlink w:anchor="annxa770053_18">
              <w:r>
                <w:rPr>
                  <w:rStyle w:val="InternetLink"/>
                  <w:b/>
                </w:rPr>
                <w:t xml:space="preserve">Section 3. Representations and Warranties of the Company </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A-25</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3.1</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19">
              <w:r>
                <w:rPr>
                  <w:rStyle w:val="InternetLink"/>
                </w:rPr>
                <w:t>Due Organization; Subsidiaries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A-25</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3.2</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0">
              <w:r>
                <w:rPr>
                  <w:rStyle w:val="InternetLink"/>
                </w:rPr>
                <w:t>Organizational Documents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A-26</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3.3</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1">
              <w:r>
                <w:rPr>
                  <w:rStyle w:val="InternetLink"/>
                </w:rPr>
                <w:t>Authority; Binding Nature of Agreement</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A-26</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3.4</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2">
              <w:r>
                <w:rPr>
                  <w:rStyle w:val="InternetLink"/>
                </w:rPr>
                <w:t>Vote Required</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A-26</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3.5</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3">
              <w:r>
                <w:rPr>
                  <w:rStyle w:val="InternetLink"/>
                </w:rPr>
                <w:t>Non-Contravention; Consents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A-26</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3.6</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4">
              <w:r>
                <w:rPr>
                  <w:rStyle w:val="InternetLink"/>
                </w:rPr>
                <w:t>Capitalization.</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A-27</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3.7</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5">
              <w:r>
                <w:rPr>
                  <w:rStyle w:val="InternetLink"/>
                </w:rPr>
                <w:t>Financial Statements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A-28</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3.8</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6">
              <w:r>
                <w:rPr>
                  <w:rStyle w:val="InternetLink"/>
                </w:rPr>
                <w:t>Absence of Changes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3.9</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7">
              <w:r>
                <w:rPr>
                  <w:rStyle w:val="InternetLink"/>
                </w:rPr>
                <w:t>Absence of Undisclosed Liabilities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3.10</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8">
              <w:r>
                <w:rPr>
                  <w:rStyle w:val="InternetLink"/>
                </w:rPr>
                <w:t>Title to Assets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3.11</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29">
              <w:r>
                <w:rPr>
                  <w:rStyle w:val="InternetLink"/>
                </w:rPr>
                <w:t>Real Property; Leasehold</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A-29</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3.12</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30">
              <w:r>
                <w:rPr>
                  <w:rStyle w:val="InternetLink"/>
                </w:rPr>
                <w:t>Intellectual Property</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A-30</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3.13</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31">
              <w:r>
                <w:rPr>
                  <w:rStyle w:val="InternetLink"/>
                </w:rPr>
                <w:t>Agreements, Contracts and Commitments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A-32</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3.14</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32">
              <w:r>
                <w:rPr>
                  <w:rStyle w:val="InternetLink"/>
                </w:rPr>
                <w:t>Compliance; Permits; Restrictions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3.15</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33">
              <w:r>
                <w:rPr>
                  <w:rStyle w:val="InternetLink"/>
                </w:rPr>
                <w:t>Legal Proceedings; Orders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A-35</w:t>
            </w:r>
          </w:p>
        </w:tc>
        <w:tc>
          <w:tcPr>
            <w:tcW w:w="62" w:type="dxa"/>
            <w:tcBorders/>
            <w:vAlign w:val="bottom"/>
          </w:tcPr>
          <w:p>
            <w:pPr>
              <w:pStyle w:val="TableContents"/>
              <w:bidi w:val="0"/>
              <w:spacing w:before="0" w:after="283"/>
              <w:jc w:val="left"/>
              <w:rPr/>
            </w:pPr>
            <w:r>
              <w:rPr/>
              <w:t> </w:t>
            </w:r>
          </w:p>
        </w:tc>
      </w:tr>
      <w:tr>
        <w:trPr>
          <w:trHeight w:val="120" w:hRule="atLeast"/>
        </w:trPr>
        <w:tc>
          <w:tcPr>
            <w:tcW w:w="588" w:type="dxa"/>
            <w:tcBorders/>
            <w:vAlign w:val="center"/>
          </w:tcPr>
          <w:p>
            <w:pPr>
              <w:pStyle w:val="TableContents"/>
              <w:bidi w:val="0"/>
              <w:spacing w:before="0" w:after="283"/>
              <w:jc w:val="left"/>
              <w:rPr>
                <w:sz w:val="4"/>
                <w:szCs w:val="4"/>
              </w:rPr>
            </w:pPr>
            <w:r>
              <w:rPr>
                <w:sz w:val="4"/>
                <w:szCs w:val="4"/>
              </w:rPr>
            </w:r>
          </w:p>
        </w:tc>
        <w:tc>
          <w:tcPr>
            <w:tcW w:w="8841" w:type="dxa"/>
            <w:gridSpan w:val="2"/>
            <w:tcBorders/>
            <w:vAlign w:val="center"/>
          </w:tcPr>
          <w:p>
            <w:pPr>
              <w:pStyle w:val="TableContents"/>
              <w:bidi w:val="0"/>
              <w:spacing w:before="0" w:after="283"/>
              <w:jc w:val="left"/>
              <w:rPr>
                <w:sz w:val="4"/>
                <w:szCs w:val="4"/>
              </w:rPr>
            </w:pPr>
            <w:r>
              <w:rPr>
                <w:sz w:val="4"/>
                <w:szCs w:val="4"/>
              </w:rPr>
            </w:r>
          </w:p>
        </w:tc>
        <w:tc>
          <w:tcPr>
            <w:tcW w:w="776" w:type="dxa"/>
            <w:gridSpan w:val="4"/>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pPr>
            <w:r>
              <w:rPr/>
              <w:t>3.16</w:t>
            </w:r>
          </w:p>
        </w:tc>
        <w:tc>
          <w:tcPr>
            <w:tcW w:w="199" w:type="dxa"/>
            <w:tcBorders/>
            <w:vAlign w:val="bottom"/>
          </w:tcPr>
          <w:p>
            <w:pPr>
              <w:pStyle w:val="TableContents"/>
              <w:bidi w:val="0"/>
              <w:spacing w:before="0" w:after="283"/>
              <w:jc w:val="left"/>
              <w:rPr/>
            </w:pPr>
            <w:r>
              <w:rPr/>
              <w:t>  </w:t>
            </w:r>
          </w:p>
        </w:tc>
        <w:tc>
          <w:tcPr>
            <w:tcW w:w="8642" w:type="dxa"/>
            <w:tcBorders/>
            <w:vAlign w:val="bottom"/>
          </w:tcPr>
          <w:p>
            <w:pPr>
              <w:pStyle w:val="TableContents"/>
              <w:bidi w:val="0"/>
              <w:spacing w:before="0" w:after="283"/>
              <w:jc w:val="left"/>
              <w:rPr/>
            </w:pPr>
            <w:hyperlink w:anchor="annxa770053_34">
              <w:r>
                <w:rPr>
                  <w:rStyle w:val="InternetLink"/>
                </w:rPr>
                <w:t>Tax Matters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11"/>
        <w:gridCol w:w="210"/>
        <w:gridCol w:w="8599"/>
        <w:gridCol w:w="141"/>
        <w:gridCol w:w="60"/>
        <w:gridCol w:w="520"/>
        <w:gridCol w:w="64"/>
      </w:tblGrid>
      <w:tr>
        <w:trPr/>
        <w:tc>
          <w:tcPr>
            <w:tcW w:w="611"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599"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3.17</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35">
              <w:r>
                <w:rPr>
                  <w:rStyle w:val="InternetLink"/>
                </w:rPr>
                <w:t>Employee and Labor Matters; Benefit Plans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3.18</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36">
              <w:r>
                <w:rPr>
                  <w:rStyle w:val="InternetLink"/>
                </w:rPr>
                <w:t>Environmental Matters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3.19</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37">
              <w:r>
                <w:rPr>
                  <w:rStyle w:val="InternetLink"/>
                </w:rPr>
                <w:t>Insurance</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3.20</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38">
              <w:r>
                <w:rPr>
                  <w:rStyle w:val="InternetLink"/>
                </w:rPr>
                <w:t>No Financial Advisors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3.21</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39">
              <w:r>
                <w:rPr>
                  <w:rStyle w:val="InternetLink"/>
                </w:rPr>
                <w:t>Transactions with Affiliates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3.22</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0">
              <w:r>
                <w:rPr>
                  <w:rStyle w:val="InternetLink"/>
                </w:rPr>
                <w:t>Privacy and Data Security</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3.23</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1">
              <w:r>
                <w:rPr>
                  <w:rStyle w:val="InternetLink"/>
                </w:rPr>
                <w:t>Anti-Corruption</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3.24</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2">
              <w:r>
                <w:rPr>
                  <w:rStyle w:val="InternetLink"/>
                </w:rPr>
                <w:t>Sanctions Laws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3.25</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3">
              <w:r>
                <w:rPr>
                  <w:rStyle w:val="InternetLink"/>
                </w:rPr>
                <w:t>No Other Representations or Warranties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9420"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9420" w:type="dxa"/>
            <w:gridSpan w:val="3"/>
            <w:tcBorders/>
          </w:tcPr>
          <w:p>
            <w:pPr>
              <w:pStyle w:val="TableContents"/>
              <w:bidi w:val="0"/>
              <w:spacing w:before="0" w:after="283"/>
              <w:jc w:val="left"/>
              <w:rPr/>
            </w:pPr>
            <w:hyperlink w:anchor="annxa770053_44">
              <w:r>
                <w:rPr>
                  <w:rStyle w:val="InternetLink"/>
                  <w:b/>
                </w:rPr>
                <w:t xml:space="preserve">Section 4. Representations and Warranties of Aspen and Merger Sub </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b/>
              </w:rPr>
            </w:pPr>
            <w:r>
              <w:rPr>
                <w:b/>
              </w:rPr>
              <w:t>A-41</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5">
              <w:r>
                <w:rPr>
                  <w:rStyle w:val="InternetLink"/>
                </w:rPr>
                <w:t>Due Organization; Subsidiaries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4.2</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6">
              <w:r>
                <w:rPr>
                  <w:rStyle w:val="InternetLink"/>
                </w:rPr>
                <w:t>Organizational Documents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4.3</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7">
              <w:r>
                <w:rPr>
                  <w:rStyle w:val="InternetLink"/>
                </w:rPr>
                <w:t>Authority; Binding Nature of Agreement</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4.4</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8">
              <w:r>
                <w:rPr>
                  <w:rStyle w:val="InternetLink"/>
                </w:rPr>
                <w:t>Vote Required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4.5</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49">
              <w:r>
                <w:rPr>
                  <w:rStyle w:val="InternetLink"/>
                </w:rPr>
                <w:t>Non-Contravention; Consents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4.6</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0">
              <w:r>
                <w:rPr>
                  <w:rStyle w:val="InternetLink"/>
                </w:rPr>
                <w:t>Capitalization</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4.7</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1">
              <w:r>
                <w:rPr>
                  <w:rStyle w:val="InternetLink"/>
                </w:rPr>
                <w:t>SEC Filings; Financial Statements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4.8</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2">
              <w:r>
                <w:rPr>
                  <w:rStyle w:val="InternetLink"/>
                </w:rPr>
                <w:t>Absence of Changes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4.9</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3">
              <w:r>
                <w:rPr>
                  <w:rStyle w:val="InternetLink"/>
                </w:rPr>
                <w:t>Absence of Undisclosed Liabilities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4.10</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4">
              <w:r>
                <w:rPr>
                  <w:rStyle w:val="InternetLink"/>
                </w:rPr>
                <w:t>Title to Assets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4.11</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5">
              <w:r>
                <w:rPr>
                  <w:rStyle w:val="InternetLink"/>
                </w:rPr>
                <w:t>Real Property; Leasehold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4.12</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6">
              <w:r>
                <w:rPr>
                  <w:rStyle w:val="InternetLink"/>
                </w:rPr>
                <w:t>Intellectual Property</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4.13</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7">
              <w:r>
                <w:rPr>
                  <w:rStyle w:val="InternetLink"/>
                </w:rPr>
                <w:t>Agreements, Contracts and Commitments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4.14</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8">
              <w:r>
                <w:rPr>
                  <w:rStyle w:val="InternetLink"/>
                </w:rPr>
                <w:t>Compliance; Permits; Restrictions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4.15</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59">
              <w:r>
                <w:rPr>
                  <w:rStyle w:val="InternetLink"/>
                </w:rPr>
                <w:t>Legal Proceedings; Orders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4.16</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0">
              <w:r>
                <w:rPr>
                  <w:rStyle w:val="InternetLink"/>
                </w:rPr>
                <w:t>Tax Matters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4.17</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1">
              <w:r>
                <w:rPr>
                  <w:rStyle w:val="InternetLink"/>
                </w:rPr>
                <w:t>Employee and Labor Matters; Benefit Plans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4.18</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2">
              <w:r>
                <w:rPr>
                  <w:rStyle w:val="InternetLink"/>
                </w:rPr>
                <w:t>Environmental Matters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4.19</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3">
              <w:r>
                <w:rPr>
                  <w:rStyle w:val="InternetLink"/>
                </w:rPr>
                <w:t>Insurance</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4.20</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4">
              <w:r>
                <w:rPr>
                  <w:rStyle w:val="InternetLink"/>
                </w:rPr>
                <w:t>Transactions with Affiliates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4.21</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5">
              <w:r>
                <w:rPr>
                  <w:rStyle w:val="InternetLink"/>
                </w:rPr>
                <w:t>No Financial Advisors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4.22</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6">
              <w:r>
                <w:rPr>
                  <w:rStyle w:val="InternetLink"/>
                </w:rPr>
                <w:t>Valid Issuance</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4.23</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7">
              <w:r>
                <w:rPr>
                  <w:rStyle w:val="InternetLink"/>
                </w:rPr>
                <w:t>Privacy and Data Security</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4.24</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8">
              <w:r>
                <w:rPr>
                  <w:rStyle w:val="InternetLink"/>
                </w:rPr>
                <w:t>Anti-Corruption</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4.25</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69">
              <w:r>
                <w:rPr>
                  <w:rStyle w:val="InternetLink"/>
                </w:rPr>
                <w:t>Sanctions Laws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4.26</w:t>
            </w:r>
          </w:p>
        </w:tc>
        <w:tc>
          <w:tcPr>
            <w:tcW w:w="210" w:type="dxa"/>
            <w:tcBorders/>
            <w:vAlign w:val="bottom"/>
          </w:tcPr>
          <w:p>
            <w:pPr>
              <w:pStyle w:val="TableContents"/>
              <w:bidi w:val="0"/>
              <w:spacing w:before="0" w:after="283"/>
              <w:jc w:val="left"/>
              <w:rPr/>
            </w:pPr>
            <w:r>
              <w:rPr/>
              <w:t>  </w:t>
            </w:r>
          </w:p>
        </w:tc>
        <w:tc>
          <w:tcPr>
            <w:tcW w:w="8599" w:type="dxa"/>
            <w:tcBorders/>
            <w:vAlign w:val="bottom"/>
          </w:tcPr>
          <w:p>
            <w:pPr>
              <w:pStyle w:val="TableContents"/>
              <w:bidi w:val="0"/>
              <w:spacing w:before="0" w:after="283"/>
              <w:jc w:val="left"/>
              <w:rPr/>
            </w:pPr>
            <w:hyperlink w:anchor="annxa770053_70">
              <w:r>
                <w:rPr>
                  <w:rStyle w:val="InternetLink"/>
                </w:rPr>
                <w:t>No Other Representations or Warranties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30"/>
        <w:gridCol w:w="168"/>
        <w:gridCol w:w="8738"/>
        <w:gridCol w:w="131"/>
        <w:gridCol w:w="60"/>
        <w:gridCol w:w="515"/>
        <w:gridCol w:w="63"/>
      </w:tblGrid>
      <w:tr>
        <w:trPr/>
        <w:tc>
          <w:tcPr>
            <w:tcW w:w="53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873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436" w:type="dxa"/>
            <w:gridSpan w:val="3"/>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283"/>
              <w:jc w:val="left"/>
              <w:rPr/>
            </w:pPr>
            <w:hyperlink w:anchor="annxa770053_71">
              <w:r>
                <w:rPr>
                  <w:rStyle w:val="InternetLink"/>
                  <w:b/>
                </w:rPr>
                <w:t xml:space="preserve">Section 5. Certain Covenants of the Parties </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A-59</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5.1</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72">
              <w:r>
                <w:rPr>
                  <w:rStyle w:val="InternetLink"/>
                </w:rPr>
                <w:t>Operation of Aspens Business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5.2</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73">
              <w:r>
                <w:rPr>
                  <w:rStyle w:val="InternetLink"/>
                </w:rPr>
                <w:t>Operation of the Companys Business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5.3</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74">
              <w:r>
                <w:rPr>
                  <w:rStyle w:val="InternetLink"/>
                </w:rPr>
                <w:t>Access and Investigation</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A-63</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5.4</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75">
              <w:r>
                <w:rPr>
                  <w:rStyle w:val="InternetLink"/>
                </w:rPr>
                <w:t>No Solicitation</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A-64</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5.5</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76">
              <w:r>
                <w:rPr>
                  <w:rStyle w:val="InternetLink"/>
                </w:rPr>
                <w:t>Notification of Certain Matters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gridSpan w:val="3"/>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283"/>
              <w:jc w:val="left"/>
              <w:rPr/>
            </w:pPr>
            <w:hyperlink w:anchor="annxa770053_77">
              <w:r>
                <w:rPr>
                  <w:rStyle w:val="InternetLink"/>
                  <w:b/>
                </w:rPr>
                <w:t xml:space="preserve">Section 6. Additional Agreements of the Parties </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A-65</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78">
              <w:r>
                <w:rPr>
                  <w:rStyle w:val="InternetLink"/>
                </w:rPr>
                <w:t>Registration Statement, Proxy Statement</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6.2</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79">
              <w:r>
                <w:rPr>
                  <w:rStyle w:val="InternetLink"/>
                </w:rPr>
                <w:t>Company Stockholder Written Consent</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A-67</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6.3</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0">
              <w:r>
                <w:rPr>
                  <w:rStyle w:val="InternetLink"/>
                </w:rPr>
                <w:t>Aspen Stockholder Meeting</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A-68</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6.4</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1">
              <w:r>
                <w:rPr>
                  <w:rStyle w:val="InternetLink"/>
                </w:rPr>
                <w:t>Efforts; Regulatory Approvals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A-70</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6.5</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2">
              <w:r>
                <w:rPr>
                  <w:rStyle w:val="InternetLink"/>
                </w:rPr>
                <w:t>Company Options; Company Restricted Stock Units; Company Warrants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A-71</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6.6</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3">
              <w:r>
                <w:rPr>
                  <w:rStyle w:val="InternetLink"/>
                </w:rPr>
                <w:t>Employee Benefits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A-71</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6.7</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4">
              <w:r>
                <w:rPr>
                  <w:rStyle w:val="InternetLink"/>
                </w:rPr>
                <w:t>Aspen Equity Awards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A-72</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6.8</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5">
              <w:r>
                <w:rPr>
                  <w:rStyle w:val="InternetLink"/>
                </w:rPr>
                <w:t>Indemnification of Officers and Directors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A-72</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6.9</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6">
              <w:r>
                <w:rPr>
                  <w:rStyle w:val="InternetLink"/>
                </w:rPr>
                <w:t>Disclosure</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6.10</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7">
              <w:r>
                <w:rPr>
                  <w:rStyle w:val="InternetLink"/>
                </w:rPr>
                <w:t>Listing</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6.11</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8">
              <w:r>
                <w:rPr>
                  <w:rStyle w:val="InternetLink"/>
                </w:rPr>
                <w:t>Tax Matters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6.12</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89">
              <w:r>
                <w:rPr>
                  <w:rStyle w:val="InternetLink"/>
                </w:rPr>
                <w:t>Legends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6.13</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0">
              <w:r>
                <w:rPr>
                  <w:rStyle w:val="InternetLink"/>
                </w:rPr>
                <w:t>Officers and Directors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6.14</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1">
              <w:r>
                <w:rPr>
                  <w:rStyle w:val="InternetLink"/>
                </w:rPr>
                <w:t>Termination of Certain Agreements and Rights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6.15</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2">
              <w:r>
                <w:rPr>
                  <w:rStyle w:val="InternetLink"/>
                </w:rPr>
                <w:t>Section 16 Matters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A-76</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6.16</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3">
              <w:r>
                <w:rPr>
                  <w:rStyle w:val="InternetLink"/>
                </w:rPr>
                <w:t>Allocation Certificate</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6.17</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4">
              <w:r>
                <w:rPr>
                  <w:rStyle w:val="InternetLink"/>
                </w:rPr>
                <w:t>Obligations of Merger Sub</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6.18</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5">
              <w:r>
                <w:rPr>
                  <w:rStyle w:val="InternetLink"/>
                </w:rPr>
                <w:t>Covenants Regarding Concurrent Investment</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gridSpan w:val="3"/>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283"/>
              <w:jc w:val="left"/>
              <w:rPr/>
            </w:pPr>
            <w:hyperlink w:anchor="annxa770053_96">
              <w:r>
                <w:rPr>
                  <w:rStyle w:val="InternetLink"/>
                  <w:b/>
                </w:rPr>
                <w:t xml:space="preserve">Section 7. Conditions Precedent to Obligations of Each Party </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A-78</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7.1</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7">
              <w:r>
                <w:rPr>
                  <w:rStyle w:val="InternetLink"/>
                </w:rPr>
                <w:t>Effectiveness of Registration Statement</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7.2</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8">
              <w:r>
                <w:rPr>
                  <w:rStyle w:val="InternetLink"/>
                </w:rPr>
                <w:t>No Restraints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7.3</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99">
              <w:r>
                <w:rPr>
                  <w:rStyle w:val="InternetLink"/>
                </w:rPr>
                <w:t>Stockholder Approval</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7.4</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100">
              <w:r>
                <w:rPr>
                  <w:rStyle w:val="InternetLink"/>
                </w:rPr>
                <w:t>Listing</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7.5</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101">
              <w:r>
                <w:rPr>
                  <w:rStyle w:val="InternetLink"/>
                </w:rPr>
                <w:t>Lock-Up Agreements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gridSpan w:val="3"/>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283"/>
              <w:jc w:val="left"/>
              <w:rPr/>
            </w:pPr>
            <w:hyperlink w:anchor="annxa770053_102">
              <w:r>
                <w:rPr>
                  <w:rStyle w:val="InternetLink"/>
                  <w:b/>
                </w:rPr>
                <w:t xml:space="preserve">Section 8. Additional Conditions Precedent to Obligations of Aspen and Merger Sub </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A-79</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8.1</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103">
              <w:r>
                <w:rPr>
                  <w:rStyle w:val="InternetLink"/>
                </w:rPr>
                <w:t>Accuracy of Representations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8.2</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104">
              <w:r>
                <w:rPr>
                  <w:rStyle w:val="InternetLink"/>
                </w:rPr>
                <w:t>Performance of Covenants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8.3</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105">
              <w:r>
                <w:rPr>
                  <w:rStyle w:val="InternetLink"/>
                </w:rPr>
                <w:t>Documents</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3" w:type="dxa"/>
            <w:tcBorders/>
            <w:vAlign w:val="bottom"/>
          </w:tcPr>
          <w:p>
            <w:pPr>
              <w:pStyle w:val="TableContents"/>
              <w:bidi w:val="0"/>
              <w:spacing w:before="0" w:after="283"/>
              <w:jc w:val="left"/>
              <w:rPr/>
            </w:pPr>
            <w:r>
              <w:rPr/>
              <w:t> </w:t>
            </w:r>
          </w:p>
        </w:tc>
      </w:tr>
      <w:tr>
        <w:trPr>
          <w:trHeight w:val="120" w:hRule="atLeast"/>
        </w:trPr>
        <w:tc>
          <w:tcPr>
            <w:tcW w:w="530" w:type="dxa"/>
            <w:tcBorders/>
            <w:vAlign w:val="center"/>
          </w:tcPr>
          <w:p>
            <w:pPr>
              <w:pStyle w:val="TableContents"/>
              <w:bidi w:val="0"/>
              <w:spacing w:before="0" w:after="283"/>
              <w:jc w:val="left"/>
              <w:rPr>
                <w:sz w:val="4"/>
                <w:szCs w:val="4"/>
              </w:rPr>
            </w:pPr>
            <w:r>
              <w:rPr>
                <w:sz w:val="4"/>
                <w:szCs w:val="4"/>
              </w:rPr>
            </w:r>
          </w:p>
        </w:tc>
        <w:tc>
          <w:tcPr>
            <w:tcW w:w="890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530" w:type="dxa"/>
            <w:tcBorders/>
          </w:tcPr>
          <w:p>
            <w:pPr>
              <w:pStyle w:val="TableContents"/>
              <w:bidi w:val="0"/>
              <w:spacing w:before="0" w:after="283"/>
              <w:jc w:val="left"/>
              <w:rPr/>
            </w:pPr>
            <w:r>
              <w:rPr/>
              <w:t>8.4</w:t>
            </w:r>
          </w:p>
        </w:tc>
        <w:tc>
          <w:tcPr>
            <w:tcW w:w="168" w:type="dxa"/>
            <w:tcBorders/>
            <w:vAlign w:val="bottom"/>
          </w:tcPr>
          <w:p>
            <w:pPr>
              <w:pStyle w:val="TableContents"/>
              <w:bidi w:val="0"/>
              <w:spacing w:before="0" w:after="283"/>
              <w:jc w:val="left"/>
              <w:rPr/>
            </w:pPr>
            <w:r>
              <w:rPr/>
              <w:t>  </w:t>
            </w:r>
          </w:p>
        </w:tc>
        <w:tc>
          <w:tcPr>
            <w:tcW w:w="8738" w:type="dxa"/>
            <w:tcBorders/>
            <w:vAlign w:val="bottom"/>
          </w:tcPr>
          <w:p>
            <w:pPr>
              <w:pStyle w:val="TableContents"/>
              <w:bidi w:val="0"/>
              <w:spacing w:before="0" w:after="283"/>
              <w:jc w:val="left"/>
              <w:rPr/>
            </w:pPr>
            <w:hyperlink w:anchor="annxa770053_106">
              <w:r>
                <w:rPr>
                  <w:rStyle w:val="InternetLink"/>
                </w:rPr>
                <w:t>No Company Material Adverse Effect</w:t>
              </w:r>
            </w:hyperlink>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87"/>
        <w:gridCol w:w="141"/>
        <w:gridCol w:w="8715"/>
        <w:gridCol w:w="124"/>
        <w:gridCol w:w="60"/>
        <w:gridCol w:w="515"/>
        <w:gridCol w:w="63"/>
      </w:tblGrid>
      <w:tr>
        <w:trPr/>
        <w:tc>
          <w:tcPr>
            <w:tcW w:w="587"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71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8.5</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07">
              <w:r>
                <w:rPr>
                  <w:rStyle w:val="InternetLink"/>
                </w:rPr>
                <w:t>Company Stockholder Written Consent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8.6</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08">
              <w:r>
                <w:rPr>
                  <w:rStyle w:val="InternetLink"/>
                </w:rPr>
                <w:t>Concurrent Investment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8.7</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09">
              <w:r>
                <w:rPr>
                  <w:rStyle w:val="InternetLink"/>
                </w:rPr>
                <w:t>FIRPTA Certificate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nxa770053_110">
              <w:r>
                <w:rPr>
                  <w:rStyle w:val="InternetLink"/>
                  <w:b/>
                </w:rPr>
                <w:t xml:space="preserve">Section 9. Additional Conditions Precedent to Obligation of the Company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A-80</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9.1</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11">
              <w:r>
                <w:rPr>
                  <w:rStyle w:val="InternetLink"/>
                </w:rPr>
                <w:t>Accuracy of Representations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9.2</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12">
              <w:r>
                <w:rPr>
                  <w:rStyle w:val="InternetLink"/>
                </w:rPr>
                <w:t>Performance of Covenants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9.3</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13">
              <w:r>
                <w:rPr>
                  <w:rStyle w:val="InternetLink"/>
                </w:rPr>
                <w:t>Documents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9.4</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14">
              <w:r>
                <w:rPr>
                  <w:rStyle w:val="InternetLink"/>
                </w:rPr>
                <w:t>No Aspen Material Adverse Effect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nxa770053_115">
              <w:r>
                <w:rPr>
                  <w:rStyle w:val="InternetLink"/>
                  <w:b/>
                </w:rPr>
                <w:t>Section 10. Termination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A-81</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10.1</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16">
              <w:r>
                <w:rPr>
                  <w:rStyle w:val="InternetLink"/>
                </w:rPr>
                <w:t>Termination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A-81</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10.2</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17">
              <w:r>
                <w:rPr>
                  <w:rStyle w:val="InternetLink"/>
                </w:rPr>
                <w:t>Effect of Termination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10.3</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18">
              <w:r>
                <w:rPr>
                  <w:rStyle w:val="InternetLink"/>
                </w:rPr>
                <w:t>Expenses; Termination Fees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A-83</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nxa770053_119">
              <w:r>
                <w:rPr>
                  <w:rStyle w:val="InternetLink"/>
                  <w:b/>
                </w:rPr>
                <w:t xml:space="preserve">Section 11. Miscellaneous Provisions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A-84</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11.1</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0">
              <w:r>
                <w:rPr>
                  <w:rStyle w:val="InternetLink"/>
                </w:rPr>
                <w:t>Non-Survival of Representations and Warranties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11.2</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1">
              <w:r>
                <w:rPr>
                  <w:rStyle w:val="InternetLink"/>
                </w:rPr>
                <w:t>Amendment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11.3</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2">
              <w:r>
                <w:rPr>
                  <w:rStyle w:val="InternetLink"/>
                </w:rPr>
                <w:t>Waiver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11.4</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3">
              <w:r>
                <w:rPr>
                  <w:rStyle w:val="InternetLink"/>
                </w:rPr>
                <w:t>Entire Agreement; Counterparts; Exchanges by Electronic Transmission or Facsimile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11.5</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4">
              <w:r>
                <w:rPr>
                  <w:rStyle w:val="InternetLink"/>
                </w:rPr>
                <w:t>Applicable Law; Jurisdiction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11.6</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5">
              <w:r>
                <w:rPr>
                  <w:rStyle w:val="InternetLink"/>
                </w:rPr>
                <w:t>Assignability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11.7</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6">
              <w:r>
                <w:rPr>
                  <w:rStyle w:val="InternetLink"/>
                </w:rPr>
                <w:t>Notices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11.8</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7">
              <w:r>
                <w:rPr>
                  <w:rStyle w:val="InternetLink"/>
                </w:rPr>
                <w:t>Cooperation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11.9</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8">
              <w:r>
                <w:rPr>
                  <w:rStyle w:val="InternetLink"/>
                </w:rPr>
                <w:t>Severability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11.10</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29">
              <w:r>
                <w:rPr>
                  <w:rStyle w:val="InternetLink"/>
                </w:rPr>
                <w:t>Other Remedies; Specific Performance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3" w:type="dxa"/>
            <w:tcBorders/>
            <w:vAlign w:val="bottom"/>
          </w:tcPr>
          <w:p>
            <w:pPr>
              <w:pStyle w:val="TableContents"/>
              <w:bidi w:val="0"/>
              <w:spacing w:before="0" w:after="283"/>
              <w:jc w:val="left"/>
              <w:rPr/>
            </w:pPr>
            <w:r>
              <w:rPr/>
              <w:t> </w:t>
            </w:r>
          </w:p>
        </w:tc>
      </w:tr>
      <w:tr>
        <w:trPr>
          <w:trHeight w:val="120" w:hRule="atLeast"/>
        </w:trPr>
        <w:tc>
          <w:tcPr>
            <w:tcW w:w="587" w:type="dxa"/>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11.11</w:t>
            </w:r>
          </w:p>
        </w:tc>
        <w:tc>
          <w:tcPr>
            <w:tcW w:w="141" w:type="dxa"/>
            <w:tcBorders/>
            <w:vAlign w:val="bottom"/>
          </w:tcPr>
          <w:p>
            <w:pPr>
              <w:pStyle w:val="TableContents"/>
              <w:bidi w:val="0"/>
              <w:spacing w:before="0" w:after="283"/>
              <w:jc w:val="left"/>
              <w:rPr/>
            </w:pPr>
            <w:r>
              <w:rPr/>
              <w:t>  </w:t>
            </w:r>
          </w:p>
        </w:tc>
        <w:tc>
          <w:tcPr>
            <w:tcW w:w="8715" w:type="dxa"/>
            <w:tcBorders/>
            <w:vAlign w:val="bottom"/>
          </w:tcPr>
          <w:p>
            <w:pPr>
              <w:pStyle w:val="TableContents"/>
              <w:bidi w:val="0"/>
              <w:spacing w:before="0" w:after="283"/>
              <w:jc w:val="left"/>
              <w:rPr/>
            </w:pPr>
            <w:hyperlink w:anchor="annxa770053_130">
              <w:r>
                <w:rPr>
                  <w:rStyle w:val="InternetLink"/>
                </w:rPr>
                <w:t>No Third-Party Beneficiaries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A-87</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204"/>
        <w:gridCol w:w="8471"/>
      </w:tblGrid>
      <w:tr>
        <w:trPr/>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A-1</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283"/>
              <w:jc w:val="left"/>
              <w:rPr/>
            </w:pPr>
            <w:r>
              <w:rPr/>
              <w:t>Form of Aspen Stockholder Support Agreement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A-2</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283"/>
              <w:jc w:val="left"/>
              <w:rPr/>
            </w:pPr>
            <w:r>
              <w:rPr/>
              <w:t>Form of Company Stockholder Support Agreement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B</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283"/>
              <w:jc w:val="left"/>
              <w:rPr/>
            </w:pPr>
            <w:r>
              <w:rPr/>
              <w:t>Form of Lock-Up Agreement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C</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283"/>
              <w:jc w:val="left"/>
              <w:rPr/>
            </w:pPr>
            <w:r>
              <w:rPr/>
              <w:t>Form of Subscription Agreement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D</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283"/>
              <w:jc w:val="left"/>
              <w:rPr/>
            </w:pPr>
            <w:r>
              <w:rPr/>
              <w:t>Form of CVR Agreement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E</w:t>
            </w:r>
          </w:p>
        </w:tc>
        <w:tc>
          <w:tcPr>
            <w:tcW w:w="204" w:type="dxa"/>
            <w:tcBorders/>
            <w:vAlign w:val="bottom"/>
          </w:tcPr>
          <w:p>
            <w:pPr>
              <w:pStyle w:val="TableContents"/>
              <w:bidi w:val="0"/>
              <w:spacing w:before="0" w:after="283"/>
              <w:jc w:val="left"/>
              <w:rPr/>
            </w:pPr>
            <w:r>
              <w:rPr/>
              <w:t>  </w:t>
            </w:r>
          </w:p>
        </w:tc>
        <w:tc>
          <w:tcPr>
            <w:tcW w:w="8471" w:type="dxa"/>
            <w:tcBorders/>
          </w:tcPr>
          <w:p>
            <w:pPr>
              <w:pStyle w:val="TableContents"/>
              <w:bidi w:val="0"/>
              <w:spacing w:before="0" w:after="283"/>
              <w:jc w:val="left"/>
              <w:rPr/>
            </w:pPr>
            <w:r>
              <w:rPr/>
              <w:t>Form of FIRPTA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 xml:space="preserve">THIS AGREEMENT AND PLAN OF MERGER AND REORGANIZATION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January 30, 2024, by and among </w:t>
      </w:r>
      <w:r>
        <w:rPr>
          <w:rFonts w:ascii="Times New Roman" w:hAnsi="Times New Roman"/>
          <w:b/>
          <w:sz w:val="20"/>
        </w:rPr>
        <w:t>AVROBIO, Inc.</w:t>
      </w:r>
      <w:r>
        <w:rPr>
          <w:rFonts w:ascii="Times New Roman" w:hAnsi="Times New Roman"/>
          <w:sz w:val="20"/>
        </w:rPr>
        <w:t>, a Delaware corporation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ALPINE MERGER SUBSIDIARY, INC.</w:t>
      </w:r>
      <w:r>
        <w:rPr>
          <w:rFonts w:ascii="Times New Roman" w:hAnsi="Times New Roman"/>
          <w:sz w:val="20"/>
        </w:rPr>
        <w:t>, a Delaware corporation and wholly owned subsidiary of Aspen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TECTONIC THERAPEUTIC,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Aspen and the Company intend to effect a merger of Merger Sub with and into the Company (the </w:t>
      </w:r>
      <w:r>
        <w:rPr>
          <w:rFonts w:ascii="Times New Roman" w:hAnsi="Times New Roman"/>
          <w:b/>
          <w:sz w:val="20"/>
        </w:rPr>
        <w:t>Merger</w:t>
      </w:r>
      <w:r>
        <w:rPr>
          <w:rFonts w:ascii="Times New Roman" w:hAnsi="Times New Roman"/>
          <w:sz w:val="20"/>
        </w:rPr>
        <w:t xml:space="preserve">) in accordance with this Agreement and the DGCL. Upon consummation of the Merger, Merger Sub will cease to exist and the Company will become a wholly owned subsidiary of Aspen.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intend that, for U.S. federal (and applicable state and local) income Tax purposes, the Merger qualifies as a reorganization within the meaning of Section 368(a) of the Code and the Treasury Regulations, and that this Agreement be, and hereby is, adopted as a plan of reorganization for the purposes of Section 368 of the Code and Treasury Regulations Sections 1.368-2(g) and 1.368-3. </w:t>
      </w:r>
    </w:p>
    <w:p>
      <w:pPr>
        <w:pStyle w:val="TextBody"/>
        <w:bidi w:val="0"/>
        <w:spacing w:before="240" w:after="0"/>
        <w:jc w:val="left"/>
        <w:rPr>
          <w:rFonts w:ascii="Times New Roman" w:hAnsi="Times New Roman"/>
          <w:sz w:val="20"/>
        </w:rPr>
      </w:pPr>
      <w:r>
        <w:rPr>
          <w:rFonts w:ascii="Times New Roman" w:hAnsi="Times New Roman"/>
          <w:sz w:val="20"/>
        </w:rPr>
        <w:t>C. The Aspen Board has (i) determined that the Contemplated Transactions are fair to, advisable and in the best interests of Aspen and its stockholders, (ii) approved and declared advisable this Agreement and the Contemplated Transactions, including the issuance of shares of Aspen Common Stock to the stockholders of the Company pursuant to the terms of this Agreement, and (iii) determined to recommend, upon the terms and subject to the conditions set forth in this Agreement, that the stockholders of Aspen vote (A) to approve the issuance of shares of Aspen Common Stock to the stockholders of the Company pursuant to the terms of this Agreement, (B) to approve an amendment to the Aspen Charter to effect the Nasdaq Reverse Split and (C) to approve an amendment to the Aspen Charter to provide for the exculpation of officers (the matters in clauses (A) through (C), together with Aspen stockholder action to approve the Equity Plan Proposals when approved by the Aspen Board in accordance with the terms of the definition thereof, the </w:t>
      </w:r>
      <w:r>
        <w:rPr>
          <w:rFonts w:ascii="Times New Roman" w:hAnsi="Times New Roman"/>
          <w:b/>
          <w:sz w:val="20"/>
        </w:rPr>
        <w:t>Aspen Stockholder Matters</w:t>
      </w:r>
      <w:r>
        <w:rPr>
          <w:rFonts w:ascii="Times New Roman" w:hAnsi="Times New Roman"/>
          <w:sz w:val="20"/>
        </w:rPr>
        <w:t>, with the Aspen Stockholder Matters set forth in clauses (A) and (B) only being the </w:t>
      </w:r>
      <w:r>
        <w:rPr>
          <w:rFonts w:ascii="Times New Roman" w:hAnsi="Times New Roman"/>
          <w:b/>
          <w:sz w:val="20"/>
        </w:rPr>
        <w:t>Specified Aspen Stockholder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Concurrently with the execution and delivery of this Agreement and as a condition and inducement to the Companys willingness to enter into this Agreement, each of the officers, directors and stockholders set forth on </w:t>
      </w:r>
      <w:r>
        <w:rPr>
          <w:rFonts w:ascii="Times New Roman" w:hAnsi="Times New Roman"/>
          <w:sz w:val="20"/>
          <w:u w:val="single"/>
        </w:rPr>
        <w:t>Section A</w:t>
      </w:r>
      <w:r>
        <w:rPr>
          <w:rFonts w:ascii="Times New Roman" w:hAnsi="Times New Roman"/>
          <w:sz w:val="20"/>
        </w:rPr>
        <w:t xml:space="preserve"> of the Aspen Disclosure Schedule (solely in their capacity as stockholders of Aspen) are executing support agreements in favor of the Company in substantially the form attached hereto as Exhibit A-1 (the </w:t>
      </w:r>
      <w:r>
        <w:rPr>
          <w:rFonts w:ascii="Times New Roman" w:hAnsi="Times New Roman"/>
          <w:b/>
          <w:sz w:val="20"/>
        </w:rPr>
        <w:t>Aspen Stockholder Support Agreement</w:t>
      </w:r>
      <w:r>
        <w:rPr>
          <w:rFonts w:ascii="Times New Roman" w:hAnsi="Times New Roman"/>
          <w:sz w:val="20"/>
        </w:rPr>
        <w:t xml:space="preserve">), pursuant to which such Persons have, subject to the terms and conditions set forth therein, agreed to vote all of their shares of capital stock of Aspen (a) to approve the Aspen Stockholder Matters and (b) against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Concurrently with the execution and delivery of this Agreement and as a condition and inducement to Aspens willingness to enter into this Agreement, each of the Persons set forth on </w:t>
      </w:r>
      <w:r>
        <w:rPr>
          <w:rFonts w:ascii="Times New Roman" w:hAnsi="Times New Roman"/>
          <w:sz w:val="20"/>
          <w:u w:val="single"/>
        </w:rPr>
        <w:t>Section A</w:t>
      </w:r>
      <w:r>
        <w:rPr>
          <w:rFonts w:ascii="Times New Roman" w:hAnsi="Times New Roman"/>
          <w:sz w:val="20"/>
        </w:rPr>
        <w:t xml:space="preserve"> of the Company Disclosure Schedule, who collectively hold shares of Company Capital Stock sufficient to adopt and approve this Agreement and the Merger as required under the DGCL and the Organizational Documents of the Company and represent no less than 88% of the voting power of the Company, are executing (solely in their capacity as stockholders of the Company) support agreements in favor of Aspen in substantially the form attached hereto as </w:t>
      </w:r>
      <w:r>
        <w:rPr>
          <w:rFonts w:ascii="Times New Roman" w:hAnsi="Times New Roman"/>
          <w:sz w:val="20"/>
          <w:u w:val="single"/>
        </w:rPr>
        <w:t>Exhibit A-2</w:t>
      </w:r>
      <w:r>
        <w:rPr>
          <w:rFonts w:ascii="Times New Roman" w:hAnsi="Times New Roman"/>
          <w:sz w:val="20"/>
        </w:rPr>
        <w:t xml:space="preserve"> (each a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(A) to adopt and approve the Merger Agreement, (B) to approve the Contemplated Transactions, (C) to approve an amendment to the Company certificate of incorporation to effect the Company Authorized Share Increase, (D) to the extent such Person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H. Concurrently with the execution and delivery of this Agreement and as a condition and inducement to Aspens and the Companys willingness to enter into this Agreement, the Persons listed on </w:t>
      </w:r>
      <w:r>
        <w:rPr>
          <w:rFonts w:ascii="Times New Roman" w:hAnsi="Times New Roman"/>
          <w:sz w:val="20"/>
          <w:u w:val="single"/>
        </w:rPr>
        <w:t>Section B</w:t>
      </w:r>
      <w:r>
        <w:rPr>
          <w:rFonts w:ascii="Times New Roman" w:hAnsi="Times New Roman"/>
          <w:sz w:val="20"/>
        </w:rPr>
        <w:t xml:space="preserve"> of the Company Disclosure Schedule and Section B of the Aspen Disclosure Schedule are executing lock-up agreements in substantially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It is expected that within four (4) Business Days after the Registration Statement is declared effective under the Securities Act, the holders of shares of Company Capital Stock sufficient to adopt and approve this Agreement and the Merger as required under the DGCL and the Organizational Documents of the Company will execute and deliver an action by written consent adopting this Agreement, in form and substance reasonably acceptable to Aspen,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J. Prior to the date of this Agreement, certain investors (the </w:t>
      </w:r>
      <w:r>
        <w:rPr>
          <w:rFonts w:ascii="Times New Roman" w:hAnsi="Times New Roman"/>
          <w:b/>
          <w:sz w:val="20"/>
        </w:rPr>
        <w:t>Company SAFE Concurrent Investors</w:t>
      </w:r>
      <w:r>
        <w:rPr>
          <w:rFonts w:ascii="Times New Roman" w:hAnsi="Times New Roman"/>
          <w:sz w:val="20"/>
        </w:rPr>
        <w:t>) have entered into the Company SAFEs with the Company (the investments contemplated by such Company SAFEs, collectively, the </w:t>
      </w:r>
      <w:r>
        <w:rPr>
          <w:rFonts w:ascii="Times New Roman" w:hAnsi="Times New Roman"/>
          <w:b/>
          <w:sz w:val="20"/>
        </w:rPr>
        <w:t>Company SAFE Concurrent Investment</w:t>
      </w:r>
      <w:r>
        <w:rPr>
          <w:rFonts w:ascii="Times New Roman" w:hAnsi="Times New Roman"/>
          <w:sz w:val="20"/>
        </w:rPr>
        <w:t>), pursuant to which such Company SAFEs shall automatically convert into shares of Company Common Stock at the same price per share at which the Concurrent Investment Company Shares are sold pursuant to the Subscription Agreement (which shall be the Public Offering/Conversion Price as defined in the Company SAFEs), in connection with the Closing (such shares of Company Common Stock upon issuance to such Company SAFE Concurrent Investors, the (</w:t>
      </w:r>
      <w:r>
        <w:rPr>
          <w:rFonts w:ascii="Times New Roman" w:hAnsi="Times New Roman"/>
          <w:b/>
          <w:sz w:val="20"/>
        </w:rPr>
        <w:t>Company SAFE Concurrent Investment Company Shares</w:t>
      </w:r>
      <w:r>
        <w:rPr>
          <w:rFonts w:ascii="Times New Roman" w:hAnsi="Times New Roman"/>
          <w:sz w:val="20"/>
        </w:rPr>
        <w:t>). In addition, concurrently with the execution and delivery of this Agreement, certain investors (the </w:t>
      </w:r>
      <w:r>
        <w:rPr>
          <w:rFonts w:ascii="Times New Roman" w:hAnsi="Times New Roman"/>
          <w:b/>
          <w:sz w:val="20"/>
        </w:rPr>
        <w:t>Subscription Agreement Concurrent Investors</w:t>
      </w:r>
      <w:r>
        <w:rPr>
          <w:rFonts w:ascii="Times New Roman" w:hAnsi="Times New Roman"/>
          <w:sz w:val="20"/>
        </w:rPr>
        <w:t> and, together with the Company SAFE Concurrent Investors, the </w:t>
      </w:r>
      <w:r>
        <w:rPr>
          <w:rFonts w:ascii="Times New Roman" w:hAnsi="Times New Roman"/>
          <w:b/>
          <w:sz w:val="20"/>
        </w:rPr>
        <w:t>Concurrent Investors</w:t>
      </w:r>
      <w:r>
        <w:rPr>
          <w:rFonts w:ascii="Times New Roman" w:hAnsi="Times New Roman"/>
          <w:sz w:val="20"/>
        </w:rPr>
        <w:t>) have entered into a Subscription Agreement (the </w:t>
      </w:r>
      <w:r>
        <w:rPr>
          <w:rFonts w:ascii="Times New Roman" w:hAnsi="Times New Roman"/>
          <w:b/>
          <w:sz w:val="20"/>
        </w:rPr>
        <w:t>Subscription Agreement</w:t>
      </w:r>
      <w:r>
        <w:rPr>
          <w:rFonts w:ascii="Times New Roman" w:hAnsi="Times New Roman"/>
          <w:sz w:val="20"/>
        </w:rPr>
        <w:t xml:space="preserve">) in the form attached hereto as </w:t>
      </w:r>
      <w:r>
        <w:rPr>
          <w:rFonts w:ascii="Times New Roman" w:hAnsi="Times New Roman"/>
          <w:sz w:val="20"/>
          <w:u w:val="single"/>
        </w:rPr>
        <w:t>Exhibit C</w:t>
      </w:r>
      <w:r>
        <w:rPr>
          <w:rFonts w:ascii="Times New Roman" w:hAnsi="Times New Roman"/>
          <w:sz w:val="20"/>
        </w:rPr>
        <w:t xml:space="preserve"> among the Company and the Persons named therein, pursuant to which such Persons have agreed to purchase in the amounts set forth therein shares of Company Common Stock at the Specified Time (collectively, the </w:t>
      </w:r>
      <w:r>
        <w:rPr>
          <w:rFonts w:ascii="Times New Roman" w:hAnsi="Times New Roman"/>
          <w:b/>
          <w:sz w:val="20"/>
        </w:rPr>
        <w:t>Subscription Agreement Concurrent Investment</w:t>
      </w:r>
      <w:r>
        <w:rPr>
          <w:rFonts w:ascii="Times New Roman" w:hAnsi="Times New Roman"/>
          <w:sz w:val="20"/>
        </w:rPr>
        <w:t>). The Company SAFEs and the Subscription Agreement are collectively referred to herein as the </w:t>
      </w:r>
      <w:r>
        <w:rPr>
          <w:rFonts w:ascii="Times New Roman" w:hAnsi="Times New Roman"/>
          <w:b/>
          <w:sz w:val="20"/>
        </w:rPr>
        <w:t>Concurrent Investment Agreements</w:t>
      </w:r>
      <w:r>
        <w:rPr>
          <w:rFonts w:ascii="Times New Roman" w:hAnsi="Times New Roman"/>
          <w:sz w:val="20"/>
        </w:rPr>
        <w:t>. The Company SAFE Concurrent Investment and the Subscription Agreement Concurrent Investment are collectively referred to herein as the </w:t>
      </w:r>
      <w:r>
        <w:rPr>
          <w:rFonts w:ascii="Times New Roman" w:hAnsi="Times New Roman"/>
          <w:b/>
          <w:sz w:val="20"/>
        </w:rPr>
        <w:t>Concurrent Investment</w:t>
      </w:r>
      <w:r>
        <w:rPr>
          <w:rFonts w:ascii="Times New Roman" w:hAnsi="Times New Roman"/>
          <w:sz w:val="20"/>
        </w:rPr>
        <w:t>. The shares of Company Common Stock so issued to Company SAFE Concurrent Investors upon the automatic conversion of their Company SAFEs and to Subscription Agreement Concurrent Investors in accordance with the Subscription Agreement are referred to collectively herein as the </w:t>
      </w:r>
      <w:r>
        <w:rPr>
          <w:rFonts w:ascii="Times New Roman" w:hAnsi="Times New Roman"/>
          <w:b/>
          <w:sz w:val="20"/>
        </w:rPr>
        <w:t>Concurrent Investment Company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240" w:after="0"/>
        <w:jc w:val="left"/>
        <w:rPr>
          <w:rFonts w:ascii="Times New Roman" w:hAnsi="Times New Roman"/>
          <w:sz w:val="20"/>
        </w:rPr>
      </w:pPr>
      <w:bookmarkStart w:id="208" w:name="annxa770053_1"/>
      <w:bookmarkEnd w:id="208"/>
      <w:r>
        <w:rPr>
          <w:rFonts w:ascii="Times New Roman" w:hAnsi="Times New Roman"/>
          <w:sz w:val="20"/>
        </w:rPr>
        <w:t xml:space="preserve">Section 1. </w:t>
      </w:r>
      <w:r>
        <w:rPr>
          <w:rFonts w:ascii="Times New Roman" w:hAnsi="Times New Roman"/>
          <w:sz w:val="20"/>
          <w:u w:val="single"/>
        </w:rPr>
        <w:t>Definitions and Interpretative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9" w:name="annxa770053_2"/>
      <w:bookmarkEnd w:id="209"/>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no-hire provisions. Notwithstanding the foregoing, a Person who has previously entered into a confidentiality agreement with Aspen relating to a potential Acquisition Proposal on terms that are not materially less restrictive than the Confidentiality Agreement, in the aggregate,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Aspen, on the other hand, to the other Party) that could reasonably be expected to lead to an Acquisition Proposal.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Proposal</w:t>
      </w:r>
      <w:r>
        <w:rPr>
          <w:rFonts w:ascii="Times New Roman" w:hAnsi="Times New Roman"/>
          <w:sz w:val="20"/>
        </w:rPr>
        <w:t xml:space="preserve"> means, with respect to a Party, any offer or proposal, whether written or oral, contemplating or otherwise relating to any Acquisition Transaction with such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means, with respect to a Party, any transaction or series of related transactions (other than the Contemplated Transactions and, with respect to Aspen, any Aspen Pre-Closing Transaction) involving: </w:t>
      </w:r>
    </w:p>
    <w:p>
      <w:pPr>
        <w:pStyle w:val="TextBody"/>
        <w:bidi w:val="0"/>
        <w:spacing w:before="24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such Party is a constituent Entity, (ii) in which a Person or group (as defined in the Exchange Act and the rules promulgated thereunder) of Persons directly or indirectly acquires beneficial or record ownership of securities representing 20% or more of the outstanding shares of Aspen Common Stock (in the case of Aspen) or Company Capital Stock (in the case of the Company) or (iii) in which such Party or any of its Subsidiaries issues securities representing 20% or more of the outstanding shares of Aspen Common Stock (in the case of Aspen) or Company Capital Stock (in the case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fair market value of the assets of such Party and its Subsidiaries, taken as a whole (as determined by such Partys board of directors or a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transactions, series of related transactions, agreement or discussion entered into or proposed to enter into by the Company for purposes of raising capital that is otherwise in accordance with the terms of this Agreement shall not be deemed an Acquisition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first Person. As used in this definition, the term control (including, with correlative meanings, the terms controlling, controlled by and under common control with) means possession, directly or indirectly, of the power to direct or cause the direction of the management and policies of a Person, whether through the ownership of voting securities,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Anti-Corruption Laws</w:t>
      </w:r>
      <w:r>
        <w:rPr>
          <w:rFonts w:ascii="Times New Roman" w:hAnsi="Times New Roman"/>
          <w:sz w:val="20"/>
        </w:rPr>
        <w:t xml:space="preserve"> means (i) the Foreign Corrupt Practices Act of 1977, as amended, the Anti-Kickback Act of 1986 and all other applicable Laws of similar effect, and the related rules, regulations and published interpretations thereunder, (ii) all applicable anti-money laundering laws, and the related rules, regulations and published interpretations thereunder, and (iii) all applicable anti-terrorism financing laws, and the related rules, regulations and published interpretations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Anticipated Closing Date</w:t>
      </w:r>
      <w:r>
        <w:rPr>
          <w:rFonts w:ascii="Times New Roman" w:hAnsi="Times New Roman"/>
          <w:sz w:val="20"/>
        </w:rPr>
        <w:t xml:space="preserve"> means the anticipated Closing Date, as agreed upon in good faith by Aspen and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Associate</w:t>
      </w:r>
      <w:r>
        <w:rPr>
          <w:rFonts w:ascii="Times New Roman" w:hAnsi="Times New Roman"/>
          <w:sz w:val="20"/>
        </w:rPr>
        <w:t xml:space="preserve"> means any current or former employee, independent contractor, officer or director of Aspen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Balance Sheet</w:t>
      </w:r>
      <w:r>
        <w:rPr>
          <w:rFonts w:ascii="Times New Roman" w:hAnsi="Times New Roman"/>
          <w:sz w:val="20"/>
        </w:rPr>
        <w:t xml:space="preserve"> means the audited balance sheet of Aspen as of December 31, 2022, included in Aspens Annual Report on Form 10-K for the year ended December 31, 2022, as filed with the SEC.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Board</w:t>
      </w:r>
      <w:r>
        <w:rPr>
          <w:rFonts w:ascii="Times New Roman" w:hAnsi="Times New Roman"/>
          <w:sz w:val="20"/>
        </w:rPr>
        <w:t xml:space="preserve"> means the board of directors of Aspen.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Capitalization Representations</w:t>
      </w:r>
      <w:r>
        <w:rPr>
          <w:rFonts w:ascii="Times New Roman" w:hAnsi="Times New Roman"/>
          <w:sz w:val="20"/>
        </w:rPr>
        <w:t xml:space="preserve"> means the representations and warranties of Aspen and Merger Sub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Charter</w:t>
      </w:r>
      <w:r>
        <w:rPr>
          <w:rFonts w:ascii="Times New Roman" w:hAnsi="Times New Roman"/>
          <w:sz w:val="20"/>
        </w:rPr>
        <w:t xml:space="preserve"> means the Fourth Amended and Restated Certificate of Incorporation of Aspen effective as of June 25, 2018.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Closing Price</w:t>
      </w:r>
      <w:r>
        <w:rPr>
          <w:rFonts w:ascii="Times New Roman" w:hAnsi="Times New Roman"/>
          <w:sz w:val="20"/>
        </w:rPr>
        <w:t xml:space="preserve"> means the volume weighted average closing trading price of a share of Aspen Common Stock on Nasdaq for the five (5) consecutive trading days ending three (3) trading days immediately prior to the date of the public announcement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Common Stock</w:t>
      </w:r>
      <w:r>
        <w:rPr>
          <w:rFonts w:ascii="Times New Roman" w:hAnsi="Times New Roman"/>
          <w:sz w:val="20"/>
        </w:rPr>
        <w:t xml:space="preserve"> means the common stock, $0.0001 par value per share, of Aspen.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Contract</w:t>
      </w:r>
      <w:r>
        <w:rPr>
          <w:rFonts w:ascii="Times New Roman" w:hAnsi="Times New Roman"/>
          <w:sz w:val="20"/>
        </w:rPr>
        <w:t xml:space="preserve"> means any Contract: (a) to which Aspen is a party, (b) by which Aspen or any Aspen Intellectual Property or any other asset of Aspen is bound or under which Aspen has any obligation or (c) under which Aspen has or may acquire any right or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Employee Plan</w:t>
      </w:r>
      <w:r>
        <w:rPr>
          <w:rFonts w:ascii="Times New Roman" w:hAnsi="Times New Roman"/>
          <w:sz w:val="20"/>
        </w:rPr>
        <w:t xml:space="preserve"> means any Employee Plan that Aspen or any of its Subsidiaries (i) sponsors, maintains, administers, or contributes to, or (ii) 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Aspen or any of its Subsidiaries (or their spouses, dependents, or beneficiaries).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Fundamental Representations</w:t>
      </w:r>
      <w:r>
        <w:rPr>
          <w:rFonts w:ascii="Times New Roman" w:hAnsi="Times New Roman"/>
          <w:sz w:val="20"/>
        </w:rPr>
        <w:t xml:space="preserve"> means the representations and warranties of Aspen and Merger Sub set forth in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4.1(b)</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Intellectual Property</w:t>
      </w:r>
      <w:r>
        <w:rPr>
          <w:rFonts w:ascii="Times New Roman" w:hAnsi="Times New Roman"/>
          <w:sz w:val="20"/>
        </w:rPr>
        <w:t> means (i) any and all Intellectual Property owned or purported to be owned, solely or jointly, by Aspen (</w:t>
      </w:r>
      <w:r>
        <w:rPr>
          <w:rFonts w:ascii="Times New Roman" w:hAnsi="Times New Roman"/>
          <w:b/>
          <w:sz w:val="20"/>
        </w:rPr>
        <w:t>Aspen Owned Intellectual Property</w:t>
      </w:r>
      <w:r>
        <w:rPr>
          <w:rFonts w:ascii="Times New Roman" w:hAnsi="Times New Roman"/>
          <w:sz w:val="20"/>
        </w:rPr>
        <w:t>), and (ii) any and all Intellectual Property owned by any other Person and licensed or purported to be licensed to Aspen or to which Aspen has or purports to have any other right (</w:t>
      </w:r>
      <w:r>
        <w:rPr>
          <w:rFonts w:ascii="Times New Roman" w:hAnsi="Times New Roman"/>
          <w:b/>
          <w:sz w:val="20"/>
        </w:rPr>
        <w:t>Aspen Licensed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Key Employee</w:t>
      </w:r>
      <w:r>
        <w:rPr>
          <w:rFonts w:ascii="Times New Roman" w:hAnsi="Times New Roman"/>
          <w:sz w:val="20"/>
        </w:rPr>
        <w:t xml:space="preserve"> means (i) an executive officer of Aspen; and (ii) any employee of Aspen that reports directly to the Aspen Board or to an executive officer of Aspen.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Pre-Closing Assets</w:t>
      </w:r>
      <w:r>
        <w:rPr>
          <w:rFonts w:ascii="Times New Roman" w:hAnsi="Times New Roman"/>
          <w:sz w:val="20"/>
        </w:rPr>
        <w:t xml:space="preserve"> means those assets of Aspen, to the extent existing as of immediately prior to the Closing, relating to (a) Aspens plato manufacturing platform, (b) Aspens AVR-RD-01 (Fabry), AVR-RD-02 (Gaucher), and/or AVR-RD-03 (Pompe) research and development programs, and (c) Aspens Intellectual Property set forth in Section 4.12(a) of the Aspen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Aspen Material Adverse Effect</w:t>
      </w:r>
      <w:r>
        <w:rPr>
          <w:rFonts w:ascii="Times New Roman" w:hAnsi="Times New Roman"/>
          <w:sz w:val="20"/>
        </w:rPr>
        <w:t xml:space="preserve"> means any Effect that, considered together with all other Effects that have occurred prior to the date of determination of the occurrence of the Aspen Material Adverse Effect, has or would reasonably be expected to have a material adverse effect on the business, financial condition, assets, liabilities or results of operations of Aspen or any of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an Aspen Material Adverse Effect: (a) the announcement of this Agreement or the pendency of the Contemplated Transactions, (b) any change in the stock price or trading volume of Aspen Common Stock (it being understood, however, that any Effect causing or contributing to any change in stock price or trading volume of Aspen Common Stock may be taken into account in determining whether an Aspen Material Adverse Effect has occurred, unless such Effects are otherwise excepted from this definition), (c) the taking of any action, or the failure to take any action, by Aspen that is required to comply with the terms of this Agreement, (d)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Aspen or any of its Subsidiaries operates (other than to the extent contemplated by the succeeding clause (g)), (g) any government shutdown or slowdown, (h) the sale or winding down of the Aspens business or operations as they exist prior to the Closing, and the sale, license or other disposition of the Aspen Pre-Closing Assets in compliance with the terms of this Agreement and applicable Law, or (i) any change in the cash position of Aspen and its Subsidiaries which results from operations in the Ordinary Course of Business; except, in each case with respect to clauses (d), (e) and (f), to the extent materially and disproportionately affecting Aspen and any its Subsidiaries, taken as a whole, relative to other similarly situated companies in the industries in which Aspen or any of its Subsidiaries operates.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Net Cash</w:t>
      </w:r>
      <w:r>
        <w:rPr>
          <w:rFonts w:ascii="Times New Roman" w:hAnsi="Times New Roman"/>
          <w:sz w:val="20"/>
        </w:rPr>
        <w:t xml:space="preserve"> means, without duplication, (i) Aspens cash and cash equivalents and marketable securities as of immediately prior to the Closing and determined in accordance with GAAP, in a manner consistent with the manner in which such items were historically determined and in accordance with Aspens financial statements, </w:t>
      </w:r>
      <w:r>
        <w:rPr>
          <w:rFonts w:ascii="Times New Roman" w:hAnsi="Times New Roman"/>
          <w:i/>
          <w:sz w:val="20"/>
          <w:u w:val="single"/>
        </w:rPr>
        <w:t>plus</w:t>
      </w:r>
      <w:r>
        <w:rPr>
          <w:rFonts w:ascii="Times New Roman" w:hAnsi="Times New Roman"/>
          <w:sz w:val="20"/>
        </w:rPr>
        <w:t xml:space="preserve"> (ii) all prepaid expenses or deposits of Aspen and its Subsidiaries set forth on </w:t>
      </w:r>
      <w:r>
        <w:rPr>
          <w:rFonts w:ascii="Times New Roman" w:hAnsi="Times New Roman"/>
          <w:sz w:val="20"/>
          <w:u w:val="single"/>
        </w:rPr>
        <w:t>Section 1.1(b)(i)</w:t>
      </w:r>
      <w:r>
        <w:rPr>
          <w:rFonts w:ascii="Times New Roman" w:hAnsi="Times New Roman"/>
          <w:sz w:val="20"/>
        </w:rPr>
        <w:t xml:space="preserve"> of the Aspen Disclosure Schedule, </w:t>
      </w:r>
      <w:r>
        <w:rPr>
          <w:rFonts w:ascii="Times New Roman" w:hAnsi="Times New Roman"/>
          <w:i/>
          <w:sz w:val="20"/>
          <w:u w:val="single"/>
        </w:rPr>
        <w:t>minus</w:t>
      </w:r>
      <w:r>
        <w:rPr>
          <w:rFonts w:ascii="Times New Roman" w:hAnsi="Times New Roman"/>
          <w:sz w:val="20"/>
        </w:rPr>
        <w:t xml:space="preserve"> (iii) the sum of all cash payments actually required to be made by Aspen under its contractual obligations as set forth on </w:t>
      </w:r>
      <w:r>
        <w:rPr>
          <w:rFonts w:ascii="Times New Roman" w:hAnsi="Times New Roman"/>
          <w:sz w:val="20"/>
          <w:u w:val="single"/>
        </w:rPr>
        <w:t>Section 1.1(b)(ii)</w:t>
      </w:r>
      <w:r>
        <w:rPr>
          <w:rFonts w:ascii="Times New Roman" w:hAnsi="Times New Roman"/>
          <w:sz w:val="20"/>
        </w:rPr>
        <w:t xml:space="preserve"> of the Aspen Disclosure Schedule to the extent unpaid as of immediately prior to the Closing, </w:t>
      </w:r>
      <w:r>
        <w:rPr>
          <w:rFonts w:ascii="Times New Roman" w:hAnsi="Times New Roman"/>
          <w:i/>
          <w:sz w:val="20"/>
          <w:u w:val="single"/>
        </w:rPr>
        <w:t>minus</w:t>
      </w:r>
      <w:r>
        <w:rPr>
          <w:rFonts w:ascii="Times New Roman" w:hAnsi="Times New Roman"/>
          <w:sz w:val="20"/>
        </w:rPr>
        <w:t xml:space="preserve"> (iv) all unpaid liabilities accrued at the Closing Date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Aspens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Aspens property, liabilities for Taxes relating to the disposition of the Aspen Pre-Closing Assets, and any guarantees relating to each of the foregoing), </w:t>
      </w:r>
      <w:r>
        <w:rPr>
          <w:rFonts w:ascii="Times New Roman" w:hAnsi="Times New Roman"/>
          <w:i/>
          <w:sz w:val="20"/>
          <w:u w:val="single"/>
        </w:rPr>
        <w:t>minus</w:t>
      </w:r>
      <w:r>
        <w:rPr>
          <w:rFonts w:ascii="Times New Roman" w:hAnsi="Times New Roman"/>
          <w:sz w:val="20"/>
        </w:rPr>
        <w:t xml:space="preserve"> (v) the Transaction Expenses of Aspen to the extent unpaid as of the Closing; </w:t>
      </w:r>
      <w:r>
        <w:rPr>
          <w:rFonts w:ascii="Times New Roman" w:hAnsi="Times New Roman"/>
          <w:i/>
          <w:sz w:val="20"/>
          <w:u w:val="single"/>
        </w:rPr>
        <w:t>minus</w:t>
      </w:r>
      <w:r>
        <w:rPr>
          <w:rFonts w:ascii="Times New Roman" w:hAnsi="Times New Roman"/>
          <w:sz w:val="20"/>
        </w:rPr>
        <w:t xml:space="preserve"> (vi) the unpaid cash cost of any change in control payments, severance payments, bonus payments or retention payments payable to employees of Aspen (whether single or double trigger) (including, without limitation, (a) a reasonable estimate of payment or reimbursement by Aspen for continued coverage under any employee benefit plan in existence immediately prior to the Closing (excluding any such plan contemplated by the Equity Plan Proposals) and (b) including the employer portion of any employment, payroll or similar Taxes with respect to all such compensation), </w:t>
      </w:r>
      <w:r>
        <w:rPr>
          <w:rFonts w:ascii="Times New Roman" w:hAnsi="Times New Roman"/>
          <w:i/>
          <w:sz w:val="20"/>
          <w:u w:val="single"/>
        </w:rPr>
        <w:t>minus</w:t>
      </w:r>
      <w:r>
        <w:rPr>
          <w:rFonts w:ascii="Times New Roman" w:hAnsi="Times New Roman"/>
          <w:sz w:val="20"/>
        </w:rPr>
        <w:t> (vii) all Liabilities with respect to Aspens or any of its Subsidiaries payment obligations pursuant to real estate leases, </w:t>
      </w:r>
      <w:r>
        <w:rPr>
          <w:rFonts w:ascii="Times New Roman" w:hAnsi="Times New Roman"/>
          <w:i/>
          <w:sz w:val="20"/>
          <w:u w:val="single"/>
        </w:rPr>
        <w:t>minus</w:t>
      </w:r>
      <w:r>
        <w:rPr>
          <w:rFonts w:ascii="Times New Roman" w:hAnsi="Times New Roman"/>
          <w:sz w:val="20"/>
        </w:rPr>
        <w:t xml:space="preserve"> (viii) any unpaid premium of (x) the D&amp;O tail policy pursuant to </w:t>
      </w:r>
      <w:r>
        <w:rPr>
          <w:rFonts w:ascii="Times New Roman" w:hAnsi="Times New Roman"/>
          <w:sz w:val="20"/>
          <w:u w:val="single"/>
        </w:rPr>
        <w:t>Section 6.8(d)</w:t>
      </w:r>
      <w:r>
        <w:rPr>
          <w:rFonts w:ascii="Times New Roman" w:hAnsi="Times New Roman"/>
          <w:sz w:val="20"/>
        </w:rPr>
        <w:t xml:space="preserve"> and (y) the clinical trial liability insurance tail policy, </w:t>
      </w:r>
      <w:r>
        <w:rPr>
          <w:rFonts w:ascii="Times New Roman" w:hAnsi="Times New Roman"/>
          <w:i/>
          <w:sz w:val="20"/>
          <w:u w:val="single"/>
        </w:rPr>
        <w:t>minus</w:t>
      </w:r>
      <w:r>
        <w:rPr>
          <w:rFonts w:ascii="Times New Roman" w:hAnsi="Times New Roman"/>
          <w:sz w:val="20"/>
        </w:rPr>
        <w:t> (ix) any unpaid Taxes of Aspen and its Subsidiaries for Tax periods (or portions thereof) ending on or before the Closing and which are accrued in accordance with GAAP as of immediately prior to Closing (unless otherwise required by Law), </w:t>
      </w:r>
      <w:r>
        <w:rPr>
          <w:rFonts w:ascii="Times New Roman" w:hAnsi="Times New Roman"/>
          <w:i/>
          <w:sz w:val="20"/>
          <w:u w:val="single"/>
        </w:rPr>
        <w:t>minus</w:t>
      </w:r>
      <w:r>
        <w:rPr>
          <w:rFonts w:ascii="Times New Roman" w:hAnsi="Times New Roman"/>
          <w:sz w:val="20"/>
        </w:rPr>
        <w:t xml:space="preserve"> (x) all unpaid costs and expenses (including a reasonable estimate of any Taxes) relating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winding down of any portion of Aspens pre-Closing business, which is either not to be held for sale after the Closing Date or subject to the terms of the CVR Agreement, </w:t>
      </w:r>
      <w:r>
        <w:rPr>
          <w:rFonts w:ascii="Times New Roman" w:hAnsi="Times New Roman"/>
          <w:i/>
          <w:sz w:val="20"/>
          <w:u w:val="single"/>
        </w:rPr>
        <w:t>minus</w:t>
      </w:r>
      <w:r>
        <w:rPr>
          <w:rFonts w:ascii="Times New Roman" w:hAnsi="Times New Roman"/>
          <w:sz w:val="20"/>
        </w:rPr>
        <w:t xml:space="preserve"> (xi) 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r>
        <w:rPr>
          <w:rFonts w:ascii="Times New Roman" w:hAnsi="Times New Roman"/>
          <w:i/>
          <w:sz w:val="20"/>
          <w:u w:val="single"/>
        </w:rPr>
        <w:t>minus</w:t>
      </w:r>
      <w:r>
        <w:rPr>
          <w:rFonts w:ascii="Times New Roman" w:hAnsi="Times New Roman"/>
          <w:sz w:val="20"/>
        </w:rPr>
        <w:t xml:space="preserve"> (xii) all withholding Taxes payable in connection with the distribution of any contingent value rights to any former Aspen shareholder, </w:t>
      </w:r>
      <w:r>
        <w:rPr>
          <w:rFonts w:ascii="Times New Roman" w:hAnsi="Times New Roman"/>
          <w:i/>
          <w:sz w:val="20"/>
          <w:u w:val="single"/>
        </w:rPr>
        <w:t>minus</w:t>
      </w:r>
      <w:r>
        <w:rPr>
          <w:rFonts w:ascii="Times New Roman" w:hAnsi="Times New Roman"/>
          <w:sz w:val="20"/>
        </w:rPr>
        <w:t xml:space="preserve"> (xiii) all amounts paid prior to, or actually incurred as of, the Closing not otherwise already reducing cash and cash equivalents, by Aspen as a result of any Aspen Transaction Litigation, </w:t>
      </w:r>
      <w:r>
        <w:rPr>
          <w:rFonts w:ascii="Times New Roman" w:hAnsi="Times New Roman"/>
          <w:i/>
          <w:sz w:val="20"/>
          <w:u w:val="single"/>
        </w:rPr>
        <w:t>plus</w:t>
      </w:r>
      <w:r>
        <w:rPr>
          <w:rFonts w:ascii="Times New Roman" w:hAnsi="Times New Roman"/>
          <w:sz w:val="20"/>
        </w:rPr>
        <w:t xml:space="preserve"> (xiv) any amount of Company Portion paid by Aspen or its Subsidiaries prior to the Closing, </w:t>
      </w:r>
      <w:r>
        <w:rPr>
          <w:rFonts w:ascii="Times New Roman" w:hAnsi="Times New Roman"/>
          <w:i/>
          <w:sz w:val="20"/>
        </w:rPr>
        <w:t>minus</w:t>
      </w:r>
      <w:r>
        <w:rPr>
          <w:rFonts w:ascii="Times New Roman" w:hAnsi="Times New Roman"/>
          <w:sz w:val="20"/>
        </w:rPr>
        <w:t xml:space="preserve"> (xv) 80% of the IP Expense Fund (as defined in the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Options</w:t>
      </w:r>
      <w:r>
        <w:rPr>
          <w:rFonts w:ascii="Times New Roman" w:hAnsi="Times New Roman"/>
          <w:sz w:val="20"/>
        </w:rPr>
        <w:t xml:space="preserve"> means options to purchase shares of Aspen Common Stock granted by Aspen whether or not granted pursuant to any Aspen Stock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Outbound License</w:t>
      </w:r>
      <w:r>
        <w:rPr>
          <w:rFonts w:ascii="Times New Roman" w:hAnsi="Times New Roman"/>
          <w:sz w:val="20"/>
        </w:rPr>
        <w:t xml:space="preserve"> means any Aspen Contract pursuant to which Aspen grants any license or any other right or immunity (including any sublicense, option, right of first refusal or other preferential right or covenant not to sue) under any Aspen Intellectual Property that is material to the business of Aspen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Aspen or (ii) incidental to any assays or other materials obtained from third parties under material transfer agreements or other similar contracts, in each case, consistent with industry standard, and (b) agreements between any of Aspen or any Subsidiary thereof and another Subsidiary of Aspen.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Product</w:t>
      </w:r>
      <w:r>
        <w:rPr>
          <w:rFonts w:ascii="Times New Roman" w:hAnsi="Times New Roman"/>
          <w:sz w:val="20"/>
        </w:rPr>
        <w:t xml:space="preserve"> means any pharmaceutical, biological or medicinal therapy, compound, drug, product candidate or product that is being developed, researched, manufactured, tested, licensed, offered, marketed, sold, or distributed by or on behalf of Aspen, including any discovery or clinical programs or platforms and the therapies and compounds made and tested in such programs, including through collaboration with others, or through compassionate use/named patient activities.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Restricted Stock Units</w:t>
      </w:r>
      <w:r>
        <w:rPr>
          <w:rFonts w:ascii="Times New Roman" w:hAnsi="Times New Roman"/>
          <w:sz w:val="20"/>
        </w:rPr>
        <w:t xml:space="preserve"> means any equity award of restricted stock units with respect to Aspen Common Stock that represents the right to receive in the future shares of Aspen Common Stock granted by Aspen whether or not granted pursuant to any Aspen Stock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Aspen Triggering Event</w:t>
      </w:r>
      <w:r>
        <w:rPr>
          <w:rFonts w:ascii="Times New Roman" w:hAnsi="Times New Roman"/>
          <w:sz w:val="20"/>
        </w:rPr>
        <w:t xml:space="preserve"> shall be deemed to have occurred if: (a) Aspen shall have failed to include in the Proxy Statement the Aspen Board Recommendation, (b)(i) the Aspen Board or any committee thereof shall have made an Aspen Board Adverse Recommendation Change or (ii) the Aspen Board or any committee thereof shall have approved, endorsed or recommended any Acquisition Proposal with respect to an acquisition of Aspen (other than by the Company or an Affiliate thereof and other than actions made in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(except for an Aspen Board Adverse Recommendation Change)), (c) Aspen shall have entered into any letter of intent or similar document or any similar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or (d) upon willful and material breach of Aspens obligations set forth in the first sentence of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w:t>
      </w:r>
      <w:r>
        <w:rPr>
          <w:rFonts w:ascii="Times New Roman" w:hAnsi="Times New Roman"/>
          <w:sz w:val="20"/>
        </w:rPr>
        <w:t xml:space="preserve"> </w:t>
      </w:r>
      <w:r>
        <w:rPr>
          <w:rFonts w:ascii="Times New Roman" w:hAnsi="Times New Roman"/>
          <w:b/>
          <w:sz w:val="20"/>
        </w:rPr>
        <w:t>Day</w:t>
      </w:r>
      <w:r>
        <w:rPr>
          <w:rFonts w:ascii="Times New Roman" w:hAnsi="Times New Roman"/>
          <w:sz w:val="20"/>
        </w:rPr>
        <w:t xml:space="preserve"> means any day other than a day on which banks in the State of New York are authorized or obligated to be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Collaboration Partner</w:t>
      </w:r>
      <w:r>
        <w:rPr>
          <w:rFonts w:ascii="Times New Roman" w:hAnsi="Times New Roman"/>
          <w:sz w:val="20"/>
        </w:rPr>
        <w:t xml:space="preserve"> means any research, development, collaboration or similar commercialization partner of the Company or its Subsidiaries with respect to the Company Products or of Aspen or its Subsidiaries with respect to the Aspen Products,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Authorized Share Increase</w:t>
      </w:r>
      <w:r>
        <w:rPr>
          <w:rFonts w:ascii="Times New Roman" w:hAnsi="Times New Roman"/>
          <w:sz w:val="20"/>
        </w:rPr>
        <w:t xml:space="preserve"> means an increase in the number of authorized shares of Company Common Stock from 11,947,558 shares of Company Common Stock to 30,000,000 shares of Company Common Stock or such other number of shares of Company Common Stock as may be mutually agreed in writing by the Company and Aspen.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Contract</w:t>
      </w:r>
      <w:r>
        <w:rPr>
          <w:rFonts w:ascii="Times New Roman" w:hAnsi="Times New Roman"/>
          <w:sz w:val="20"/>
        </w:rPr>
        <w:t xml:space="preserve"> means any Contract: (a) to which the Company or any of its Subsidiaries is a Party, (b) by which the Company or any of its Subsidiaries is bound or under which the Company or any of its Subsidiaries has any obligation or (c) under which the Company or any of its Subsidiaries has any right or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Convertible Notes</w:t>
      </w:r>
      <w:r>
        <w:rPr>
          <w:rFonts w:ascii="Times New Roman" w:hAnsi="Times New Roman"/>
          <w:sz w:val="20"/>
        </w:rPr>
        <w:t xml:space="preserve"> means the convertible promissory notes in respect of shares of Company Capital Stock issued by the Company, as amended or supplemented (for the avoidance of doubt, (i) other than Company Options and (ii) including the Company SAFEs).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Employee Plan</w:t>
      </w:r>
      <w:r>
        <w:rPr>
          <w:rFonts w:ascii="Times New Roman" w:hAnsi="Times New Roman"/>
          <w:sz w:val="20"/>
        </w:rPr>
        <w:t xml:space="preserve"> means any Employee Plan that the Company or any of its Subsidiaries (i) sponsors, maintains, administers, or contributes to, or (ii) 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the Company or any of its Subsidiaries (or their spouses, dependents, or beneficiaries).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Equity Incentive Plan</w:t>
      </w:r>
      <w:r>
        <w:rPr>
          <w:rFonts w:ascii="Times New Roman" w:hAnsi="Times New Roman"/>
          <w:sz w:val="20"/>
        </w:rPr>
        <w:t xml:space="preserve"> means the Companys 2019 Equity Incentive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Exclusively Licensed Intellectual Property</w:t>
      </w:r>
      <w:r>
        <w:rPr>
          <w:rFonts w:ascii="Times New Roman" w:hAnsi="Times New Roman"/>
          <w:sz w:val="20"/>
        </w:rPr>
        <w:t xml:space="preserve"> means any and all Company Licensed Intellectual Property that is, or is purported to be, exclusively licensed to the Company, or to which the Company has or purports to have any other exclusive right, but excluding agreements between any of the Company or any Subsidiary thereof and another Subsidiary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3.1(a)</w:t>
      </w:r>
      <w:r>
        <w:rPr>
          <w:rFonts w:ascii="Times New Roman" w:hAnsi="Times New Roman"/>
          <w:sz w:val="20"/>
        </w:rPr>
        <w:t xml:space="preserve">, </w:t>
      </w:r>
      <w:r>
        <w:rPr>
          <w:rFonts w:ascii="Times New Roman" w:hAnsi="Times New Roman"/>
          <w:sz w:val="20"/>
          <w:u w:val="single"/>
        </w:rPr>
        <w:t>3.1(b)</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Inbound License</w:t>
      </w:r>
      <w:r>
        <w:rPr>
          <w:rFonts w:ascii="Times New Roman" w:hAnsi="Times New Roman"/>
          <w:sz w:val="20"/>
        </w:rPr>
        <w:t xml:space="preserve"> means any Company Contract pursuant to which the Company is granted any license or obtains any other right or immunity (including any sublicense, option, right of first refusal or other preferential right or covenant not to be sued) under (a) any Intellectual Property of any other Person that is material to the business of the Company taken as a whole (or to the further research, development and commercialization of Company Products as currently planned by Company), in each case,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agreements between the Company and its employees or consultants, with this exception limited to the extent of the assignment of Intellectual Property created by such individuals to the Company thereunder and (ii) agreements for any Third Party non-customized commercially available object code software licensed to the Company on generally available, standard commercial pricing and other terms for less than $250,000; or (b) any Company Exclusively Licensed Intellectual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Intellectual Property</w:t>
      </w:r>
      <w:r>
        <w:rPr>
          <w:rFonts w:ascii="Times New Roman" w:hAnsi="Times New Roman"/>
          <w:sz w:val="20"/>
        </w:rPr>
        <w:t> means (i) any and all Intellectual Property owned or purported to be owned, solely or jointly, by any the Company (</w:t>
      </w:r>
      <w:r>
        <w:rPr>
          <w:rFonts w:ascii="Times New Roman" w:hAnsi="Times New Roman"/>
          <w:b/>
          <w:sz w:val="20"/>
        </w:rPr>
        <w:t>Company Owned Intellectual Property</w:t>
      </w:r>
      <w:r>
        <w:rPr>
          <w:rFonts w:ascii="Times New Roman" w:hAnsi="Times New Roman"/>
          <w:sz w:val="20"/>
        </w:rPr>
        <w:t>), and (ii) any and all Intellectual Property owned by any other Person and licensed or purported to be licensed to the Company or to which the Company has or purports to have any other right (</w:t>
      </w:r>
      <w:r>
        <w:rPr>
          <w:rFonts w:ascii="Times New Roman" w:hAnsi="Times New Roman"/>
          <w:b/>
          <w:sz w:val="20"/>
        </w:rPr>
        <w:t>Company Licensed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Key Employee</w:t>
      </w:r>
      <w:r>
        <w:rPr>
          <w:rFonts w:ascii="Times New Roman" w:hAnsi="Times New Roman"/>
          <w:sz w:val="20"/>
        </w:rPr>
        <w:t xml:space="preserve"> means (i) any executive officer of the Company or any of its Subsidiaries; and (ii) any employee of the Company or any of its Subsidiaries that reports directly to the Company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 Company Material Adverse Effect: (a) the announcement of this Agreement or the pendency of the Contemplated Transactions, (b) the taking of any action, or the failure to take any action, by the Company that is required to comply with the terms of this Agreement, (c)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 or applicable Law or the interpretation thereof, (e) any change in the cash position of the Company and its Subsidiaries which results from operations in the Ordinary Course of Business, or (f) general economic or political conditions or conditions generally affecting the industries in which the Company and its Subsidiaries operate; except in each case with respect to clauses (c), (d) and (f), to the extent disproportionately affecting the Company and its Subsidiaries, taken as a whole, relative to other similarly situated companies in the industries in which the Company and its Subsidiaries operate.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Merger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the product determined by </w:t>
      </w:r>
      <w:r>
        <w:rPr>
          <w:rFonts w:ascii="Times New Roman" w:hAnsi="Times New Roman"/>
          <w:i/>
          <w:sz w:val="20"/>
          <w:u w:val="single"/>
        </w:rPr>
        <w:t>multiplying</w:t>
      </w:r>
      <w:r>
        <w:rPr>
          <w:rFonts w:ascii="Times New Roman" w:hAnsi="Times New Roman"/>
          <w:sz w:val="20"/>
        </w:rPr>
        <w:t xml:space="preserve"> (i) the Post-Closing Aspen Shares </w:t>
      </w:r>
      <w:r>
        <w:rPr>
          <w:rFonts w:ascii="Times New Roman" w:hAnsi="Times New Roman"/>
          <w:i/>
          <w:sz w:val="20"/>
          <w:u w:val="single"/>
        </w:rPr>
        <w:t>by</w:t>
      </w:r>
      <w:r>
        <w:rPr>
          <w:rFonts w:ascii="Times New Roman" w:hAnsi="Times New Roman"/>
          <w:sz w:val="20"/>
        </w:rPr>
        <w:t xml:space="preserve"> (ii) the Company Allocation Percentage,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Aspen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Aspen Allocation Percentage</w:t>
            </w:r>
            <w:r>
              <w:rPr>
                <w:rFonts w:ascii="Times New Roman" w:hAnsi="Times New Roman"/>
                <w:sz w:val="20"/>
              </w:rPr>
              <w:t xml:space="preserve"> means the quotient (expressed as a percentage and rounded to eight decimal places) determined by </w:t>
            </w:r>
            <w:r>
              <w:rPr>
                <w:rFonts w:ascii="Times New Roman" w:hAnsi="Times New Roman"/>
                <w:i/>
                <w:sz w:val="20"/>
                <w:u w:val="single"/>
              </w:rPr>
              <w:t>dividing</w:t>
            </w:r>
            <w:r>
              <w:rPr>
                <w:rFonts w:ascii="Times New Roman" w:hAnsi="Times New Roman"/>
                <w:sz w:val="20"/>
              </w:rPr>
              <w:t xml:space="preserve"> (i) the Aspen Valuation </w:t>
            </w:r>
            <w:r>
              <w:rPr>
                <w:rFonts w:ascii="Times New Roman" w:hAnsi="Times New Roman"/>
                <w:i/>
                <w:sz w:val="20"/>
                <w:u w:val="single"/>
              </w:rPr>
              <w:t>by</w:t>
            </w:r>
            <w:r>
              <w:rPr>
                <w:rFonts w:ascii="Times New Roman" w:hAnsi="Times New Roman"/>
                <w:sz w:val="20"/>
              </w:rPr>
              <w:t xml:space="preserve"> (ii) the Aggregate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Aspen Equity Value</w:t>
            </w:r>
            <w:r>
              <w:rPr>
                <w:rFonts w:ascii="Times New Roman" w:hAnsi="Times New Roman"/>
                <w:sz w:val="20"/>
              </w:rPr>
              <w:t xml:space="preserve"> means $77,500,000.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2"/>
        <w:gridCol w:w="102"/>
        <w:gridCol w:w="8882"/>
      </w:tblGrid>
      <w:tr>
        <w:trPr/>
        <w:tc>
          <w:tcPr>
            <w:tcW w:w="101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Aspen Outstanding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(including, without limitation, the effects of the Nasdaq Reverse Split), the total number of shares of Aspen Common Stock outstanding immediately prior to the Effective Time, expressed on a fully-diluted and as-converted-to-Aspen Common Stock basis, and assuming, without limitation or duplication, (i) the issuance of shares of Aspen Common Stock in respect of all Aspen Options, warrants or other rights to receive shares, whether conditional or unconditional, that will be outstanding as of immediately prior to the Effective Time, calculated on a treasury stock method basis, (ii) the settlement in shares of Aspen Common Stock of Aspen Restricted Stock Units outstanding as of immediately prior to the Effective Time on a net settlement basis as provided in </w:t>
            </w:r>
            <w:r>
              <w:rPr>
                <w:rFonts w:ascii="Times New Roman" w:hAnsi="Times New Roman"/>
                <w:sz w:val="20"/>
                <w:u w:val="single"/>
              </w:rPr>
              <w:t>Section 6.7</w:t>
            </w:r>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(iii) the exclusion of shares of Aspen Common Stock held immediately prior to the Effective Time by Aspen as treasury stock or in connection with any unallocated equity pool or by the Company, any of its Subsidiaries or any Subsidiary of Aspen. Notwithstanding any of the foregoing, no Out of the Money Aspen Options or performance based Aspen Restricted Stock Units for which the performance condition has not been met as of the Effective Time and no shares reserved for issuance under the Equity Plan Proposals shall be included in the total number of shares of Aspen Common Stock outstanding for purposes of determining the Aspen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Aspen Valuation</w:t>
            </w:r>
            <w:r>
              <w:rPr>
                <w:rFonts w:ascii="Times New Roman" w:hAnsi="Times New Roman"/>
                <w:sz w:val="20"/>
              </w:rPr>
              <w:t xml:space="preserve"> means (i) the Aspen Equity Value </w:t>
            </w:r>
            <w:r>
              <w:rPr>
                <w:rFonts w:ascii="Times New Roman" w:hAnsi="Times New Roman"/>
                <w:i/>
                <w:sz w:val="20"/>
                <w:u w:val="single"/>
              </w:rPr>
              <w:t>minus</w:t>
            </w:r>
            <w:r>
              <w:rPr>
                <w:rFonts w:ascii="Times New Roman" w:hAnsi="Times New Roman"/>
                <w:sz w:val="20"/>
              </w:rPr>
              <w:t xml:space="preserve"> (ii) the Lower Aspen Net Cash Amount (if any) </w:t>
            </w:r>
            <w:r>
              <w:rPr>
                <w:rFonts w:ascii="Times New Roman" w:hAnsi="Times New Roman"/>
                <w:i/>
                <w:sz w:val="20"/>
                <w:u w:val="single"/>
              </w:rPr>
              <w:t>plus</w:t>
            </w:r>
            <w:r>
              <w:rPr>
                <w:rFonts w:ascii="Times New Roman" w:hAnsi="Times New Roman"/>
                <w:sz w:val="20"/>
              </w:rPr>
              <w:t xml:space="preserve"> (iii) the Upper Aspen Net Cash Amount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 Allocation Percentage</w:t>
            </w:r>
            <w:r>
              <w:rPr>
                <w:rFonts w:ascii="Times New Roman" w:hAnsi="Times New Roman"/>
                <w:sz w:val="20"/>
              </w:rPr>
              <w:t xml:space="preserve"> means the quotient (expressed as a percentage and rounded to eight decimal places) determined by </w:t>
            </w:r>
            <w:r>
              <w:rPr>
                <w:rFonts w:ascii="Times New Roman" w:hAnsi="Times New Roman"/>
                <w:i/>
                <w:sz w:val="20"/>
                <w:u w:val="single"/>
              </w:rPr>
              <w:t>subtracting</w:t>
            </w:r>
            <w:r>
              <w:rPr>
                <w:rFonts w:ascii="Times New Roman" w:hAnsi="Times New Roman"/>
                <w:sz w:val="20"/>
              </w:rPr>
              <w:t xml:space="preserve"> (i) the Aspen Allocation Percentage </w:t>
            </w:r>
            <w:r>
              <w:rPr>
                <w:rFonts w:ascii="Times New Roman" w:hAnsi="Times New Roman"/>
                <w:i/>
                <w:sz w:val="20"/>
                <w:u w:val="single"/>
              </w:rPr>
              <w:t>from</w:t>
            </w:r>
            <w:r>
              <w:rPr>
                <w:rFonts w:ascii="Times New Roman" w:hAnsi="Times New Roman"/>
                <w:sz w:val="20"/>
              </w:rPr>
              <w:t xml:space="preserve"> (ii) 100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 Equity Value</w:t>
            </w:r>
            <w:r>
              <w:rPr>
                <w:rFonts w:ascii="Times New Roman" w:hAnsi="Times New Roman"/>
                <w:sz w:val="20"/>
              </w:rPr>
              <w:t xml:space="preserve"> means $140,000,000.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 Outstanding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the total number of shares of Company Common Stock outstanding immediately prior to the Effective Time, expressed on a fully-diluted and as-converted-to-Company Common Stock basis (including, without limitation, after giving effect to the Company SAFEs Conversion and the Company Preferred Stock Conversion), and assuming, without limitation or duplication, (i) the inclusion of Concurrent Investment Company Shares, (ii) the issuance of shares of Company Common Stock in respect of all Company Options, or other rights to receive shares, whether conditional or unconditional, that will be outstanding as of immediately prior to the Effective Time, calculated on a treasury stock method basis, and (iii) the exclusion of shares of Company Common Stock held immediately prior to the Effective Time by the Company as treasury stock or in connection with any unallocated equity pool or by Aspen, any of its Subsidiaries or any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 Valuation</w:t>
            </w:r>
            <w:r>
              <w:rPr>
                <w:rFonts w:ascii="Times New Roman" w:hAnsi="Times New Roman"/>
                <w:sz w:val="20"/>
              </w:rPr>
              <w:t xml:space="preserve"> means (i) the Company Equity Value </w:t>
            </w:r>
            <w:r>
              <w:rPr>
                <w:rFonts w:ascii="Times New Roman" w:hAnsi="Times New Roman"/>
                <w:i/>
                <w:sz w:val="20"/>
                <w:u w:val="single"/>
              </w:rPr>
              <w:t>plus</w:t>
            </w:r>
            <w:r>
              <w:rPr>
                <w:rFonts w:ascii="Times New Roman" w:hAnsi="Times New Roman"/>
                <w:sz w:val="20"/>
              </w:rPr>
              <w:t xml:space="preserve"> (ii) the Concurrent Investment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Exchange Ratio</w:t>
            </w:r>
            <w:r>
              <w:rPr>
                <w:rFonts w:ascii="Times New Roman" w:hAnsi="Times New Roman"/>
                <w:sz w:val="20"/>
              </w:rPr>
              <w:t xml:space="preserve"> means the ratio (rounded to eight decimal places) equal to the quotient obtained by dividing (i) the Company Merger Shares by (ii) the Company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Lower Aspen Net Cash Amount</w:t>
            </w:r>
            <w:r>
              <w:rPr>
                <w:rFonts w:ascii="Times New Roman" w:hAnsi="Times New Roman"/>
                <w:sz w:val="20"/>
              </w:rPr>
              <w:t xml:space="preserve"> means, if Aspen Net Cash is less than the Lower Target Aspen Net Cash, then the amount, if any, that the Target Aspen Net Cash exceeds the Aspen Net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Lower Target Aspen Net Cash</w:t>
            </w:r>
            <w:r>
              <w:rPr>
                <w:rFonts w:ascii="Times New Roman" w:hAnsi="Times New Roman"/>
                <w:sz w:val="20"/>
              </w:rPr>
              <w:t xml:space="preserve"> means $64,500,000.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Post-Closing Aspen Shares</w:t>
            </w:r>
            <w:r>
              <w:rPr>
                <w:rFonts w:ascii="Times New Roman" w:hAnsi="Times New Roman"/>
                <w:sz w:val="20"/>
              </w:rPr>
              <w:t xml:space="preserve"> means the quotient determined by </w:t>
            </w:r>
            <w:r>
              <w:rPr>
                <w:rFonts w:ascii="Times New Roman" w:hAnsi="Times New Roman"/>
                <w:i/>
                <w:sz w:val="20"/>
                <w:u w:val="single"/>
              </w:rPr>
              <w:t>dividing</w:t>
            </w:r>
            <w:r>
              <w:rPr>
                <w:rFonts w:ascii="Times New Roman" w:hAnsi="Times New Roman"/>
                <w:sz w:val="20"/>
              </w:rPr>
              <w:t xml:space="preserve"> (i) the Aspen Outstanding Shares </w:t>
            </w:r>
            <w:r>
              <w:rPr>
                <w:rFonts w:ascii="Times New Roman" w:hAnsi="Times New Roman"/>
                <w:i/>
                <w:sz w:val="20"/>
                <w:u w:val="single"/>
              </w:rPr>
              <w:t>by</w:t>
            </w:r>
            <w:r>
              <w:rPr>
                <w:rFonts w:ascii="Times New Roman" w:hAnsi="Times New Roman"/>
                <w:sz w:val="20"/>
              </w:rPr>
              <w:t xml:space="preserve"> (ii) the Aspen Allocation Percentage.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Target Aspen Net Cash</w:t>
            </w:r>
            <w:r>
              <w:rPr>
                <w:rFonts w:ascii="Times New Roman" w:hAnsi="Times New Roman"/>
                <w:sz w:val="20"/>
              </w:rPr>
              <w:t xml:space="preserve"> means $65,000,000.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Upper Aspen Net Cash Amount</w:t>
            </w:r>
            <w:r>
              <w:rPr>
                <w:rFonts w:ascii="Times New Roman" w:hAnsi="Times New Roman"/>
                <w:sz w:val="20"/>
              </w:rPr>
              <w:t xml:space="preserve"> means, if Aspen Net Cash is greater than the Upper Target Aspen Net Cash, then the amount, if any, that the Aspen Net Cash exceeds the Target Aspen Net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Upper Target Aspen Net Cash</w:t>
            </w:r>
            <w:r>
              <w:rPr>
                <w:rFonts w:ascii="Times New Roman" w:hAnsi="Times New Roman"/>
                <w:sz w:val="20"/>
              </w:rPr>
              <w:t xml:space="preserve"> means $65,500,000.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Concurrent Investment Proceeds shall not be included in the calculation or determination of the Company Equity Value, the Aspen Valuation or any component thereof. Set forth on </w:t>
      </w:r>
      <w:r>
        <w:rPr>
          <w:rFonts w:ascii="Times New Roman" w:hAnsi="Times New Roman"/>
          <w:sz w:val="20"/>
          <w:u w:val="single"/>
        </w:rPr>
        <w:t>Annex A</w:t>
      </w:r>
      <w:r>
        <w:rPr>
          <w:rFonts w:ascii="Times New Roman" w:hAnsi="Times New Roman"/>
          <w:sz w:val="20"/>
        </w:rPr>
        <w:t xml:space="preserve"> attached hereto is an illustrative example of the calculation of Company Merger Shares.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Options</w:t>
      </w:r>
      <w:r>
        <w:rPr>
          <w:rFonts w:ascii="Times New Roman" w:hAnsi="Times New Roman"/>
          <w:sz w:val="20"/>
        </w:rPr>
        <w:t xml:space="preserve"> means options to purchase shares of Company Capital Stock issued by the Company pursuant to the Company Equity Incentive Plan (for the avoidance of doubt, other than Company Convertible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 Outbound License</w:t>
      </w:r>
      <w:r>
        <w:rPr>
          <w:rFonts w:ascii="Times New Roman" w:hAnsi="Times New Roman"/>
          <w:sz w:val="20"/>
        </w:rPr>
        <w:t xml:space="preserve"> means any Company Contract pursuant to which the Company grants any license or any other right or immunity (including any sublicense, option, right of first refusal or other preferential right or covenant not to sue) under any Company Intellectual Property that is material to the business of the Company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the Company or (ii) incidental to any assays or other materials obtained from third parties under material transfer agreements or other similar contracts, in each case, consistent with industry standard, and (b) agreements between any of the Company or any Subsidiary thereof and another Subsidiary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Preferred Stock</w:t>
      </w:r>
      <w:r>
        <w:rPr>
          <w:rFonts w:ascii="Times New Roman" w:hAnsi="Times New Roman"/>
          <w:sz w:val="20"/>
        </w:rPr>
        <w:t xml:space="preserve"> means the Preferred Stock, $0.0001 par value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Product</w:t>
      </w:r>
      <w:r>
        <w:rPr>
          <w:rFonts w:ascii="Times New Roman" w:hAnsi="Times New Roman"/>
          <w:sz w:val="20"/>
        </w:rPr>
        <w:t xml:space="preserve"> means any pharmaceutical, biological or medicinal therapy, compound, drug, product candidate or product that is being developed, researched, manufactured, tested, licensed, offered, marketed, sold, or distributed by or on behalf of the Company or its Subsidiaries, including any discovery or clinical programs or platforms and the therapies and compounds made and tested in such programs, including through collaboration with others, or through compassionate use/named patient activities.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Restricted Stock</w:t>
      </w:r>
      <w:r>
        <w:rPr>
          <w:rFonts w:ascii="Times New Roman" w:hAnsi="Times New Roman"/>
          <w:sz w:val="20"/>
        </w:rPr>
        <w:t xml:space="preserve"> means any shares of Company Common Stock that are unvested or are subject to a repurchase option, risk of forfeiture or other condition on title or ownership under any applicable restricted stock purchase agreement or other Company Material Contract.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Restricted Stock Unit</w:t>
      </w:r>
      <w:r>
        <w:rPr>
          <w:rFonts w:ascii="Times New Roman" w:hAnsi="Times New Roman"/>
          <w:sz w:val="20"/>
        </w:rPr>
        <w:t xml:space="preserve"> means a restricted stock unit of the Company, whether issued pursuant to the Company Equity Incentive Plan or otherwise (for the avoidance of doubt, other than Company Convertible Notes, Company Options or Company Warrants).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 xml:space="preserve">Company SAFEs </w:t>
      </w:r>
      <w:r>
        <w:rPr>
          <w:rFonts w:ascii="Times New Roman" w:hAnsi="Times New Roman"/>
          <w:sz w:val="20"/>
        </w:rPr>
        <w:t xml:space="preserve">means those certain simple agreements for future equity by and between the Company and the holders party thereto in the aggregate principal amount of $34,125,000 and listed as part of the definition of Safes in Subsection 3.21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Triggering Event</w:t>
      </w:r>
      <w:r>
        <w:rPr>
          <w:rFonts w:ascii="Times New Roman" w:hAnsi="Times New Roman"/>
          <w:sz w:val="20"/>
        </w:rPr>
        <w:t xml:space="preserve"> shall be deemed to have occurred if: (a) the Company Board or any committee thereof shall have made a Company Board Adverse Recommendation Change or approved, endorsed or recommended any Acquisition Proposal with respect to the Company (other than by Aspen or an Affiliate thereof and other than actions made in compliance with </w:t>
      </w:r>
      <w:r>
        <w:rPr>
          <w:rFonts w:ascii="Times New Roman" w:hAnsi="Times New Roman"/>
          <w:sz w:val="20"/>
          <w:u w:val="single"/>
        </w:rPr>
        <w:t>Section 5.4</w:t>
      </w:r>
      <w:r>
        <w:rPr>
          <w:rFonts w:ascii="Times New Roman" w:hAnsi="Times New Roman"/>
          <w:sz w:val="20"/>
        </w:rPr>
        <w:t xml:space="preserve">), (b) the Company shall have entered into any letter of intent or similar document or any Contract relating to any Acquisition Proposal with respect to the Company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or (c) upon willful and material breach of the Companys obligations set forth in the first sentence of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Warrants</w:t>
      </w:r>
      <w:r>
        <w:rPr>
          <w:rFonts w:ascii="Times New Roman" w:hAnsi="Times New Roman"/>
          <w:sz w:val="20"/>
        </w:rPr>
        <w:t xml:space="preserve"> means warrants to purchase shares of Company Capital Stock issued by the Company (for the avoidance of doubt, other than Company Convertible Notes, Company Restricted Stock Units or Company Options).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Concurrent Investment Amount</w:t>
      </w:r>
      <w:r>
        <w:rPr>
          <w:rFonts w:ascii="Times New Roman" w:hAnsi="Times New Roman"/>
          <w:sz w:val="20"/>
        </w:rPr>
        <w:t xml:space="preserve"> means $114,500,000.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Concurrent Investment Proceeds</w:t>
      </w:r>
      <w:r>
        <w:rPr>
          <w:rFonts w:ascii="Times New Roman" w:hAnsi="Times New Roman"/>
          <w:sz w:val="20"/>
        </w:rPr>
        <w:t xml:space="preserve"> means the collective proceeds actually resulting from (i) the Subscription Agreement Concurrent Investment and (ii) the Company SAFE Concurrent Investment.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Confidentiality</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means the Confidentiality Agreement, dated as of October 24, 2023, between the Company and Aspen.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Contemplated</w:t>
      </w:r>
      <w:r>
        <w:rPr>
          <w:rFonts w:ascii="Times New Roman" w:hAnsi="Times New Roman"/>
          <w:sz w:val="20"/>
        </w:rPr>
        <w:t xml:space="preserve"> </w:t>
      </w:r>
      <w:r>
        <w:rPr>
          <w:rFonts w:ascii="Times New Roman" w:hAnsi="Times New Roman"/>
          <w:b/>
          <w:sz w:val="20"/>
        </w:rPr>
        <w:t>Transactions</w:t>
      </w:r>
      <w:r>
        <w:rPr>
          <w:rFonts w:ascii="Times New Roman" w:hAnsi="Times New Roman"/>
          <w:sz w:val="20"/>
        </w:rPr>
        <w:t xml:space="preserve"> means the Merger and the other transactions contemplated by this Agreement, including the CVR Agreement, any Aspen Pre-Closing Transaction and the Concurrent Investment.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DGCL</w:t>
      </w:r>
      <w:r>
        <w:rPr>
          <w:rFonts w:ascii="Times New Roman" w:hAnsi="Times New Roman"/>
          <w:sz w:val="20"/>
        </w:rPr>
        <w:t xml:space="preserve"> means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Drug Governmental Authority</w:t>
      </w:r>
      <w:r>
        <w:rPr>
          <w:rFonts w:ascii="Times New Roman" w:hAnsi="Times New Roman"/>
          <w:sz w:val="20"/>
        </w:rPr>
        <w:t xml:space="preserve"> means any Governmental Authority having jurisdiction over the safety, efficacy, approval, research, development, testing, labeling, manufacture, packaging, import, export, storage, sale, commercialization or distribution of Company Products or Aspen Products, such as the FDA, the European Medicines Agency, or the United Kingdom Medicines and Healthcare Products Regulatory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Employee Plan</w:t>
      </w:r>
      <w:r>
        <w:rPr>
          <w:rFonts w:ascii="Times New Roman" w:hAnsi="Times New Roman"/>
          <w:sz w:val="20"/>
        </w:rPr>
        <w:t xml:space="preserve"> means (i) each employee benefit plan, as defined in Section 3(3) of ERISA (whether or not subject to ERISA), (ii) each compensation, severance, termination protection, change in control, transaction bonus, retention or similar contract, plan, program, arrangement, policy or guidelines, and (iii) each other plan, program, arrangement or policy providing for compensation (including variable cash compensation and commissions), bonuses, profit-sharing, stock option or other stock-related rights or other forms of incentive or deferred compensation, tax gross-up, vacation benefits, insurance (including any self-insured arrangement), health, medical, dental, vision, prescription or fringe benefits, life insurance, relocation or expatriate benefits, perquisites, employee assistance program, disability or sick leave benefits, workers compensation, supplemental unemployment benefits, severance benefits or post-employment or retirement benefits (including compensation, pension, health, medical or life insurance benefits), in each case whether or not written.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Environmental</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Equity Plan Proposals</w:t>
      </w:r>
      <w:r>
        <w:rPr>
          <w:rFonts w:ascii="Times New Roman" w:hAnsi="Times New Roman"/>
          <w:sz w:val="20"/>
        </w:rPr>
        <w:t> means, collectively, the 2024 Equity Incentive Plan (the </w:t>
      </w:r>
      <w:r>
        <w:rPr>
          <w:rFonts w:ascii="Times New Roman" w:hAnsi="Times New Roman"/>
          <w:b/>
          <w:sz w:val="20"/>
        </w:rPr>
        <w:t>2024 Plan</w:t>
      </w:r>
      <w:r>
        <w:rPr>
          <w:rFonts w:ascii="Times New Roman" w:hAnsi="Times New Roman"/>
          <w:sz w:val="20"/>
        </w:rPr>
        <w:t>) and the 2024 Employee Stock Purchase Plan (the </w:t>
      </w:r>
      <w:r>
        <w:rPr>
          <w:rFonts w:ascii="Times New Roman" w:hAnsi="Times New Roman"/>
          <w:b/>
          <w:sz w:val="20"/>
        </w:rPr>
        <w:t>2024 ESPP</w:t>
      </w:r>
      <w:r>
        <w:rPr>
          <w:rFonts w:ascii="Times New Roman" w:hAnsi="Times New Roman"/>
          <w:sz w:val="20"/>
        </w:rPr>
        <w:t xml:space="preserve">), in a form reasonably acceptable to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ERISA Affiliate</w:t>
      </w:r>
      <w:r>
        <w:rPr>
          <w:rFonts w:ascii="Times New Roman" w:hAnsi="Times New Roman"/>
          <w:sz w:val="20"/>
        </w:rPr>
        <w:t xml:space="preserve"> means, with respect to any Entity, any other Person that would be treated as a single employer with such Entity or part of the same controlled group as such Entity under Sections 414(b),(c),(m) or (o)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FDA</w:t>
      </w:r>
      <w:r>
        <w:rPr>
          <w:rFonts w:ascii="Times New Roman" w:hAnsi="Times New Roman"/>
          <w:sz w:val="20"/>
        </w:rPr>
        <w:t xml:space="preserve"> means the United States Food and Drug Administration and any successor agency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Good Clinical Practices</w:t>
      </w:r>
      <w:r>
        <w:rPr>
          <w:rFonts w:ascii="Times New Roman" w:hAnsi="Times New Roman"/>
          <w:sz w:val="20"/>
        </w:rPr>
        <w:t xml:space="preserve"> means the FDAs standards for the design, conduct, performance, monitoring, auditing, recording, analysis, and reporting of clinical trials, including those standards contained in 21 C.F.R. Parts 11, 50, 54, 56 and 312 and all comparable standards of any other applicable Drug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Good Laboratory Practices</w:t>
      </w:r>
      <w:r>
        <w:rPr>
          <w:rFonts w:ascii="Times New Roman" w:hAnsi="Times New Roman"/>
          <w:sz w:val="20"/>
        </w:rPr>
        <w:t xml:space="preserve"> means the FDAs standards for conducting non-clinical laboratory studies, including those standards contained in 21 C.F.R. Parts 11 and 58, and all comparable standards of any other applicable Drug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Good Manufacturing Practices</w:t>
      </w:r>
      <w:r>
        <w:rPr>
          <w:rFonts w:ascii="Times New Roman" w:hAnsi="Times New Roman"/>
          <w:sz w:val="20"/>
        </w:rPr>
        <w:t xml:space="preserve"> means the requirements set forth at 21 U.S.C. § 351(a)(2)(B) and in the regulations for drugs contained in 21 C.F.R. Parts 11, 210, 211 and 600-680, and all comparable standards of any other applicable Drug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Healthcare Laws</w:t>
      </w:r>
      <w:r>
        <w:rPr>
          <w:rFonts w:ascii="Times New Roman" w:hAnsi="Times New Roman"/>
          <w:sz w:val="20"/>
        </w:rPr>
        <w:t xml:space="preserve"> means all applicable health care Laws, including (i) any and all federal, state and local fraud and abuse Laws, including the federal Anti-Kickback Statute (42 U.S.C. § 1320a-7b(b)), the civil False Claims Act (31 U.S.C. §§ 3729 et seq.), the administrative False Claims Law (42 U.S.C. § 1320a-7b(a)) and the regulations promulgated pursuant to such statutes and equivalent non-U.S. statutory and regulatory provisions; (ii) the Federal Food, Drug, and Cosmetic Act (21 U.S.C. §§ 301 et seq.) and the regulations promulgated thereunder and equivalent non-U.S. statutory and regulatory provisions; (iii) the health care fraud and false statement provisions of HIPAA; (iv) applicable Laws which are cause for exclusion from any federal health care program and the regulations promulgated pursuant to such statutes and equivalent non-U.S. statutory and regulatory provisions; (v) the federal health care program civil monetary penalty (42 U.S.C. § 1320a-7a) and exclusion authorities (42 U.S.C. § 1320a-7) and the regulations promulgated pursuant to such statutes; (vi) the Public Health Service Act (42 U.S.C. §§ 201 et seq.) and the regulations promulgated thereunder and equivalent non-U.S. statutory and regulatory provisions; and (vii) all applicable Laws, rules, regulations, orders, judgments, decrees and injunctions administered by the FDA and other applicable regulatory authorities, including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governing recordkeeping, manufacturing, testing, development and approval of any Company Product or Aspen Product, including but not limited to FDAs regulations at 21 C.F.R. Parts 11, 50, 54, 56, 58, 210, 211, 312, 600 and 610, each as may be amended from time to time and equivalent non-U.S. statutory and regulatory provisions.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Healthcare Submissions</w:t>
      </w:r>
      <w:r>
        <w:rPr>
          <w:rFonts w:ascii="Times New Roman" w:hAnsi="Times New Roman"/>
          <w:sz w:val="20"/>
        </w:rPr>
        <w:t xml:space="preserve"> means all required material filings, declarations, listings, registrations, reports or submissions, including adverse event reports.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HIPAA</w:t>
      </w:r>
      <w:r>
        <w:rPr>
          <w:rFonts w:ascii="Times New Roman" w:hAnsi="Times New Roman"/>
          <w:sz w:val="20"/>
        </w:rPr>
        <w:t xml:space="preserve"> means collectively the Health Insurance Portability and Accountability Act (42 U.S.C. §§ 1320d et seq.), as amended by the Health Information Technology for Economic and Clinical Health Act (42 U.S.C. §§ 17921 et seq.) and their implementing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 the Money Aspen Options</w:t>
      </w:r>
      <w:r>
        <w:rPr>
          <w:rFonts w:ascii="Times New Roman" w:hAnsi="Times New Roman"/>
          <w:sz w:val="20"/>
        </w:rPr>
        <w:t xml:space="preserve"> shall mean Aspen Options with an exercise price less than the Aspen Closing Price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Intellectual Property</w:t>
      </w:r>
      <w:r>
        <w:rPr>
          <w:rFonts w:ascii="Times New Roman" w:hAnsi="Times New Roman"/>
          <w:sz w:val="20"/>
        </w:rPr>
        <w:t> means any and all intellectual property or proprietary rights of any kind or nature throughout the world, including all (i) patents and patent applications, including all provisionals, nonprovisionals, continuations, continuations-in-part, divisionals, reissues, extensions, re-examinations, and substitutions thereof and the equivalents of any of the foregoing in any jurisdiction, and all inventions disclosed in each such patent or patent application (collectively, </w:t>
      </w:r>
      <w:r>
        <w:rPr>
          <w:rFonts w:ascii="Times New Roman" w:hAnsi="Times New Roman"/>
          <w:b/>
          <w:sz w:val="20"/>
        </w:rPr>
        <w:t>Patents</w:t>
      </w:r>
      <w:r>
        <w:rPr>
          <w:rFonts w:ascii="Times New Roman" w:hAnsi="Times New Roman"/>
          <w:sz w:val="20"/>
        </w:rPr>
        <w:t>); (ii) trade names, trade dress, logos, slogans, Internet domain names, registered and unregistered trademarks and service marks, and related registrations and applications for registration of any of the foregoing, and all goodwill associated with any of the foregoing (collectively, </w:t>
      </w:r>
      <w:r>
        <w:rPr>
          <w:rFonts w:ascii="Times New Roman" w:hAnsi="Times New Roman"/>
          <w:b/>
          <w:sz w:val="20"/>
        </w:rPr>
        <w:t>Marks</w:t>
      </w:r>
      <w:r>
        <w:rPr>
          <w:rFonts w:ascii="Times New Roman" w:hAnsi="Times New Roman"/>
          <w:sz w:val="20"/>
        </w:rPr>
        <w:t>); (iii) copyrights in both published and unpublished works, including all compilations, databases and computer programs, manuals and other documentation and all copyright registrations and applications (collectively, </w:t>
      </w:r>
      <w:r>
        <w:rPr>
          <w:rFonts w:ascii="Times New Roman" w:hAnsi="Times New Roman"/>
          <w:b/>
          <w:sz w:val="20"/>
        </w:rPr>
        <w:t>Copyrights</w:t>
      </w:r>
      <w:r>
        <w:rPr>
          <w:rFonts w:ascii="Times New Roman" w:hAnsi="Times New Roman"/>
          <w:sz w:val="20"/>
        </w:rPr>
        <w:t>); (iv) trade secrets, know-how, inventions (including as disclosed in invention disclosures and discoveries) and confidential information, including manufacturing information, methods and processes, assays, materials, engineering and other manuals and drawings, operating procedures, regulatory, chemical, pharmacological, toxicological, pharmaceutical, physical and analytical, safety, quality assurance, quality control and clinical data and similar data and information (collectively, </w:t>
      </w:r>
      <w:r>
        <w:rPr>
          <w:rFonts w:ascii="Times New Roman" w:hAnsi="Times New Roman"/>
          <w:b/>
          <w:sz w:val="20"/>
        </w:rPr>
        <w:t>Trade Secrets</w:t>
      </w:r>
      <w:r>
        <w:rPr>
          <w:rFonts w:ascii="Times New Roman" w:hAnsi="Times New Roman"/>
          <w:sz w:val="20"/>
        </w:rPr>
        <w:t xml:space="preserve">); (v) rights of privacy or publicity; (vi) rights in software, data and databases, and industrial property rights; (vii) embodiments of any of the foregoing, and (viii) rights to assert, claim, enforce or sue and collect damages or seek other remedies for any past, present or future infringement, misappropriation or other violation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Knowledge</w:t>
      </w:r>
      <w:r>
        <w:rPr>
          <w:rFonts w:ascii="Times New Roman" w:hAnsi="Times New Roman"/>
          <w:sz w:val="20"/>
        </w:rPr>
        <w:t xml:space="preserve">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For the avoidance of doubt, the term Law includes any and all Environmental Laws, Healthcare Laws and Privacy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commenced, brought, conducted or heard by or before, or otherwise involving, any court or other Governmental Authority or any arbitrator or arbitration panel.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Merger Sub Board</w:t>
      </w:r>
      <w:r>
        <w:rPr>
          <w:rFonts w:ascii="Times New Roman" w:hAnsi="Times New Roman"/>
          <w:sz w:val="20"/>
        </w:rPr>
        <w:t xml:space="preserve"> means the board of directors of Merger Sub.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Nasdaq</w:t>
      </w:r>
      <w:r>
        <w:rPr>
          <w:rFonts w:ascii="Times New Roman" w:hAnsi="Times New Roman"/>
          <w:sz w:val="20"/>
        </w:rPr>
        <w:t xml:space="preserve"> means the Nasdaq Global Select Market, the Nasdaq Global Market or the Nasdaq Capital Market, as may be applicable to Aspen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Nasdaq Reverse Split</w:t>
      </w:r>
      <w:r>
        <w:rPr>
          <w:rFonts w:ascii="Times New Roman" w:hAnsi="Times New Roman"/>
          <w:sz w:val="20"/>
        </w:rPr>
        <w:t xml:space="preserve"> means a reverse stock split of all outstanding shares of Aspen Common Stock at a reverse stock split ratio mutually agreed to by Aspen and the Company that is effected by Aspen for the purpose of maintaining compliance with Nasdaq listing requirements or of maintaining compliance with Aspens authorized share count, or for other purposes as mutually agreed by the 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Ordinary</w:t>
      </w:r>
      <w:r>
        <w:rPr>
          <w:rFonts w:ascii="Times New Roman" w:hAnsi="Times New Roman"/>
          <w:sz w:val="20"/>
        </w:rPr>
        <w:t xml:space="preserve"> </w:t>
      </w:r>
      <w:r>
        <w:rPr>
          <w:rFonts w:ascii="Times New Roman" w:hAnsi="Times New Roman"/>
          <w:b/>
          <w:sz w:val="20"/>
        </w:rPr>
        <w:t>Course of Business</w:t>
      </w:r>
      <w:r>
        <w:rPr>
          <w:rFonts w:ascii="Times New Roman" w:hAnsi="Times New Roman"/>
          <w:sz w:val="20"/>
        </w:rPr>
        <w:t xml:space="preserve"> means, in the case of each of the Company and Aspen, such actions taken in the ordinary course of its normal operations and consistent with its past practices,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during the Pre-Closing Period, the Ordinary Course of Business of Aspen shall also be deemed to include actions required to effect and effecting, in one or more transactions, the sale, divestiture, licensing or winding down of Aspens business or operations related to the assets listed on Schedule 1.1 of the Aspen Disclosure Schedule or the sale, license or other disposition of any or all of the Aspen Pre-Closing Assets, including the expenditure of monies in connection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Out of the Money Aspen Options</w:t>
      </w:r>
      <w:r>
        <w:rPr>
          <w:rFonts w:ascii="Times New Roman" w:hAnsi="Times New Roman"/>
          <w:sz w:val="20"/>
        </w:rPr>
        <w:t xml:space="preserve"> shall mean Aspen Options with an exercise price greater than the Aspen Closing Price.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Aspen.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have been made on the Company Financials or the Aspen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Aspen,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liens arising under applicable securities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Personal Information</w:t>
      </w:r>
      <w:r>
        <w:rPr>
          <w:rFonts w:ascii="Times New Roman" w:hAnsi="Times New Roman"/>
          <w:sz w:val="20"/>
        </w:rPr>
        <w:t xml:space="preserve"> means data and information concerning an identifiable natural person that are subject to regulation by the Privacy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Privacy Laws</w:t>
      </w:r>
      <w:r>
        <w:rPr>
          <w:rFonts w:ascii="Times New Roman" w:hAnsi="Times New Roman"/>
          <w:sz w:val="20"/>
        </w:rPr>
        <w:t xml:space="preserve"> mean, collectively, (i) all applicable Laws relating to data privacy, data protection, data security, trans-border data flow, data loss, data theft or breach notification with respect to the collection, handling, use, processing, maintenance, storage, disclosure or transfer of Personal Information enacted, adopted, promulgated or applied by any Governmental Authority, including the applicable legally binding requirements set forth in applicable regulations and agreements containing consent orders published by regulatory authorities of competent jurisdiction such as, as applicable, the U.S. Federal Trade Commission, U.S. Federal Communications Commission, and state data protection authorities, including but not limited to HIPAA; (ii) the internal privacy policy of the Company and any public statements that the Company has made regarding its privacy policies and practices; (iii) third party privacy policies with which the Company has been or is contractually obligated to comply; and (iv) any applicable rules of any applicable self-regulatory organizations in which the Company is or has been a member and/or with which the Company is or has been contractually obligated to comply relating to data privacy, data protection, data security, trans-border data flow, data loss, data theft or breach notification with respect to the collection, handling, use, processing, maintenance, storage, disclosure or transfer of Personal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Representatives</w:t>
      </w:r>
      <w:r>
        <w:rPr>
          <w:rFonts w:ascii="Times New Roman" w:hAnsi="Times New Roman"/>
          <w:sz w:val="20"/>
        </w:rPr>
        <w:t xml:space="preserve"> means directors, officers, employees, agents, attorneys, accountants, investment bankers, advisors and representatives.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Sanctioned Country</w:t>
      </w:r>
      <w:r>
        <w:rPr>
          <w:rFonts w:ascii="Times New Roman" w:hAnsi="Times New Roman"/>
          <w:sz w:val="20"/>
        </w:rPr>
        <w:t xml:space="preserve"> means any country or region subject to economic sanctions or trade restrictions of the United States that broadly prohibit or restrict dealings with such country or region (currently including Cuba, Iran, North Korea, Syria, the Crimea region of Ukraine, and the so-called Donetsk Peoples Republic and Luhansk Peoples Republic regions in Ukraine).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Sanctioned Person</w:t>
      </w:r>
      <w:r>
        <w:rPr>
          <w:rFonts w:ascii="Times New Roman" w:hAnsi="Times New Roman"/>
          <w:sz w:val="20"/>
        </w:rPr>
        <w:t> means any Person subject to economic sanctions, trade restrictions or similar restrictions under any Sanctions Laws, including (a) any Person identified in any sanctions list maintained by the U.S. government, including (i) the U.S. Department of the Treasury, Office of Foreign Assets Control (</w:t>
      </w:r>
      <w:r>
        <w:rPr>
          <w:rFonts w:ascii="Times New Roman" w:hAnsi="Times New Roman"/>
          <w:b/>
          <w:sz w:val="20"/>
        </w:rPr>
        <w:t>OFAC</w:t>
      </w:r>
      <w:r>
        <w:rPr>
          <w:rFonts w:ascii="Times New Roman" w:hAnsi="Times New Roman"/>
          <w:sz w:val="20"/>
        </w:rPr>
        <w:t xml:space="preserve">), (ii) the U.S. Department of Commerce, Bureau of Industry and Security, and (iii) the U.S. Department of State; (b) any Person located, organized or resident in, or a government instrumentality of, any Sanctioned Country; and (c) any Person directly or indirectly owned fifty percent (50%) or more by, or acting for the benefit or on behalf of, a Person described in the Specially Designated Nationals and Blocked Persons list maintained by OFAC or the foregoing clause (b).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Sanctions Laws</w:t>
      </w:r>
      <w:r>
        <w:rPr>
          <w:rFonts w:ascii="Times New Roman" w:hAnsi="Times New Roman"/>
          <w:sz w:val="20"/>
        </w:rPr>
        <w:t xml:space="preserve"> means all applicable Laws concerning embargoes, economic sanctions, export or import controls or restrictions, the ability to make or receive international payments, the ability to export items (including hardware, software, or technology) and/or services, the ability to engage in international transactions, or the ability to take an ownership interest in assets located in a foreign country, including those administered by OFAC, the Bureau of Industry and Security of the U.S. Department of Commerce, the U.S. Department of State, and any other similar Laws of any other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Specified Time</w:t>
      </w:r>
      <w:r>
        <w:rPr>
          <w:rFonts w:ascii="Times New Roman" w:hAnsi="Times New Roman"/>
          <w:sz w:val="20"/>
        </w:rPr>
        <w:t xml:space="preserve"> means the time that is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Superior</w:t>
      </w:r>
      <w:r>
        <w:rPr>
          <w:rFonts w:ascii="Times New Roman" w:hAnsi="Times New Roman"/>
          <w:sz w:val="20"/>
        </w:rPr>
        <w:t xml:space="preserve"> </w:t>
      </w:r>
      <w:r>
        <w:rPr>
          <w:rFonts w:ascii="Times New Roman" w:hAnsi="Times New Roman"/>
          <w:b/>
          <w:sz w:val="20"/>
        </w:rPr>
        <w:t>Offer</w:t>
      </w:r>
      <w:r>
        <w:rPr>
          <w:rFonts w:ascii="Times New Roman" w:hAnsi="Times New Roman"/>
          <w:sz w:val="20"/>
        </w:rPr>
        <w:t xml:space="preserve"> means an unsolicited bona fide written Acquisition Proposal (with all references to 20% in the definition of Acquisition Transaction being treated as references to 70% for these purposes) that: (a) was not obtained or made as a result of a breach of (or a violation of) </w:t>
      </w:r>
      <w:r>
        <w:rPr>
          <w:rFonts w:ascii="Times New Roman" w:hAnsi="Times New Roman"/>
          <w:sz w:val="20"/>
          <w:u w:val="single"/>
        </w:rPr>
        <w:t>Section 5.4(a)</w:t>
      </w:r>
      <w:r>
        <w:rPr>
          <w:rFonts w:ascii="Times New Roman" w:hAnsi="Times New Roman"/>
          <w:sz w:val="20"/>
        </w:rPr>
        <w:t xml:space="preserve"> by Aspen, (b) is on terms and conditions that the Aspen Board or the Company Board, as applicable (or any committee thereof) determines in good faith, based on such matters that it deems relevant (including the likelihood of consummation thereof and the financing terms thereof), as well as any binding written offer by the other Party to the Agreement to amend the terms of this Agreement, and following consultation with its outside legal counsel and financial advisors, if any, it deems are more favorable, from a financial point of view, to Aspens stockholders or the Companys stockholders, as applicable, than the terms of the Contemplated Transactions, (c) is not subject to any debt financing conditions (and if debt financing is required, such financing is then fully committed to the third party) and (d) is reasonably capable of being completed on the terms proposed.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of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Transaction Expenses</w:t>
      </w:r>
      <w:r>
        <w:rPr>
          <w:rFonts w:ascii="Times New Roman" w:hAnsi="Times New Roman"/>
          <w:sz w:val="20"/>
        </w:rPr>
        <w:t xml:space="preserve"> means, subject to </w:t>
      </w:r>
      <w:r>
        <w:rPr>
          <w:rFonts w:ascii="Times New Roman" w:hAnsi="Times New Roman"/>
          <w:sz w:val="20"/>
          <w:u w:val="single"/>
        </w:rPr>
        <w:t>Section 10.3(a)</w:t>
      </w:r>
      <w:r>
        <w:rPr>
          <w:rFonts w:ascii="Times New Roman" w:hAnsi="Times New Roman"/>
          <w:sz w:val="20"/>
        </w:rPr>
        <w:t xml:space="preserve">, with respect to Aspen, and solely to the extent remaining unpaid at the Cash Determination Time, the aggregate amount (without duplication) of all costs, fees and expenses incurred by Aspen or any of its Subsidiaries (including Merger Sub), or for which Aspen or any of its Subsidiaries are liable in connection with the Contemplated Transactions and the negotiation, preparation and execution of this Agreement or any other agreement, document, instrument, filing, certificate, schedule, exhibit, letter or other document prepared or executed in connection with the Contemplated Transactions, including (a) any fees and expenses of legal counsel and accountants, fees and expenses reasonably expected to be payable to financial advisors, investment bankers, brokers, consultants, tax advisors, transfer agents, proxy solicitor and other advisors of Aspen in connection with the Contemplated Transactions; (b) 50% of the fees paid to the SEC in connection with filing the Registration Statement, the Proxy Statement, and any amendments and supplements thereto, with the SEC; (c) 50% of the fees and expenses in connection with the printing, mailing and distribution of the Registration Statement and any amendments and supplements thereto; (d) 50% of the Nasdaq Fees (as defined in </w:t>
      </w:r>
      <w:r>
        <w:rPr>
          <w:rFonts w:ascii="Times New Roman" w:hAnsi="Times New Roman"/>
          <w:sz w:val="20"/>
          <w:u w:val="single"/>
        </w:rPr>
        <w:t>Section 6.10</w:t>
      </w:r>
      <w:r>
        <w:rPr>
          <w:rFonts w:ascii="Times New Roman" w:hAnsi="Times New Roman"/>
          <w:sz w:val="20"/>
        </w:rPr>
        <w:t xml:space="preserve">); (e) the CVR Fees; and (f) to the extent not included in Aspen Net Cash, any bonus, severance, change-in-control payments or similar payment obligations (including payments with single-trigger provisions triggered at and as of the Closing) in effect as of the Closing that are, become, or may become due or payable to any director, officer, employee or consultant of Aspen in connection with, or following, the consummation of the Contemplated Transactions, including the employer portion of any employment, payroll or similar Taxes with respect to such compensation; </w:t>
      </w:r>
      <w:r>
        <w:rPr>
          <w:rFonts w:ascii="Times New Roman" w:hAnsi="Times New Roman"/>
          <w:sz w:val="20"/>
          <w:u w:val="single"/>
        </w:rPr>
        <w:t>provided</w:t>
      </w:r>
      <w:r>
        <w:rPr>
          <w:rFonts w:ascii="Times New Roman" w:hAnsi="Times New Roman"/>
          <w:sz w:val="20"/>
        </w:rPr>
        <w:t xml:space="preserve">, that, Transaction Expenses shall not include any Costs associated with the obtainment of directors and officers insurance pursuant to </w:t>
      </w:r>
      <w:r>
        <w:rPr>
          <w:rFonts w:ascii="Times New Roman" w:hAnsi="Times New Roman"/>
          <w:sz w:val="20"/>
          <w:u w:val="single"/>
        </w:rPr>
        <w:t>Section 6.8</w:t>
      </w:r>
      <w:r>
        <w:rPr>
          <w:rFonts w:ascii="Times New Roman" w:hAnsi="Times New Roman"/>
          <w:sz w:val="20"/>
        </w:rPr>
        <w:t>. With respect to the fees or costs contemplated by clauses (b), (c) and (d) of the preceding sentence, the remaining 50% of each such category of fees or costs is referred to herein as a </w:t>
      </w:r>
      <w:r>
        <w:rPr>
          <w:rFonts w:ascii="Times New Roman" w:hAnsi="Times New Roman"/>
          <w:b/>
          <w:sz w:val="20"/>
        </w:rPr>
        <w:t>Company Portion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following terms is defined in the Section set forth opposite such term: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4580"/>
        <w:gridCol w:w="179"/>
        <w:gridCol w:w="4221"/>
      </w:tblGrid>
      <w:tr>
        <w:trPr/>
        <w:tc>
          <w:tcPr>
            <w:tcW w:w="458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4221"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79" w:type="dxa"/>
            <w:tcBorders/>
            <w:vAlign w:val="bottom"/>
          </w:tcPr>
          <w:p>
            <w:pPr>
              <w:pStyle w:val="TableContents"/>
              <w:bidi w:val="0"/>
              <w:spacing w:before="0" w:after="283"/>
              <w:jc w:val="left"/>
              <w:rPr/>
            </w:pPr>
            <w:r>
              <w:rPr/>
              <w:t>  </w:t>
            </w:r>
          </w:p>
        </w:tc>
        <w:tc>
          <w:tcPr>
            <w:tcW w:w="42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Agreement</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Preamble</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Preamble</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Board Recommendation</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6.3(b)</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Disclosure Schedule</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ESPP</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4.6(c)</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Grant Date</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4.6(f)</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Material Contract</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4.13(a)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Net Cash Calculation</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2.9(a)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Net Cash Schedule</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2.9(a)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Real Estate Leases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4.11</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SEC Documents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4.7(a)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Stock Plans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4.6(c)</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Stockholder Matters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0"/>
              <w:jc w:val="left"/>
              <w:rPr>
                <w:rFonts w:ascii="Times New Roman" w:hAnsi="Times New Roman"/>
                <w:sz w:val="20"/>
              </w:rPr>
            </w:pPr>
            <w:r>
              <w:rPr>
                <w:rFonts w:ascii="Times New Roman" w:hAnsi="Times New Roman"/>
                <w:sz w:val="20"/>
              </w:rPr>
              <w:t>Recitals</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Aspen Stockholder Meeting</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0"/>
              <w:jc w:val="left"/>
              <w:rPr>
                <w:rFonts w:ascii="Times New Roman" w:hAnsi="Times New Roman"/>
                <w:sz w:val="20"/>
              </w:rPr>
            </w:pPr>
            <w:r>
              <w:rPr>
                <w:rFonts w:ascii="Times New Roman" w:hAnsi="Times New Roman"/>
                <w:sz w:val="20"/>
              </w:rPr>
              <w:t>6.3</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Capitalization Date</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4.6(a)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Cash Determination Time</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2.9(a)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Certificate of Merger</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2.3</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Certifications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4.7(a)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Closing</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2.3</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Closing Date</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2.3</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Closing Distribution</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2.6(a)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Company</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Preamble</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Company Disclosure Schedule</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3</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Company Financials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3.7(a)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Company Material Contract</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3.13(a)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Company Stockholder Written Consents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6.2(a)</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Company Preferred Stock Conversion</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2.5(h)</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Company Real Estate Leases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3.11</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Company Stock Certificate</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2.6</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Costs</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0"/>
              <w:jc w:val="left"/>
              <w:rPr>
                <w:rFonts w:ascii="Times New Roman" w:hAnsi="Times New Roman"/>
                <w:sz w:val="20"/>
              </w:rPr>
            </w:pPr>
            <w:r>
              <w:rPr>
                <w:rFonts w:ascii="Times New Roman" w:hAnsi="Times New Roman"/>
                <w:sz w:val="20"/>
              </w:rPr>
              <w:t>6.8</w:t>
            </w:r>
          </w:p>
        </w:tc>
      </w:tr>
      <w:tr>
        <w:trPr>
          <w:trHeight w:val="120" w:hRule="atLeast"/>
        </w:trPr>
        <w:tc>
          <w:tcPr>
            <w:tcW w:w="4580" w:type="dxa"/>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CVR</w:t>
            </w:r>
          </w:p>
        </w:tc>
        <w:tc>
          <w:tcPr>
            <w:tcW w:w="179" w:type="dxa"/>
            <w:tcBorders/>
            <w:vAlign w:val="bottom"/>
          </w:tcPr>
          <w:p>
            <w:pPr>
              <w:pStyle w:val="TableContents"/>
              <w:bidi w:val="0"/>
              <w:spacing w:before="0" w:after="283"/>
              <w:jc w:val="left"/>
              <w:rPr/>
            </w:pPr>
            <w:r>
              <w:rPr/>
              <w:t>  </w:t>
            </w:r>
          </w:p>
        </w:tc>
        <w:tc>
          <w:tcPr>
            <w:tcW w:w="4221" w:type="dxa"/>
            <w:tcBorders/>
          </w:tcPr>
          <w:p>
            <w:pPr>
              <w:pStyle w:val="TableContents"/>
              <w:bidi w:val="0"/>
              <w:spacing w:before="0" w:after="283"/>
              <w:jc w:val="left"/>
              <w:rPr/>
            </w:pPr>
            <w:r>
              <w:rPr/>
              <w:t>2.6(a)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400" w:type="pct"/>
        <w:jc w:val="right"/>
        <w:tblInd w:w="0" w:type="dxa"/>
        <w:tblLayout w:type="fixed"/>
        <w:tblCellMar>
          <w:top w:w="0" w:type="dxa"/>
          <w:left w:w="0" w:type="dxa"/>
          <w:bottom w:w="0" w:type="dxa"/>
          <w:right w:w="0" w:type="dxa"/>
        </w:tblCellMar>
      </w:tblPr>
      <w:tblGrid>
        <w:gridCol w:w="4579"/>
        <w:gridCol w:w="179"/>
        <w:gridCol w:w="4222"/>
      </w:tblGrid>
      <w:tr>
        <w:trPr/>
        <w:tc>
          <w:tcPr>
            <w:tcW w:w="4579"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4222" w:type="dxa"/>
            <w:tcBorders/>
            <w:vAlign w:val="center"/>
          </w:tcPr>
          <w:p>
            <w:pPr>
              <w:pStyle w:val="TableContents"/>
              <w:bidi w:val="0"/>
              <w:spacing w:before="0" w:after="283"/>
              <w:jc w:val="left"/>
              <w:rPr>
                <w:sz w:val="4"/>
                <w:szCs w:val="4"/>
              </w:rPr>
            </w:pPr>
            <w:r>
              <w:rPr>
                <w:sz w:val="4"/>
                <w:szCs w:val="4"/>
              </w:rPr>
            </w:r>
          </w:p>
        </w:tc>
      </w:tr>
      <w:tr>
        <w:trPr/>
        <w:tc>
          <w:tcPr>
            <w:tcW w:w="45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79" w:type="dxa"/>
            <w:tcBorders/>
            <w:vAlign w:val="bottom"/>
          </w:tcPr>
          <w:p>
            <w:pPr>
              <w:pStyle w:val="TableContents"/>
              <w:bidi w:val="0"/>
              <w:spacing w:before="0" w:after="283"/>
              <w:jc w:val="left"/>
              <w:rPr/>
            </w:pPr>
            <w:r>
              <w:rPr/>
              <w:t>  </w:t>
            </w:r>
          </w:p>
        </w:tc>
        <w:tc>
          <w:tcPr>
            <w:tcW w:w="42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CVR Agreement</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2.6(a)</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CVR Fees</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2.6(c)</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D&amp;O Indemnified Parties</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6.8(a)</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Effective Time</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2.3</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Exchange Agent</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2.8</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FDA</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1.1(a)</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Final Offering</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6.7(c)</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GAAP</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3.7(a)</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Liability</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3.9</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Merger</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Recitals</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Merger Consideration</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2.5(a)(ii)</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Merger Sub</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Preamble</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Post-Closing Welfare Plan</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6.6(b)</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Privacy Policies</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3.22</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Proxy Statement</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6.1(a)</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Required Company Stockholder Vote</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3.4</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Required Aspen Stockholder Vote</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4.4</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Specified Aspen Stockholder Matters</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6.3(a)</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Surviving Corporation</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2.1</w:t>
            </w:r>
          </w:p>
        </w:tc>
      </w:tr>
      <w:tr>
        <w:trPr>
          <w:trHeight w:val="120" w:hRule="atLeast"/>
        </w:trPr>
        <w:tc>
          <w:tcPr>
            <w:tcW w:w="4579" w:type="dxa"/>
            <w:tcBorders/>
            <w:vAlign w:val="center"/>
          </w:tcPr>
          <w:p>
            <w:pPr>
              <w:pStyle w:val="TableContents"/>
              <w:bidi w:val="0"/>
              <w:spacing w:before="0" w:after="283"/>
              <w:jc w:val="left"/>
              <w:rPr>
                <w:sz w:val="4"/>
                <w:szCs w:val="4"/>
              </w:rPr>
            </w:pPr>
            <w:r>
              <w:rPr>
                <w:sz w:val="4"/>
                <w:szCs w:val="4"/>
              </w:rPr>
            </w:r>
          </w:p>
        </w:tc>
        <w:tc>
          <w:tcPr>
            <w:tcW w:w="4401" w:type="dxa"/>
            <w:gridSpan w:val="2"/>
            <w:tcBorders/>
            <w:vAlign w:val="center"/>
          </w:tcPr>
          <w:p>
            <w:pPr>
              <w:pStyle w:val="TableContents"/>
              <w:bidi w:val="0"/>
              <w:spacing w:before="0" w:after="283"/>
              <w:jc w:val="left"/>
              <w:rPr>
                <w:sz w:val="4"/>
                <w:szCs w:val="4"/>
              </w:rPr>
            </w:pPr>
            <w:r>
              <w:rPr>
                <w:sz w:val="4"/>
                <w:szCs w:val="4"/>
              </w:rPr>
            </w:r>
          </w:p>
        </w:tc>
      </w:tr>
      <w:tr>
        <w:trPr/>
        <w:tc>
          <w:tcPr>
            <w:tcW w:w="4579" w:type="dxa"/>
            <w:tcBorders/>
          </w:tcPr>
          <w:p>
            <w:pPr>
              <w:pStyle w:val="TableContents"/>
              <w:bidi w:val="0"/>
              <w:spacing w:before="0" w:after="283"/>
              <w:jc w:val="left"/>
              <w:rPr/>
            </w:pPr>
            <w:r>
              <w:rPr/>
              <w:t>Tax Certificates</w:t>
            </w:r>
          </w:p>
        </w:tc>
        <w:tc>
          <w:tcPr>
            <w:tcW w:w="179" w:type="dxa"/>
            <w:tcBorders/>
            <w:vAlign w:val="bottom"/>
          </w:tcPr>
          <w:p>
            <w:pPr>
              <w:pStyle w:val="TableContents"/>
              <w:bidi w:val="0"/>
              <w:spacing w:before="0" w:after="283"/>
              <w:jc w:val="left"/>
              <w:rPr/>
            </w:pPr>
            <w:r>
              <w:rPr/>
              <w:t>  </w:t>
            </w:r>
          </w:p>
        </w:tc>
        <w:tc>
          <w:tcPr>
            <w:tcW w:w="4222" w:type="dxa"/>
            <w:tcBorders/>
          </w:tcPr>
          <w:p>
            <w:pPr>
              <w:pStyle w:val="TableContents"/>
              <w:bidi w:val="0"/>
              <w:spacing w:before="0" w:after="283"/>
              <w:jc w:val="left"/>
              <w:rPr/>
            </w:pPr>
            <w:r>
              <w:rPr/>
              <w:t>6.11(c)</w:t>
            </w:r>
          </w:p>
        </w:tc>
      </w:tr>
    </w:tbl>
    <w:p>
      <w:pPr>
        <w:pStyle w:val="TextBody"/>
        <w:bidi w:val="0"/>
        <w:spacing w:before="240" w:after="0"/>
        <w:jc w:val="left"/>
        <w:rPr>
          <w:rFonts w:ascii="Times New Roman" w:hAnsi="Times New Roman"/>
          <w:sz w:val="20"/>
        </w:rPr>
      </w:pPr>
      <w:bookmarkStart w:id="210" w:name="annxa770053_3"/>
      <w:bookmarkEnd w:id="210"/>
      <w:r>
        <w:rPr>
          <w:rFonts w:ascii="Times New Roman" w:hAnsi="Times New Roman"/>
          <w:sz w:val="20"/>
        </w:rPr>
        <w:t xml:space="preserve">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Aspen Disclosure Schedule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Schedule or the Aspen Disclosure Schedule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(a)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w:t>
      </w:r>
    </w:p>
    <w:p>
      <w:pPr>
        <w:pStyle w:val="TextBody"/>
        <w:bidi w:val="0"/>
        <w:spacing w:before="240" w:after="0"/>
        <w:jc w:val="left"/>
        <w:rPr>
          <w:rFonts w:ascii="Times New Roman" w:hAnsi="Times New Roman"/>
          <w:sz w:val="20"/>
        </w:rPr>
      </w:pPr>
      <w:bookmarkStart w:id="211" w:name="annxa770053_4"/>
      <w:bookmarkEnd w:id="211"/>
      <w:r>
        <w:rPr>
          <w:rFonts w:ascii="Times New Roman" w:hAnsi="Times New Roman"/>
          <w:sz w:val="20"/>
        </w:rPr>
        <w:t xml:space="preserve">Section 2. </w:t>
      </w:r>
      <w:r>
        <w:rPr>
          <w:rFonts w:ascii="Times New Roman" w:hAnsi="Times New Roman"/>
          <w:sz w:val="20"/>
          <w:u w:val="single"/>
        </w:rPr>
        <w:t>Description of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2" w:name="annxa770053_5"/>
      <w:bookmarkEnd w:id="212"/>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3" w:name="annxa770053_6"/>
      <w:bookmarkEnd w:id="213"/>
      <w:r>
        <w:rPr>
          <w:rFonts w:ascii="Times New Roman" w:hAnsi="Times New Roman"/>
          <w:sz w:val="20"/>
        </w:rPr>
        <w:t xml:space="preserve">2.2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and in the applicable provisions of the DGCL. As a result of the Merger, the Company will become a wholly owned subsidiary of Aspen. </w:t>
      </w:r>
    </w:p>
    <w:p>
      <w:pPr>
        <w:pStyle w:val="TextBody"/>
        <w:bidi w:val="0"/>
        <w:spacing w:before="240" w:after="0"/>
        <w:jc w:val="left"/>
        <w:rPr>
          <w:rFonts w:ascii="Times New Roman" w:hAnsi="Times New Roman"/>
          <w:sz w:val="20"/>
        </w:rPr>
      </w:pPr>
      <w:bookmarkStart w:id="214" w:name="annxa770053_7"/>
      <w:bookmarkEnd w:id="214"/>
      <w:r>
        <w:rPr>
          <w:rFonts w:ascii="Times New Roman" w:hAnsi="Times New Roman"/>
          <w:sz w:val="20"/>
        </w:rPr>
        <w:t xml:space="preserve">2.3 </w:t>
      </w:r>
      <w:r>
        <w:rPr>
          <w:rFonts w:ascii="Times New Roman" w:hAnsi="Times New Roman"/>
          <w:sz w:val="20"/>
          <w:u w:val="single"/>
        </w:rPr>
        <w:t>Closing;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10.1</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other than those conditions that by their nature are to be satisfied at the Closing, but subject to the satisfaction or waiver of each of such conditions), or at such other time, date and place as Aspen and the Company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At the Closing, the Parties shall cause the Merger to be consummated by executing and filing with the Secretary of State of the State of Delaware a certificate of merger with respect to the Merger, satisfying the applicable requirements of the DGCL and in form and substance as agreed to by the Parties (the </w:t>
      </w:r>
      <w:r>
        <w:rPr>
          <w:rFonts w:ascii="Times New Roman" w:hAnsi="Times New Roman"/>
          <w:b/>
          <w:sz w:val="20"/>
        </w:rPr>
        <w:t>Certificate of Merger</w:t>
      </w:r>
      <w:r>
        <w:rPr>
          <w:rFonts w:ascii="Times New Roman" w:hAnsi="Times New Roman"/>
          <w:sz w:val="20"/>
        </w:rPr>
        <w:t>). The Merger shall become effective at the time of the filing of such Certificate of Merger with the Secretary of State of the State of Delaware or at such later time as may be specified in such Certificate of Merger with the consent of Aspen and the Company (the time as of which the Merger becomes effective being referred to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5" w:name="annxa770053_8"/>
      <w:bookmarkEnd w:id="215"/>
      <w:r>
        <w:rPr>
          <w:rFonts w:ascii="Times New Roman" w:hAnsi="Times New Roman"/>
          <w:sz w:val="20"/>
        </w:rPr>
        <w:t xml:space="preserve">2.4 </w:t>
      </w:r>
      <w:r>
        <w:rPr>
          <w:rFonts w:ascii="Times New Roman" w:hAnsi="Times New Roman"/>
          <w:sz w:val="20"/>
          <w:u w:val="single"/>
        </w:rPr>
        <w:t>Organizational Documents; Directors and Officers</w:t>
      </w:r>
      <w:r>
        <w:rPr>
          <w:rFonts w:ascii="Times New Roman" w:hAnsi="Times New Roman"/>
          <w:sz w:val="20"/>
        </w:rPr>
        <w:t xml:space="preserv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 the certificate of incorporation of the Surviving Corporation shall be amended and restated in the Merger to read as set forth on Exhibit A to the Certificate of Merger, until thereafter amended as provided by the DGCL and such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certificate of incorporation of Aspen shall be identical to the certificate of incorporation of Aspen immediately prior to the Effective Time, until thereafter amended as provided by the DGCL and such certificate of incorporation;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Effective Time, Aspen shall file an amendment to its certificate of incorporation to (i) change the name of Aspen to Tectonic Therapeutic, Inc., (ii) effect the Nasdaq Reverse Split, and (iii) make such other changes as are mutually agreeable to Aspen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bylaws of the Surviving Corporation shall be identical to the bylaws of Merger Sub as in effect immediately prior to the Effective Time, until thereafter amended as provided by the DGCL and such bylaws; </w:t>
      </w:r>
    </w:p>
    <w:p>
      <w:pPr>
        <w:pStyle w:val="TextBody"/>
        <w:bidi w:val="0"/>
        <w:spacing w:before="240" w:after="0"/>
        <w:jc w:val="left"/>
        <w:rPr>
          <w:rFonts w:ascii="Times New Roman" w:hAnsi="Times New Roman"/>
          <w:sz w:val="20"/>
        </w:rPr>
      </w:pPr>
      <w:r>
        <w:rPr>
          <w:rFonts w:ascii="Times New Roman" w:hAnsi="Times New Roman"/>
          <w:sz w:val="20"/>
        </w:rPr>
        <w:t xml:space="preserve">(d) the directors and officers of Aspen, each to hold office in accordance with the certificate of incorporation and bylaws of Aspen, shall be as set forth in </w:t>
      </w:r>
      <w:r>
        <w:rPr>
          <w:rFonts w:ascii="Times New Roman" w:hAnsi="Times New Roman"/>
          <w:sz w:val="20"/>
          <w:u w:val="single"/>
        </w:rPr>
        <w:t>Section 6.13</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(e) the directors and officers of the Surviving Corporation, each to hold office in accordance with the certificate of incorporation and bylaws of Merger Sub, shall be as set forth in </w:t>
      </w:r>
      <w:r>
        <w:rPr>
          <w:rFonts w:ascii="Times New Roman" w:hAnsi="Times New Roman"/>
          <w:sz w:val="20"/>
          <w:u w:val="single"/>
        </w:rPr>
        <w:t>Section 6.13</w:t>
      </w:r>
      <w:r>
        <w:rPr>
          <w:rFonts w:ascii="Times New Roman" w:hAnsi="Times New Roman"/>
          <w:sz w:val="20"/>
        </w:rPr>
        <w:t> after giving effect to the provisions of </w:t>
      </w:r>
      <w:r>
        <w:rPr>
          <w:rFonts w:ascii="Times New Roman" w:hAnsi="Times New Roman"/>
          <w:sz w:val="20"/>
          <w:u w:val="single"/>
        </w:rPr>
        <w:t>Section 6.13</w:t>
      </w:r>
      <w:r>
        <w:rPr>
          <w:rFonts w:ascii="Times New Roman" w:hAnsi="Times New Roman"/>
          <w:sz w:val="20"/>
        </w:rPr>
        <w:t xml:space="preserve">, or such other persons as shall be mutually agreed upon by Aspen and the Company. </w:t>
      </w:r>
    </w:p>
    <w:p>
      <w:pPr>
        <w:pStyle w:val="TextBody"/>
        <w:bidi w:val="0"/>
        <w:spacing w:before="240" w:after="0"/>
        <w:jc w:val="left"/>
        <w:rPr>
          <w:rFonts w:ascii="Times New Roman" w:hAnsi="Times New Roman"/>
          <w:sz w:val="20"/>
        </w:rPr>
      </w:pPr>
      <w:bookmarkStart w:id="216" w:name="annxa770053_9"/>
      <w:bookmarkEnd w:id="216"/>
      <w:r>
        <w:rPr>
          <w:rFonts w:ascii="Times New Roman" w:hAnsi="Times New Roman"/>
          <w:sz w:val="20"/>
        </w:rPr>
        <w:t xml:space="preserve">2.5 </w:t>
      </w:r>
      <w:r>
        <w:rPr>
          <w:rFonts w:ascii="Times New Roman" w:hAnsi="Times New Roman"/>
          <w:sz w:val="20"/>
          <w:u w:val="single"/>
        </w:rPr>
        <w:t>Conversion of Company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(after giving effect to the Company SAFEs Conversion and the Company Preferred Stock Conversion), by virtue of the Merger and without any further action on the part of Aspen, Merger Sub, the Company or any stockholder of the Company or Aspen: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Effective Time shall be canceled and retired and shall cease to exist, and no consideration shall be delivered in exchange therefor;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outstanding immediately prior to the Effective Time (excluding (a) shares to be canceled pursuant to </w:t>
      </w:r>
      <w:r>
        <w:rPr>
          <w:rFonts w:ascii="Times New Roman" w:hAnsi="Times New Roman"/>
          <w:sz w:val="20"/>
          <w:u w:val="single"/>
        </w:rPr>
        <w:t>Section 2.5(a)(i)</w:t>
      </w:r>
      <w:r>
        <w:rPr>
          <w:rFonts w:ascii="Times New Roman" w:hAnsi="Times New Roman"/>
          <w:sz w:val="20"/>
        </w:rPr>
        <w:t xml:space="preserve">, and (b) Dissenting Shares, but, for the avoidance of doubt, including (A) Concurrent Investment Company Shares and (B) shares of Company Common Stock issued in respect of the Company Preferred Stock Conversion) shall be converted solely into the right to receive a number of shares of Aspen Common Stock equal to the product of (x) the Exchange Ratio </w:t>
      </w:r>
      <w:r>
        <w:rPr>
          <w:rFonts w:ascii="Times New Roman" w:hAnsi="Times New Roman"/>
          <w:i/>
          <w:sz w:val="20"/>
          <w:u w:val="single"/>
        </w:rPr>
        <w:t>multiplied by</w:t>
      </w:r>
      <w:r>
        <w:rPr>
          <w:rFonts w:ascii="Times New Roman" w:hAnsi="Times New Roman"/>
          <w:sz w:val="20"/>
        </w:rPr>
        <w:t xml:space="preserve"> (y) such share of Company Capital Stock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there are any shares of Company Restricted Stock outstanding immediately prior to the Effective Time, then the shares of Aspen Common Stock issued in exchange for such shares of Company Restricted Stock will to the same extent be unvested and subject to the same repurchase option or risk of forfeiture, and such shares of Aspen Common Stock shall accordingly be marked with appropriate legends. The Company shall take all actions that may be necessary to ensure that, from and after the Effective Time, Aspen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Aspen Common Stock shall be issued in connection with the Merger, and no certificates or scrip for any such fractional shares shall be issued. Any holder of Company Capital Stock (including Concurrent Investors) who would otherwise be entitled to receive a fraction of a share of Aspen Common Stock (after aggregating all fractional shares of Aspen Common Stock issuable to such holder) shall receive from Aspen, in lieu of such fractional share and upon surrender by such holder of a letter of transmittal in accordance with Section 2.8 and any accompanying documents as required therein: (i) one share of Aspen Common Stock if the aggregate amount of fractional shares of Aspen Common Stock such holder of Company Capital Stock would otherwise be entitled to is equal to or exceeds 0.50; or (ii) no shares of Aspen Common Stock if the aggregate amount of fractional shares of Aspen Common Stock such holder of Company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would otherwise be entitled to is less than 0.50, with no cash being paid for any fractional share eliminated by such rounding.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outstanding immediately prior to the Effective Time shall be treated in accordance with </w:t>
      </w:r>
      <w:r>
        <w:rPr>
          <w:rFonts w:ascii="Times New Roman" w:hAnsi="Times New Roman"/>
          <w:sz w:val="20"/>
          <w:u w:val="single"/>
        </w:rPr>
        <w:t>Section 6.5(a)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$0.0001 par value per share, of Merger Sub issued and outstanding immediately prior to the Effective Time shall be converted into and exchanged for one validly issued, fully paid and nonassessable share of common stock, $0.0001 par value per share, of the Surviving Corporation. Each book entry share of Merger Sub evidencing ownership of any such shares shall, as of the Effective Time, evidence ownership of such shares of common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Effective Time, the outstanding Company Capital Stock or Aspen Common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and Aspen Common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Aspen to take any action with respect to Company Capital Stock or Aspen Common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(g) All Company SAFEs shall be converted, at the same price per share at which the Concurrent Investment Company Shares are sold pursuant to the Subscription Agreement (which shall be the Public Offering/Conversion Price as defined in the Company SAFEs), into Company Common Stock as of immediately following the Company Preferred Stock Conversion and immediately prior to the Subscription Agreement Concurrent Investment and at the Specified Time in accordance with, and otherwise pursuant to the terms and conditions of, the Company SAFEs (the </w:t>
      </w:r>
      <w:r>
        <w:rPr>
          <w:rFonts w:ascii="Times New Roman" w:hAnsi="Times New Roman"/>
          <w:b/>
          <w:sz w:val="20"/>
        </w:rPr>
        <w:t>Company SAFEs Conversion</w:t>
      </w:r>
      <w:r>
        <w:rPr>
          <w:rFonts w:ascii="Times New Roman" w:hAnsi="Times New Roman"/>
          <w:sz w:val="20"/>
        </w:rPr>
        <w:t xml:space="preserve">). All of the Company SAFEs so converted into shares of Company Common Stock shall no longer be outstanding and shall cease to exist, and each holder of Company SAFEs shall thereafter cease to have any rights with respect to Company SAFEs. Following the Company SAFEs Conversion, at the Effective Time and by virtue of the Merger, all shares of Company Common Stock issued in the Company SAFEs Conversion shall be canceled and converted into the right to receive Aspen Common Stock pursuant to this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All Company Preferred Stock shall be converted into Company Common Stock as of immediately prior to Company SAFEs Conversion (which Company SAFEs Conversion shall occur immediately prior to the Subscription Agreement Concurrent Investment) and at the Specified Time in accordance with, and pursuant to the terms and conditions of, the Organizational Documents of the Company (the </w:t>
      </w:r>
      <w:r>
        <w:rPr>
          <w:rFonts w:ascii="Times New Roman" w:hAnsi="Times New Roman"/>
          <w:b/>
          <w:sz w:val="20"/>
        </w:rPr>
        <w:t>Company Preferred Stock Conversion</w:t>
      </w:r>
      <w:r>
        <w:rPr>
          <w:rFonts w:ascii="Times New Roman" w:hAnsi="Times New Roman"/>
          <w:sz w:val="20"/>
        </w:rPr>
        <w:t xml:space="preserve">). All of the Company Preferred Stock so converted into shares of Company Common Stock shall no longer be outstanding and shall cease to exist, and each holder of Company Preferred Stock shall thereafter cease to have any rights with respect to Company Preferred Stock. Following the Company Preferred Stock Conversion, at the Effective Time and by virtue of the Merger, all shares of Company Common Stock issued in the Company Preferred Stock Conversion shall be canceled and converted into the right to receive Aspen Common Stock pursuant to this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7" w:name="annxa770053_10"/>
      <w:bookmarkEnd w:id="217"/>
      <w:r>
        <w:rPr>
          <w:rFonts w:ascii="Times New Roman" w:hAnsi="Times New Roman"/>
          <w:sz w:val="20"/>
        </w:rPr>
        <w:t xml:space="preserve">2.6 </w:t>
      </w:r>
      <w:r>
        <w:rPr>
          <w:rFonts w:ascii="Times New Roman" w:hAnsi="Times New Roman"/>
          <w:sz w:val="20"/>
          <w:u w:val="single"/>
        </w:rPr>
        <w:t>Contingent Value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Aspen shall declare a distribution (the </w:t>
      </w:r>
      <w:r>
        <w:rPr>
          <w:rFonts w:ascii="Times New Roman" w:hAnsi="Times New Roman"/>
          <w:b/>
          <w:sz w:val="20"/>
        </w:rPr>
        <w:t>Closing Distribution</w:t>
      </w:r>
      <w:r>
        <w:rPr>
          <w:rFonts w:ascii="Times New Roman" w:hAnsi="Times New Roman"/>
          <w:sz w:val="20"/>
        </w:rPr>
        <w:t xml:space="preserve">) to holders of Aspen Common Stock of record as of immediately prior to the Effective Time (including, for the avoidance of doubt, those shares of Aspen Common Stock issued upon settlement of Aspen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Units pursuant to </w:t>
      </w:r>
      <w:r>
        <w:rPr>
          <w:rFonts w:ascii="Times New Roman" w:hAnsi="Times New Roman"/>
          <w:sz w:val="20"/>
          <w:u w:val="single"/>
        </w:rPr>
        <w:t>Section 6.7</w:t>
      </w:r>
      <w:r>
        <w:rPr>
          <w:rFonts w:ascii="Times New Roman" w:hAnsi="Times New Roman"/>
          <w:sz w:val="20"/>
        </w:rPr>
        <w:t>) of the right to receive one contingent value right (each, a </w:t>
      </w:r>
      <w:r>
        <w:rPr>
          <w:rFonts w:ascii="Times New Roman" w:hAnsi="Times New Roman"/>
          <w:b/>
          <w:sz w:val="20"/>
        </w:rPr>
        <w:t>CVR</w:t>
      </w:r>
      <w:r>
        <w:rPr>
          <w:rFonts w:ascii="Times New Roman" w:hAnsi="Times New Roman"/>
          <w:sz w:val="20"/>
        </w:rPr>
        <w:t xml:space="preserve">) for each outstanding share of Aspen Common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CVR Agreement</w:t>
      </w:r>
      <w:r>
        <w:rPr>
          <w:rFonts w:ascii="Times New Roman" w:hAnsi="Times New Roman"/>
          <w:sz w:val="20"/>
        </w:rPr>
        <w:t xml:space="preserve">), with such reasonable revisions thereto requested by the Rights Agent that are not individually or in the aggregate materially detrimental to the holders of CVRs and are reasonably acceptable to Aspen and the Company. The record date for the Closing Distribution shall be the close of business on the Business Day immediately prior to the day on which the Effective Time occurs and the payment date for which shall be three (3) Business Days after the Effective Time; provided that the payment of such distribution may be conditioned upon the occurrence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Aspen and the Exchange Agent shall, at or prior to the Effective Time, duly authorize, execute and deliver the CVR Agreement, subject to any reasonable revisions to the CVR Agreement that are requested by such Exchange Agent and are reasonably acceptable to the Company and Aspen. </w:t>
      </w:r>
    </w:p>
    <w:p>
      <w:pPr>
        <w:pStyle w:val="TextBody"/>
        <w:bidi w:val="0"/>
        <w:spacing w:before="240" w:after="0"/>
        <w:jc w:val="left"/>
        <w:rPr>
          <w:rFonts w:ascii="Times New Roman" w:hAnsi="Times New Roman"/>
          <w:sz w:val="20"/>
        </w:rPr>
      </w:pPr>
      <w:r>
        <w:rPr>
          <w:rFonts w:ascii="Times New Roman" w:hAnsi="Times New Roman"/>
          <w:sz w:val="20"/>
        </w:rPr>
        <w:t xml:space="preserve">(c) Aspen shall pay all costs and fees associated with any action contemplated by this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b/>
          <w:sz w:val="20"/>
        </w:rPr>
        <w:t>CVR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8" w:name="annxa770053_11"/>
      <w:bookmarkEnd w:id="218"/>
      <w:r>
        <w:rPr>
          <w:rFonts w:ascii="Times New Roman" w:hAnsi="Times New Roman"/>
          <w:sz w:val="20"/>
        </w:rPr>
        <w:t xml:space="preserve">2.7 </w:t>
      </w:r>
      <w:r>
        <w:rPr>
          <w:rFonts w:ascii="Times New Roman" w:hAnsi="Times New Roman"/>
          <w:sz w:val="20"/>
          <w:u w:val="single"/>
        </w:rPr>
        <w:t>Closing of the Companys Transfer Books</w:t>
      </w:r>
      <w:r>
        <w:rPr>
          <w:rFonts w:ascii="Times New Roman" w:hAnsi="Times New Roman"/>
          <w:sz w:val="20"/>
        </w:rPr>
        <w:t xml:space="preserve">. At the Effective Time: (a) all Company Capital Stock outstanding immediately prior to the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Effective Time shall cease to have any rights as stockholders of the Company, other than the right to receive the Merger Consideration pursuant to </w:t>
      </w:r>
      <w:r>
        <w:rPr>
          <w:rFonts w:ascii="Times New Roman" w:hAnsi="Times New Roman"/>
          <w:sz w:val="20"/>
          <w:u w:val="single"/>
        </w:rPr>
        <w:t>Section 2.5</w:t>
      </w:r>
      <w:r>
        <w:rPr>
          <w:rFonts w:ascii="Times New Roman" w:hAnsi="Times New Roman"/>
          <w:sz w:val="20"/>
        </w:rPr>
        <w:t xml:space="preserve">, and (b) the stock transfer books of the Company shall be closed with respect to all Company Capital Stock outstanding immediately prior to the Effective Time. No further transfer of any such Company Capital Stock shall be made on such stock transfer books after the Effective Time. </w:t>
      </w:r>
    </w:p>
    <w:p>
      <w:pPr>
        <w:pStyle w:val="TextBody"/>
        <w:bidi w:val="0"/>
        <w:spacing w:before="240" w:after="0"/>
        <w:jc w:val="left"/>
        <w:rPr>
          <w:rFonts w:ascii="Times New Roman" w:hAnsi="Times New Roman"/>
          <w:sz w:val="20"/>
        </w:rPr>
      </w:pPr>
      <w:bookmarkStart w:id="219" w:name="annxa770053_12"/>
      <w:bookmarkEnd w:id="219"/>
      <w:r>
        <w:rPr>
          <w:rFonts w:ascii="Times New Roman" w:hAnsi="Times New Roman"/>
          <w:sz w:val="20"/>
        </w:rPr>
        <w:t xml:space="preserve">2.8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Aspen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Effective Time, Aspen shall deposit with the Exchange Agent evidence of book-entry shares representing the shares of Aspen Common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Effective Time, the Parties shall cause the Exchange Agent to transmit to the Persons who were record holders of shares of Company Capital Stock that were converted into the right to receive the Merger Consideration: (i) a letter of transmittal in customary form and containing such provisions as Aspen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or uncertificated shares of Company Capital Stock, in exchange for book-entry shares of Aspen Common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Aspen: (A) the holder of such Company Stock Certificate or uncertificated shares of Company Capital Stock shall be entitled to receive in exchange therefor book-entry shares representing the Merger Consideration (in a number of whole shares of Aspen Common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and (B) the Company Stock Certificate or uncertificated shares of Company Capital Stock so surrendered shall be canceled. Until surrendered as contemplated by this </w:t>
      </w:r>
      <w:r>
        <w:rPr>
          <w:rFonts w:ascii="Times New Roman" w:hAnsi="Times New Roman"/>
          <w:sz w:val="20"/>
          <w:u w:val="single"/>
        </w:rPr>
        <w:t>Section 2.8(b)</w:t>
      </w:r>
      <w:r>
        <w:rPr>
          <w:rFonts w:ascii="Times New Roman" w:hAnsi="Times New Roman"/>
          <w:sz w:val="20"/>
        </w:rPr>
        <w:t xml:space="preserve">, each Company Stock Certificate or uncertificated shares of Company Capital Stock shall be deemed, from and after the Effective Time, to represent only the right to receive book-entry shares of Aspen Common Stock representing the Merger Consideration. If any Company Stock Certificate shall have been lost, stolen or destroyed, Aspen may, in its discretion and as a condition precedent to the delivery of any shares of Aspen Common Stock,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 of such lost, stolen or destroyed Company Stock Certificate to provide an applicable affidavit with respect to such Company Stock Certificate and post a bond indemnifying Aspen against any claim suffered by Aspen related to the lost, stolen or destroyed Company Stock Certificate or any Aspen Common Stock issued in exchange therefor as Aspen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Aspen Common Stock with a record date after the Effective Time shall be paid to the holder of any unsurrendered Company Stock Certificate with respect to the shares of Aspen Common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2.8</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Aspen Common Stock deposited with the Exchange Agent that remain undistributed to holders of Company Stock Certificates as of the date that is one hundred eighty (180) days after the Closing Date shall be delivered to Aspen upon demand, and any holders of Company Stock Certificates who have not theretofore surrendered their Company Stock Certificates or uncertificated shares of Company Capital Stock in accordance with this </w:t>
      </w:r>
      <w:r>
        <w:rPr>
          <w:rFonts w:ascii="Times New Roman" w:hAnsi="Times New Roman"/>
          <w:sz w:val="20"/>
          <w:u w:val="single"/>
        </w:rPr>
        <w:t>Section 2.8</w:t>
      </w:r>
      <w:r>
        <w:rPr>
          <w:rFonts w:ascii="Times New Roman" w:hAnsi="Times New Roman"/>
          <w:sz w:val="20"/>
        </w:rPr>
        <w:t xml:space="preserve"> shall thereafter look only to Aspen for satisfaction of their claims for Aspen Common Stock and any dividends or distributions with respect to shares of Aspen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No Party shall be liable to any holder of any Company Stock Certificate or uncertificated shares of Company Capital Stock or to any other Person with respect to any shares of Aspen Common Stock (or dividends or distributions with respect thereto) or for any cash amounts delivered to any public official pursuant to any applicable abandoned property Law, escheat Law or similar Law. </w:t>
      </w:r>
    </w:p>
    <w:p>
      <w:pPr>
        <w:pStyle w:val="TextBody"/>
        <w:bidi w:val="0"/>
        <w:spacing w:before="240" w:after="0"/>
        <w:jc w:val="left"/>
        <w:rPr>
          <w:rFonts w:ascii="Times New Roman" w:hAnsi="Times New Roman"/>
          <w:sz w:val="20"/>
        </w:rPr>
      </w:pPr>
      <w:bookmarkStart w:id="220" w:name="annxa770053_13"/>
      <w:bookmarkEnd w:id="220"/>
      <w:r>
        <w:rPr>
          <w:rFonts w:ascii="Times New Roman" w:hAnsi="Times New Roman"/>
          <w:sz w:val="20"/>
        </w:rPr>
        <w:t xml:space="preserve">2.9 </w:t>
      </w:r>
      <w:r>
        <w:rPr>
          <w:rFonts w:ascii="Times New Roman" w:hAnsi="Times New Roman"/>
          <w:sz w:val="20"/>
          <w:u w:val="single"/>
        </w:rPr>
        <w:t>Calculation of Net Cash and Company Equity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five (5) Business Days before the Closing Date, Aspen will deliver to the Company a schedule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Net Cash Schedule</w:t>
      </w:r>
      <w:r>
        <w:rPr>
          <w:rFonts w:ascii="Times New Roman" w:hAnsi="Times New Roman"/>
          <w:sz w:val="20"/>
        </w:rPr>
        <w:t>) setting forth, in reasonable detail, Aspens good faith, estimated calculation of Aspen Net Cash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Net Cash Calculation</w:t>
      </w:r>
      <w:r>
        <w:rPr>
          <w:rFonts w:ascii="Times New Roman" w:hAnsi="Times New Roman"/>
          <w:sz w:val="20"/>
        </w:rPr>
        <w:t>) as of 11:59 p.m. on the last Business Day prior to the Anticipated Closing Date (the </w:t>
      </w:r>
      <w:r>
        <w:rPr>
          <w:rFonts w:ascii="Times New Roman" w:hAnsi="Times New Roman"/>
          <w:b/>
          <w:sz w:val="20"/>
        </w:rPr>
        <w:t>Cash</w:t>
      </w:r>
      <w:r>
        <w:rPr>
          <w:rFonts w:ascii="Times New Roman" w:hAnsi="Times New Roman"/>
          <w:sz w:val="20"/>
        </w:rPr>
        <w:t xml:space="preserve"> </w:t>
      </w:r>
      <w:r>
        <w:rPr>
          <w:rFonts w:ascii="Times New Roman" w:hAnsi="Times New Roman"/>
          <w:b/>
          <w:sz w:val="20"/>
        </w:rPr>
        <w:t>Determination Time</w:t>
      </w:r>
      <w:r>
        <w:rPr>
          <w:rFonts w:ascii="Times New Roman" w:hAnsi="Times New Roman"/>
          <w:sz w:val="20"/>
        </w:rPr>
        <w:t xml:space="preserve">) prepared and certified by Aspens chief financial officer (or if there is no chief financial officer at such time, the principal financial and accounting officer for Aspen). Aspen shall make available to the Company (electronically to the greatest extent possible), as reasonably requested by the Company, the work papers and back-up materials used in preparing the Aspen Net Cash Schedule and, if reasonably requested by the Company, Aspens accountants at reasonable times and upon reasonable notice. The Aspen Net Cash Calculation shall include Aspens determination, as of the Cash Determination Time, of the defined terms in </w:t>
      </w:r>
      <w:r>
        <w:rPr>
          <w:rFonts w:ascii="Times New Roman" w:hAnsi="Times New Roman"/>
          <w:sz w:val="20"/>
          <w:u w:val="single"/>
        </w:rPr>
        <w:t>Section 1.1(a)</w:t>
      </w:r>
      <w:r>
        <w:rPr>
          <w:rFonts w:ascii="Times New Roman" w:hAnsi="Times New Roman"/>
          <w:sz w:val="20"/>
        </w:rPr>
        <w:t xml:space="preserve"> necessary to calculate the Exchange Ratio. </w:t>
      </w:r>
    </w:p>
    <w:p>
      <w:pPr>
        <w:pStyle w:val="TextBody"/>
        <w:bidi w:val="0"/>
        <w:spacing w:before="240" w:after="0"/>
        <w:jc w:val="left"/>
        <w:rPr>
          <w:rFonts w:ascii="Times New Roman" w:hAnsi="Times New Roman"/>
          <w:sz w:val="20"/>
        </w:rPr>
      </w:pPr>
      <w:r>
        <w:rPr>
          <w:rFonts w:ascii="Times New Roman" w:hAnsi="Times New Roman"/>
          <w:sz w:val="20"/>
        </w:rPr>
        <w:t>(b) No later than three (3) Business Days after the Cash Determination Time (the last day of such period, the </w:t>
      </w:r>
      <w:r>
        <w:rPr>
          <w:rFonts w:ascii="Times New Roman" w:hAnsi="Times New Roman"/>
          <w:b/>
          <w:sz w:val="20"/>
        </w:rPr>
        <w:t>Response Date</w:t>
      </w:r>
      <w:r>
        <w:rPr>
          <w:rFonts w:ascii="Times New Roman" w:hAnsi="Times New Roman"/>
          <w:sz w:val="20"/>
        </w:rPr>
        <w:t>), the Company shall have the right to dispute any part of the Aspen Net Cash Calculation by delivering a written notice to that effect to Aspen (a </w:t>
      </w:r>
      <w:r>
        <w:rPr>
          <w:rFonts w:ascii="Times New Roman" w:hAnsi="Times New Roman"/>
          <w:b/>
          <w:sz w:val="20"/>
        </w:rPr>
        <w:t>Dispute Notice</w:t>
      </w:r>
      <w:r>
        <w:rPr>
          <w:rFonts w:ascii="Times New Roman" w:hAnsi="Times New Roman"/>
          <w:sz w:val="20"/>
        </w:rPr>
        <w:t xml:space="preserve">). Any Dispute Notice shall identify in reasonable detail and to the extent known the nature and amounts of any proposed revisions to the Aspen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(c) If, on or prior to the Response Date, the Company notifies Aspen in writing that it has no objections to the Aspen Net Cash Calculation or, if on the Response Date, the Company fails to deliver a Dispute Notice as provided in </w:t>
      </w:r>
      <w:r>
        <w:rPr>
          <w:rFonts w:ascii="Times New Roman" w:hAnsi="Times New Roman"/>
          <w:sz w:val="20"/>
          <w:u w:val="single"/>
        </w:rPr>
        <w:t>Section 2.9(b)</w:t>
      </w:r>
      <w:r>
        <w:rPr>
          <w:rFonts w:ascii="Times New Roman" w:hAnsi="Times New Roman"/>
          <w:sz w:val="20"/>
        </w:rPr>
        <w:t xml:space="preserve">, then the Aspen Net Cash Calculation as set forth in the Aspen Net Cash Schedule shall be deemed to have been finally determined for purposes of this Agreement and to represent the Aspen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delivers a Dispute Notice on or prior to the Response Date, then Representatives of Aspen and the Company shall promptly meet and attempt in good faith to resolve the disputed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item(s) and negotiate an agreed-upon determination of Aspen Net Cash, which agreed upon the Aspen Net Cash amount shall be deemed to have been finally determined for purposes of this Agreement and to represent the Aspen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Representatives of Aspen and the Company are unable to negotiate an agreed-upon determination of Aspen Net Cash as of the Cash Determination Time pursuant to </w:t>
      </w:r>
      <w:r>
        <w:rPr>
          <w:rFonts w:ascii="Times New Roman" w:hAnsi="Times New Roman"/>
          <w:sz w:val="20"/>
          <w:u w:val="single"/>
        </w:rPr>
        <w:t>Section 2.9(d)</w:t>
      </w:r>
      <w:r>
        <w:rPr>
          <w:rFonts w:ascii="Times New Roman" w:hAnsi="Times New Roman"/>
          <w:sz w:val="20"/>
        </w:rPr>
        <w:t xml:space="preserve"> within three (3) days after delivery of the Dispute Notice (or such other period as Aspen and the Company may mutually agree upon), then any remaining disagreements as to the calculation of Aspen Net Cash shall be referred to an independent auditor of recognized national standing jointly selected by Aspen and the Company. If the parties are unable to select an independent auditor within five (5) days, then either Aspen or the Company may thereafter request that the Boston, Massachusetts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Aspen and the Company shall promptly deliver to the Accounting Firm the work papers and back-up materials used in preparing the Aspen Net Cash Schedule and the Dispute Notice, and Aspen and the Company shall use commercially reasonable efforts to cause the Accounting Firm to make its determination within five (5) Business Days of accepting its selection. Aspen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Aspen and the Company. The determination of the Accounting Firm shall be limited to the disagreements submitted to the Accounting Firm. The determination of the amount of Aspen Net Cash made by the Accounting Firm shall be made in writing delivered to each of Aspen and the Company, shall be final and binding on Aspen and the Company and shall (absent manifest error) be deemed to have been finally determined for purposes of this Agreement and to represent the Aspen Net Cash at the Cash Determination Time for purposes of this Agreement. The Parties shall delay the Closing until the resolution of the matters described in this </w:t>
      </w:r>
      <w:r>
        <w:rPr>
          <w:rFonts w:ascii="Times New Roman" w:hAnsi="Times New Roman"/>
          <w:sz w:val="20"/>
          <w:u w:val="single"/>
        </w:rPr>
        <w:t>Section 2.9(e)</w:t>
      </w:r>
      <w:r>
        <w:rPr>
          <w:rFonts w:ascii="Times New Roman" w:hAnsi="Times New Roman"/>
          <w:sz w:val="20"/>
        </w:rPr>
        <w:t xml:space="preserve">. The fees and expenses of the Accounting Firm shall be allocated between Aspen and the Company in the same proportion that the disputed amount of the Aspen Net Cash that was unsuccessfully disputed by such Party (as finally determined by the Accounting Firm) bears to the total disputed amount of the Aspen Net Cash amount. If this </w:t>
      </w:r>
      <w:r>
        <w:rPr>
          <w:rFonts w:ascii="Times New Roman" w:hAnsi="Times New Roman"/>
          <w:sz w:val="20"/>
          <w:u w:val="single"/>
        </w:rPr>
        <w:t>Section 2.9(e)</w:t>
      </w:r>
      <w:r>
        <w:rPr>
          <w:rFonts w:ascii="Times New Roman" w:hAnsi="Times New Roman"/>
          <w:sz w:val="20"/>
        </w:rPr>
        <w:t xml:space="preserve"> applies as to the determination of the Aspen Net Cash at the Cash Determination Time, upon resolution of the matter in accordance with this </w:t>
      </w:r>
      <w:r>
        <w:rPr>
          <w:rFonts w:ascii="Times New Roman" w:hAnsi="Times New Roman"/>
          <w:sz w:val="20"/>
          <w:u w:val="single"/>
        </w:rPr>
        <w:t>Section 2.9(e)</w:t>
      </w:r>
      <w:r>
        <w:rPr>
          <w:rFonts w:ascii="Times New Roman" w:hAnsi="Times New Roman"/>
          <w:sz w:val="20"/>
        </w:rPr>
        <w:t xml:space="preserve">, the Parties shall not be required to determine Aspen Net Cash again even though the Closing may occur later than the Anticipated Closing Date, except that either Aspen and the Company may request a redetermination of Aspen Net Cash if the Closing Date is more than thirty (30) days after the Anticipated Closing Date. </w:t>
      </w:r>
    </w:p>
    <w:p>
      <w:pPr>
        <w:pStyle w:val="TextBody"/>
        <w:bidi w:val="0"/>
        <w:spacing w:before="240" w:after="0"/>
        <w:jc w:val="left"/>
        <w:rPr>
          <w:rFonts w:ascii="Times New Roman" w:hAnsi="Times New Roman"/>
          <w:sz w:val="20"/>
        </w:rPr>
      </w:pPr>
      <w:bookmarkStart w:id="221" w:name="annxa770053_14"/>
      <w:bookmarkEnd w:id="221"/>
      <w:r>
        <w:rPr>
          <w:rFonts w:ascii="Times New Roman" w:hAnsi="Times New Roman"/>
          <w:sz w:val="20"/>
        </w:rPr>
        <w:t xml:space="preserve">2.10 </w:t>
      </w:r>
      <w:r>
        <w:rPr>
          <w:rFonts w:ascii="Times New Roman" w:hAnsi="Times New Roman"/>
          <w:sz w:val="20"/>
          <w:u w:val="single"/>
        </w:rPr>
        <w:t>Further Action</w:t>
      </w:r>
      <w:r>
        <w:rPr>
          <w:rFonts w:ascii="Times New Roman" w:hAnsi="Times New Roman"/>
          <w:sz w:val="20"/>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 </w:t>
      </w:r>
    </w:p>
    <w:p>
      <w:pPr>
        <w:pStyle w:val="TextBody"/>
        <w:bidi w:val="0"/>
        <w:spacing w:before="240" w:after="0"/>
        <w:jc w:val="left"/>
        <w:rPr>
          <w:rFonts w:ascii="Times New Roman" w:hAnsi="Times New Roman"/>
          <w:sz w:val="20"/>
        </w:rPr>
      </w:pPr>
      <w:bookmarkStart w:id="222" w:name="annxa770053_15"/>
      <w:bookmarkEnd w:id="222"/>
      <w:r>
        <w:rPr>
          <w:rFonts w:ascii="Times New Roman" w:hAnsi="Times New Roman"/>
          <w:sz w:val="20"/>
        </w:rPr>
        <w:t xml:space="preserve">2.11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(i) the Merger is intended to qualify as a reorganization within the meaning of Section 368(a) of the Code and the Treasury Regulations thereunder to which Aspen and the Company are parties under Section 368(b) of the Code, and (ii) this Agreement constitutes, and the Parties hereby adopt this Agreement as, a plan of reorganization within the meaning of Treasury Regulations Sections 1.368-2(g) and 1.368-3 for purposes of Sections 354, 361 and 368 of the Code (collectively, the </w:t>
      </w:r>
      <w:r>
        <w:rPr>
          <w:rFonts w:ascii="Times New Roman" w:hAnsi="Times New Roman"/>
          <w:b/>
          <w:sz w:val="20"/>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23" w:name="annxa770053_16"/>
      <w:bookmarkEnd w:id="223"/>
      <w:r>
        <w:rPr>
          <w:rFonts w:ascii="Times New Roman" w:hAnsi="Times New Roman"/>
          <w:sz w:val="20"/>
        </w:rPr>
        <w:t xml:space="preserve">2.12 </w:t>
      </w:r>
      <w:r>
        <w:rPr>
          <w:rFonts w:ascii="Times New Roman" w:hAnsi="Times New Roman"/>
          <w:sz w:val="20"/>
          <w:u w:val="single"/>
        </w:rPr>
        <w:t>Withholding</w:t>
      </w:r>
      <w:r>
        <w:rPr>
          <w:rFonts w:ascii="Times New Roman" w:hAnsi="Times New Roman"/>
          <w:sz w:val="20"/>
        </w:rPr>
        <w:t xml:space="preserve">. Each of the Exchange Agent, Aspen and the Surviving Corporation, as applicable, shall be entitled to deduct and withhold from any consideration deliverable pursuant to this Agreement (including the Closing Distribution) to any Person such amounts as it is required to deduct or withhold from such consideration under applicable Law. To the extent such amounts are so deducted or withheld and remitted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appropriate Governmental Authority in accordance with applicable Law, such amounts shall be treated for all purposes under this Agreement as having been paid to the Person to whom such amounts would otherwise have been paid. </w:t>
      </w:r>
    </w:p>
    <w:p>
      <w:pPr>
        <w:pStyle w:val="TextBody"/>
        <w:bidi w:val="0"/>
        <w:spacing w:before="240" w:after="0"/>
        <w:jc w:val="left"/>
        <w:rPr>
          <w:rFonts w:ascii="Times New Roman" w:hAnsi="Times New Roman"/>
          <w:sz w:val="20"/>
        </w:rPr>
      </w:pPr>
      <w:bookmarkStart w:id="224" w:name="annxa770053_17"/>
      <w:bookmarkEnd w:id="224"/>
      <w:r>
        <w:rPr>
          <w:rFonts w:ascii="Times New Roman" w:hAnsi="Times New Roman"/>
          <w:sz w:val="20"/>
        </w:rPr>
        <w:t xml:space="preserve">2.13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hAnsi="Times New Roman"/>
          <w:b/>
          <w:sz w:val="20"/>
        </w:rPr>
        <w:t>Dissenting Shares</w:t>
      </w:r>
      <w:r>
        <w:rPr>
          <w:rFonts w:ascii="Times New Roman" w:hAnsi="Times New Roman"/>
          <w:sz w:val="20"/>
        </w:rPr>
        <w:t xml:space="preserve">) shall not be converted into or represent the right to receive the Merger Consideration described in </w:t>
      </w:r>
      <w:r>
        <w:rPr>
          <w:rFonts w:ascii="Times New Roman" w:hAnsi="Times New Roman"/>
          <w:sz w:val="20"/>
          <w:u w:val="single"/>
        </w:rPr>
        <w:t>Section 2.5</w:t>
      </w:r>
      <w:r>
        <w:rPr>
          <w:rFonts w:ascii="Times New Roman" w:hAnsi="Times New Roman"/>
          <w:sz w:val="20"/>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Sections 2.5</w:t>
      </w:r>
      <w:r>
        <w:rPr>
          <w:rFonts w:ascii="Times New Roman" w:hAnsi="Times New Roman"/>
          <w:sz w:val="20"/>
        </w:rPr>
        <w:t xml:space="preserve"> and </w:t>
      </w:r>
      <w:r>
        <w:rPr>
          <w:rFonts w:ascii="Times New Roman" w:hAnsi="Times New Roman"/>
          <w:sz w:val="20"/>
          <w:u w:val="single"/>
        </w:rPr>
        <w:t>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Aspen prompt written notice of any demands by dissenting stockholders received by the Company, withdrawals of such demands and any other instruments served on the Company and any material correspondence received by the Company in connection with such demands, and Aspen shall have the right to participate in all negotiations and proceedings with respect to such demands. The Company shall not, except with Aspens prior written consent, not to be unreasonably withheld, delayed or conditioned,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bookmarkStart w:id="225" w:name="annxa770053_18"/>
      <w:bookmarkEnd w:id="225"/>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3</w:t>
      </w:r>
      <w:r>
        <w:rPr>
          <w:rFonts w:ascii="Times New Roman" w:hAnsi="Times New Roman"/>
          <w:sz w:val="20"/>
        </w:rPr>
        <w:t>, except as set forth in the written disclosure schedule delivered by the Company to Aspen (the </w:t>
      </w:r>
      <w:r>
        <w:rPr>
          <w:rFonts w:ascii="Times New Roman" w:hAnsi="Times New Roman"/>
          <w:b/>
          <w:sz w:val="20"/>
        </w:rPr>
        <w:t>Company Disclosure Schedule</w:t>
      </w:r>
      <w:r>
        <w:rPr>
          <w:rFonts w:ascii="Times New Roman" w:hAnsi="Times New Roman"/>
          <w:sz w:val="20"/>
        </w:rPr>
        <w:t xml:space="preserve">), the Company represents and warrants to Aspen and Merger Sub as follows: </w:t>
      </w:r>
    </w:p>
    <w:p>
      <w:pPr>
        <w:pStyle w:val="TextBody"/>
        <w:bidi w:val="0"/>
        <w:spacing w:before="240" w:after="0"/>
        <w:jc w:val="left"/>
        <w:rPr>
          <w:rFonts w:ascii="Times New Roman" w:hAnsi="Times New Roman"/>
          <w:sz w:val="20"/>
        </w:rPr>
      </w:pPr>
      <w:bookmarkStart w:id="226" w:name="annxa770053_19"/>
      <w:bookmarkEnd w:id="226"/>
      <w:r>
        <w:rPr>
          <w:rFonts w:ascii="Times New Roman" w:hAnsi="Times New Roman"/>
          <w:sz w:val="20"/>
        </w:rPr>
        <w:t xml:space="preserve">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All of the Companys Subsidiaries are wholly owned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controls 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227" w:name="annxa770053_20"/>
      <w:bookmarkEnd w:id="227"/>
      <w:r>
        <w:rPr>
          <w:rFonts w:ascii="Times New Roman" w:hAnsi="Times New Roman"/>
          <w:sz w:val="20"/>
        </w:rPr>
        <w:t xml:space="preserve">3.2 </w:t>
      </w:r>
      <w:r>
        <w:rPr>
          <w:rFonts w:ascii="Times New Roman" w:hAnsi="Times New Roman"/>
          <w:sz w:val="20"/>
          <w:u w:val="single"/>
        </w:rPr>
        <w:t>Organizational Documents</w:t>
      </w:r>
      <w:r>
        <w:rPr>
          <w:rFonts w:ascii="Times New Roman" w:hAnsi="Times New Roman"/>
          <w:sz w:val="20"/>
        </w:rPr>
        <w:t xml:space="preserve">. The Company has delivered to Aspen accurate and complete copies of the Organizational Documents of the Company. The Company is not in breach or violation of its Organizational Documents in any material respect. </w:t>
      </w:r>
    </w:p>
    <w:p>
      <w:pPr>
        <w:pStyle w:val="TextBody"/>
        <w:bidi w:val="0"/>
        <w:spacing w:before="240" w:after="0"/>
        <w:jc w:val="left"/>
        <w:rPr>
          <w:rFonts w:ascii="Times New Roman" w:hAnsi="Times New Roman"/>
          <w:sz w:val="20"/>
        </w:rPr>
      </w:pPr>
      <w:bookmarkStart w:id="228" w:name="annxa770053_21"/>
      <w:bookmarkEnd w:id="228"/>
      <w:r>
        <w:rPr>
          <w:rFonts w:ascii="Times New Roman" w:hAnsi="Times New Roman"/>
          <w:sz w:val="20"/>
        </w:rPr>
        <w:t xml:space="preserve">3.3 </w:t>
      </w:r>
      <w:r>
        <w:rPr>
          <w:rFonts w:ascii="Times New Roman" w:hAnsi="Times New Roman"/>
          <w:sz w:val="20"/>
          <w:u w:val="single"/>
        </w:rPr>
        <w:t>Authority; Binding Nature of Agreement</w:t>
      </w:r>
      <w:r>
        <w:rPr>
          <w:rFonts w:ascii="Times New Roman" w:hAnsi="Times New Roman"/>
          <w:b/>
          <w:sz w:val="20"/>
        </w:rPr>
        <w:t>.</w:t>
      </w:r>
      <w:r>
        <w:rPr>
          <w:rFonts w:ascii="Times New Roman" w:hAnsi="Times New Roman"/>
          <w:sz w:val="20"/>
        </w:rPr>
        <w:t xml:space="preserve"> Subject to obtaining the Required Company Stockholder Vote, the Company has all necessary corporate power and authority to enter into and to perform its obligations under this Agreement and to consummate the Contemplated Transactions that are contemplated to be consummated by it.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Aspen and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bookmarkStart w:id="229" w:name="annxa770053_22"/>
      <w:bookmarkEnd w:id="229"/>
      <w:r>
        <w:rPr>
          <w:rFonts w:ascii="Times New Roman" w:hAnsi="Times New Roman"/>
          <w:sz w:val="20"/>
        </w:rPr>
        <w:t xml:space="preserve">3.4 </w:t>
      </w:r>
      <w:r>
        <w:rPr>
          <w:rFonts w:ascii="Times New Roman" w:hAnsi="Times New Roman"/>
          <w:sz w:val="20"/>
          <w:u w:val="single"/>
        </w:rPr>
        <w:t>Vote Required</w:t>
      </w:r>
      <w:r>
        <w:rPr>
          <w:rFonts w:ascii="Times New Roman" w:hAnsi="Times New Roman"/>
          <w:sz w:val="20"/>
        </w:rPr>
        <w:t>. The written consent or affirmative vote of (i) a majority of shares of Company Common Stock and Voting Preferred Stock (as defined in the Companys Amended and Restated Certificate of Incorporation), voting together as a single class and on an as-converted to Company Common Stock basis, (ii) holders of a majority of the shares of the Companys Series A-1 Preferred Stock, Series A-3 Preferred Stock and Series A-4 Preferred Stock voting together with the holders of Company Common Stock as a single class and on an as-converted to Company Common Stock basis, (iii) holders of a majority of the shares of the Companys Series A-1 Preferred Stock, Series A-3 Preferred Stock and Series A-4 Preferred Stock voting together as a single class and on an as-converted to Company Common Stock basis, are the only votes of the holders of any class or series of Company Capital Stock necessary to adopt and approve this Agreement and approve the Contemplated Transactions (collectively, the </w:t>
      </w:r>
      <w:r>
        <w:rPr>
          <w:rFonts w:ascii="Times New Roman" w:hAnsi="Times New Roman"/>
          <w:b/>
          <w:sz w:val="20"/>
        </w:rPr>
        <w:t>Required Company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30" w:name="annxa770053_23"/>
      <w:bookmarkEnd w:id="230"/>
      <w:r>
        <w:rPr>
          <w:rFonts w:ascii="Times New Roman" w:hAnsi="Times New Roman"/>
          <w:sz w:val="20"/>
        </w:rPr>
        <w:t xml:space="preserve">3.5 </w:t>
      </w:r>
      <w:r>
        <w:rPr>
          <w:rFonts w:ascii="Times New Roman" w:hAnsi="Times New Roman"/>
          <w:sz w:val="20"/>
          <w:u w:val="single"/>
        </w:rPr>
        <w:t>Non-Contravention; Consents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Companys Organizational Documents or the Company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(iv) cause a default (or an event that with notice or lapse of time or both would result in a default), give right to a right of termination, cancellation or acceleration of any obligation or loss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benefit of the Company or any of its Subsidiaries, or result in the creation of any Encumbrance (other than Permitted Encumbrances) upon any of the properties or assets of the Company or any of its Subsidiaries, in each case under any Company Material Contract and in each case except as would not be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Company Stockholder Vote, (ii) the filing of the Certificate of Merger with the Secretary of State of Delaware pursuant to the DGCL, and (iii) such consents, waivers, approvals, orders authorizations, registrations, declarations and filings as may be required under applicable federal and state securities laws, the Company was not, is not, nor will be required to make any filing with or give any notice to, or to obtain any Consent from, any Person in connection with (x) the execution, delivery or performance of this Agreement or (y) the consummation of the Contemplated Transactions (in each case except under Company Contracts that are not Company Material Contracts, and in the case of such filings, notices or Consents under Company Material Contracts, except as the failure to make such filing, give such notice or obtain such Consent would not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Board has taken and will take all actions necessary to ensure that the restrictions applicable to business combinations contained in Section 203 of the DGCL, to the extent applicable to the Company,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 </w:t>
      </w:r>
    </w:p>
    <w:p>
      <w:pPr>
        <w:pStyle w:val="TextBody"/>
        <w:bidi w:val="0"/>
        <w:spacing w:before="240" w:after="0"/>
        <w:jc w:val="left"/>
        <w:rPr>
          <w:rFonts w:ascii="Times New Roman" w:hAnsi="Times New Roman"/>
          <w:sz w:val="20"/>
        </w:rPr>
      </w:pPr>
      <w:bookmarkStart w:id="231" w:name="annxa770053_24"/>
      <w:bookmarkEnd w:id="231"/>
      <w:r>
        <w:rPr>
          <w:rFonts w:ascii="Times New Roman" w:hAnsi="Times New Roman"/>
          <w:sz w:val="20"/>
        </w:rPr>
        <w:t xml:space="preserve">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 authorized capital of the Company consists of: </w:t>
      </w:r>
    </w:p>
    <w:p>
      <w:pPr>
        <w:pStyle w:val="TextBody"/>
        <w:bidi w:val="0"/>
        <w:spacing w:before="120" w:after="0"/>
        <w:jc w:val="left"/>
        <w:rPr>
          <w:rFonts w:ascii="Times New Roman" w:hAnsi="Times New Roman"/>
          <w:sz w:val="20"/>
        </w:rPr>
      </w:pPr>
      <w:r>
        <w:rPr>
          <w:rFonts w:ascii="Times New Roman" w:hAnsi="Times New Roman"/>
          <w:sz w:val="20"/>
        </w:rPr>
        <w:t xml:space="preserve">(i) 11,947,558 shares of Company Common Stock, 2,634,714 shares of which are issued and outstanding as of the date hereof, 43,174 shares of which are Company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(ii) 6,825,483 shares of Company Preferred Stock, of which (A) 4,118,120 shares have been designated Series A-1 Preferred Stock, all of which are issued and outstanding as of the date hereof, (B) 1,649,188 shares have been designated Series A-2 Preferred Stock, all of which are issued and outstanding as of the date hereof, (C) 696,516 shares have been designated Series A-3 Preferred Stock, all of which are issued and outstanding as of the date hereof, and (D) 361,659 shares have been designated Series A-4 Preferred Stock, all of which are issued and outstanding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(iii) 1,991,264 shares of Company Common Stock which the Company has reserved for issuance to officers, directors, employees and consultants of the Company pursuant to the Companys 2019 Equity Incentive Plan. Of such reserved shares of Common Stock, no shares have been issued pursuant to restricted stock purchase agreements, 1,830,965 options to purchase shares have been granted and are currently outstanding as of the date hereof, and 47,169 shares of Common Stock remain available for issuance to officers, directors, employees and consultants pursuant to the Stock Plan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Each share of Company Preferred Stock and each Company SAFE will convert into shares of Company Common Stock in the Company Preferred Stock Conversion and Company SAFEs Conversion (as applicable) on a one-for-one basis. Except as contemplated herein, there is no Company Contract relating to the voting or registration of, or restricting any Person from purchasing, selling, pledging or otherwise disposing of (or granting any option or similar right with respect to), any Company Capital Stock.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is not under any obligation, nor is it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Schedule accurately and completely lists all repurchase rights held by the Company with respect to Company Capital Stock (including shares issued pursuant to the exercise of options) and specifies which of those repurchase rights are currently exercisable. As of the date hereof, no Company Convertible Notes other than the Company SAFEs, no Company Warrants and no Company Restricted Stock Units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3.6(c)</w:t>
      </w:r>
      <w:r>
        <w:rPr>
          <w:rFonts w:ascii="Times New Roman" w:hAnsi="Times New Roman"/>
          <w:sz w:val="20"/>
        </w:rPr>
        <w:t xml:space="preserve"> of the Company Disclosure Schedule, the Company does not have any option plan or any other plan, program, agreement or arrangement providing for an equity-based compensation for any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w:t>
      </w:r>
      <w:r>
        <w:rPr>
          <w:rFonts w:ascii="Times New Roman" w:hAnsi="Times New Roman"/>
          <w:sz w:val="20"/>
          <w:u w:val="single"/>
        </w:rPr>
        <w:t>Section 3.6(d)</w:t>
      </w:r>
      <w:r>
        <w:rPr>
          <w:rFonts w:ascii="Times New Roman" w:hAnsi="Times New Roman"/>
          <w:sz w:val="20"/>
        </w:rPr>
        <w:t xml:space="preserve"> of the Company Disclosure Schedule,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Company Capital Stock and other securities of the Company have been issued and granted in material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bookmarkStart w:id="232" w:name="annxa770053_25"/>
      <w:bookmarkEnd w:id="232"/>
      <w:r>
        <w:rPr>
          <w:rFonts w:ascii="Times New Roman" w:hAnsi="Times New Roman"/>
          <w:sz w:val="20"/>
        </w:rPr>
        <w:t xml:space="preserve">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Section 3.7(a) of the Company Disclosure Schedule includes true and complete copies of the Companys (i) consolidated audited balance sheets and related audited statements of operations, changes in statements of convertible preferred stock and stockholders deficit and cash flows, and notes thereto for the twelve (12) months ended December 31, 2022 (the </w:t>
      </w:r>
      <w:r>
        <w:rPr>
          <w:rFonts w:ascii="Times New Roman" w:hAnsi="Times New Roman"/>
          <w:b/>
          <w:sz w:val="20"/>
        </w:rPr>
        <w:t>Company Financials</w:t>
      </w:r>
      <w:r>
        <w:rPr>
          <w:rFonts w:ascii="Times New Roman" w:hAnsi="Times New Roman"/>
          <w:sz w:val="20"/>
        </w:rPr>
        <w:t>) and December 31, 2021 and (ii) consolidated unaudited balance sheets and related unaudited statements of operations, changes in statements of convertible preferred stock and stockholders deficit and cash flows, and notes thereto for the nine (9) months ended, September 30, 2022, September 30, 2023 (collectively, the </w:t>
      </w:r>
      <w:r>
        <w:rPr>
          <w:rFonts w:ascii="Times New Roman" w:hAnsi="Times New Roman"/>
          <w:b/>
          <w:sz w:val="20"/>
        </w:rPr>
        <w:t>Interim Company Financials</w:t>
      </w:r>
      <w:r>
        <w:rPr>
          <w:rFonts w:ascii="Times New Roman" w:hAnsi="Times New Roman"/>
          <w:sz w:val="20"/>
        </w:rPr>
        <w:t>). The Company Financials (A) were prepared in accordance with United States generally accepted accounting principles (</w:t>
      </w:r>
      <w:r>
        <w:rPr>
          <w:rFonts w:ascii="Times New Roman" w:hAnsi="Times New Roman"/>
          <w:b/>
          <w:sz w:val="20"/>
        </w:rPr>
        <w:t>GAAP</w:t>
      </w:r>
      <w:r>
        <w:rPr>
          <w:rFonts w:ascii="Times New Roman" w:hAnsi="Times New Roman"/>
          <w:sz w:val="20"/>
        </w:rPr>
        <w:t xml:space="preserve">) (except that the Company Financials may not have notes thereto and other presentation items that may be required by GAAP and are subject to normal and recurring year-end adjustments that are not reasonably expected to be material in amount) applied on a consistent basis unless otherwise noted therein throughout the periods indicated and (B) fairly present, in all material respects, the financial position and operating results of the Company as of the dates and for the periods indicated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consistent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practices of similarly situated private companies, internal controls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3.7(c)</w:t>
      </w:r>
      <w:r>
        <w:rPr>
          <w:rFonts w:ascii="Times New Roman" w:hAnsi="Times New Roman"/>
          <w:sz w:val="20"/>
        </w:rPr>
        <w:t xml:space="preserve"> of the Company Disclosure Schedule lists, and the Company has delivered to Aspen accurate and complete copies of the documentation creating or governing, all securitization transactions and off-balance sheet arrangements (as defined in Item 2.03 of Form 8-K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233" w:name="annxa770053_26"/>
      <w:bookmarkEnd w:id="233"/>
      <w:r>
        <w:rPr>
          <w:rFonts w:ascii="Times New Roman" w:hAnsi="Times New Roman"/>
          <w:sz w:val="20"/>
        </w:rPr>
        <w:t xml:space="preserve">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Schedule, between December 31, 2022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Aspen pursuant to </w:t>
      </w: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234" w:name="annxa770053_27"/>
      <w:bookmarkEnd w:id="234"/>
      <w:r>
        <w:rPr>
          <w:rFonts w:ascii="Times New Roman" w:hAnsi="Times New Roman"/>
          <w:sz w:val="20"/>
        </w:rPr>
        <w:t xml:space="preserve">3.9 </w:t>
      </w:r>
      <w:r>
        <w:rPr>
          <w:rFonts w:ascii="Times New Roman" w:hAnsi="Times New Roman"/>
          <w:sz w:val="20"/>
          <w:u w:val="single"/>
        </w:rPr>
        <w:t>Absence of Undisclosed Liabilities</w:t>
      </w:r>
      <w:r>
        <w:rPr>
          <w:rFonts w:ascii="Times New Roman" w:hAnsi="Times New Roman"/>
          <w:sz w:val="20"/>
        </w:rPr>
        <w:t xml:space="preserve">. Since December 31, 2022, the Company and its Subsidiaries do not have any liability, indebtedness, obligation, expense, claim, deficiency, guaranty or endorsement of any kind, whether accrued, absolute, contingent, matured, unmatured or otherwise (each a Liability), in each case, of a type required to be reflected or reserved for on a balance sheet prepared in accordance with GAAP, except for (i) Liabilities or obligations specifically disclosed, reflected or reserved against in the Company Financials; (ii) Liabilities incurred in the Ordinary Course of Business since the date of the Company Financials; (iii) Liabilities to perform under Contracts entered into by the Company or its Subsidiaries (none of which is a Liability for breach of contract, breach of warranty, tort, infringement, violation of Law, or that relates to any lawsuit); (iv) Liabilities incurred in connection with the Contemplated Transactions; and (v) Liabilities that would not be reasonably expected to have, individually or in the aggregate, a Company Material Adverse Effect. </w:t>
      </w:r>
    </w:p>
    <w:p>
      <w:pPr>
        <w:pStyle w:val="TextBody"/>
        <w:bidi w:val="0"/>
        <w:spacing w:before="240" w:after="0"/>
        <w:jc w:val="left"/>
        <w:rPr>
          <w:rFonts w:ascii="Times New Roman" w:hAnsi="Times New Roman"/>
          <w:sz w:val="20"/>
        </w:rPr>
      </w:pPr>
      <w:bookmarkStart w:id="235" w:name="annxa770053_28"/>
      <w:bookmarkEnd w:id="235"/>
      <w:r>
        <w:rPr>
          <w:rFonts w:ascii="Times New Roman" w:hAnsi="Times New Roman"/>
          <w:sz w:val="20"/>
        </w:rPr>
        <w:t xml:space="preserve">3.10 </w:t>
      </w:r>
      <w:r>
        <w:rPr>
          <w:rFonts w:ascii="Times New Roman" w:hAnsi="Times New Roman"/>
          <w:sz w:val="20"/>
          <w:u w:val="single"/>
        </w:rPr>
        <w:t>Title to Assets</w:t>
      </w:r>
      <w:r>
        <w:rPr>
          <w:rFonts w:ascii="Times New Roman" w:hAnsi="Times New Roman"/>
          <w:sz w:val="20"/>
        </w:rPr>
        <w:t xml:space="preserve">. The Company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Company Financials and (b) all other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bookmarkStart w:id="236" w:name="annxa770053_29"/>
      <w:bookmarkEnd w:id="236"/>
      <w:r>
        <w:rPr>
          <w:rFonts w:ascii="Times New Roman" w:hAnsi="Times New Roman"/>
          <w:sz w:val="20"/>
        </w:rPr>
        <w:t xml:space="preserve">3.11 </w:t>
      </w:r>
      <w:r>
        <w:rPr>
          <w:rFonts w:ascii="Times New Roman" w:hAnsi="Times New Roman"/>
          <w:sz w:val="20"/>
          <w:u w:val="single"/>
        </w:rPr>
        <w:t>Real Property</w:t>
      </w:r>
      <w:r>
        <w:rPr>
          <w:rFonts w:ascii="Times New Roman" w:hAnsi="Times New Roman"/>
          <w:sz w:val="20"/>
        </w:rPr>
        <w:t>; Leasehold. The Company does not own and has never owned any real property. The Company has made available to Aspen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37" w:name="annxa770053_30"/>
      <w:bookmarkEnd w:id="237"/>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Schedule contains a true and complete list of all issued Patents, Marks and Copyrights included in the Company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hAnsi="Times New Roman"/>
          <w:b/>
          <w:sz w:val="20"/>
        </w:rPr>
        <w:t>Company Registered IP</w:t>
      </w:r>
      <w:r>
        <w:rPr>
          <w:rFonts w:ascii="Times New Roman" w:hAnsi="Times New Roman"/>
          <w:sz w:val="20"/>
        </w:rPr>
        <w:t xml:space="preserve">), including, with respect to each such item, (i) the jurisdiction of application/registration, (ii) the application or registration number, (iii) the date of filing, or issuance or registration, and (iv) the record owner or owners, for each such item. Each material item of Company Registered IP, except for Patents, is subsisting, valid and enforceable. With respect to Patents, each material item of Company Registered IP is subsisting and, to the Knowledge of the Company, all issued Patents within the Company Registered IP are valid and enforceable. All filing, registration, maintenance, renewal and similar fees applicable to any Company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 interference, opposition, reissue, reexamination, or cancellation proceeding or other Legal Proceeding (other than routine ordinary course proceedings as part of patent prosecution) is pending or, to the Knowledge of the Company, threatened regarding any Company Intellectual Property, including with respect to the scope, validity, enforceability, registration, priority, inventorship or ownership of, or rights to,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All founders, key employees and any other employees, contractors, consultants or other personnel involved in the development of Company Owned Intellectual Property have signed confidentiality and invention assignment agreements or similar agreements for the transfer or assignment of such Company Owned Intellectual Property pursuant to which both (i) the Company has obtained ownership of and are the exclusive owners of all right, title and interest in and to such Company Owned Intellectual Property, and (ii) such personnel are bound by commercially reasonable confidentiality obligations with respect to all Company Intellectual Property. To the Knowledge of the Company, no such personnel are in violation of any such agreements, or of any agreements with any prior employer or other Person with respect to development of any Company Owned Intellectual Property,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Owned Intellectual Property is solely and exclusively owned by the Company free and clear of any Encumbrance, other than Permitted Encumbrances. To the Knowledge of the Company, except as would not reasonably be expected to have, individually or in the aggregate, a Company Material Adverse Effect, (i) the Company Exclusively Licensed Intellectual Property is solely and exclusively in-licensed by the Company, and (ii) the other Company Licensed Intellectual Property is in-licensed by the Company, in each case of the foregoing clauses (i) and (ii), free and clear of any Encumbrance, other than Permitted Encumbrances. Except as would not reasonably be expected to have, individually or in the aggregate, a Company Material Adverse Effect, such ownership or licenses will not be affected by the execution, delivery, or performance of this Agreement or the consummation of the Transactions, and all Intellectual Property subject thereto will be owned or in-licensed by the Company on the same terms and conditions thereafter. To the Knowledge of the Company, the Company owns or has a valid and enforceable license to use all material Intellectual Property necessary for, or used or held for use in, the operation of the business of the Company as presently conducted; provided that the foregoing is not, and shall not be construed as, a representation or warranty regarding non-infringement, misappropriation or other violation by the Company of the Intellectual Property of other Persons. To the Knowledge of the Company, no current or former director, officer, employee or contractor of, or consultant to, the Company owns or has any claim, right (whether or not currently exercisable) or interest (or, to the Knowledge of the Company, has alleged that they own or have any such claim, right or interest) to or in any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To the Knowledge of the Company, the operation of the business of the Company does not infringe, misappropriate or otherwise violate, and has not infringed, misappropriated or otherwise violated, and the further research, development and commercialization of Company Products as currently planned by the Company will not infringe, misappropriate or otherwise violate, any Intellectual Property owned by any other Person, except as would not reasonably be expected to have, individually or in the aggregate, a Company Material Adverse Effect. As of the date hereof, neither the Company, nor, to the Knowledge of Company, any of the licensors of the Company, has received any notice or claim alleging any such infringement, misappropriation or other violation, including any so-called invitation to license letter. As of the date hereof, no Legal Proceeding, is pending or, to the Knowledge of the Company, has been threatened, against the Company or such licensors relating to any infringement, misappropriation or other violation of any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Company Owned Intellectual Property is subject to any Order as of the date hereof, neither the Company nor, to the Knowledge of the Company, any of its licensors has entered into or is a party to any agreement made in settlement of any pending litigation or other Legal Proceeding, which in any case restricts, impairs or relates to the Companys use or other exploitation in any manner of any Company Intellectual Property or of any other Intellectual Property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 Person is infringing, misappropriating or otherwise violating, or has infringed, misappropriated or otherwise violated, any Company Intellectual Property, and no Legal Proceeding has been asserted or is pending or has been threatened against any Person alleging any such infringement, misappropriation or other violation of any Company Intellectual Property,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taken commercially reasonable steps necessary to maintain and protect the secrecy and confidentiality (including limitations on use) of all Trade Secrets and other confidential information included in the Company Intellectual Property and, to the Knowledge of the Company, there has not been any unauthorized use, disclosure of or access to any such Trade Secrets or other confidential information,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3.12(i)</w:t>
      </w:r>
      <w:r>
        <w:rPr>
          <w:rFonts w:ascii="Times New Roman" w:hAnsi="Times New Roman"/>
          <w:sz w:val="20"/>
        </w:rPr>
        <w:t xml:space="preserve"> of the Company Disclosure Schedule contains a true and complete list of any and all material Company Intellectual Property that was created, developed or reduced to practice, or is being created, developed or reduced to practice, (i) pursuant to, or in connection with, any Company Contract with any Governmental Authority or Governmental Authority-affiliated Entity, or any university, college or other educational institution or research institute, or (ii) to the Knowledge of the Company, using any funding, facilities or personnel of any Governmental Authority or Governmental Authority-affiliated Entity, or any university, college or other educational institution or research institute (collectively, </w:t>
      </w:r>
      <w:r>
        <w:rPr>
          <w:rFonts w:ascii="Times New Roman" w:hAnsi="Times New Roman"/>
          <w:b/>
          <w:sz w:val="20"/>
        </w:rPr>
        <w:t>Government Funded IP</w:t>
      </w:r>
      <w:r>
        <w:rPr>
          <w:rFonts w:ascii="Times New Roman" w:hAnsi="Times New Roman"/>
          <w:sz w:val="20"/>
        </w:rPr>
        <w:t xml:space="preserve">). The Company, and, to the Knowledge of the Company, each of its licensors with respect to any Government Funded IP, have complied with any and all any Intellectual Property disclosure, licensing and other obligations under any applicable Company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the Company, each item of Company Intellectual Property that is Company Registered IP owned by the Company is and at all times has been filed and maintained in compliance with all applicable Law and all filings, payments, and other actions required to be made or taken to maintain such item of Company Registered IP in full force and effect have been made by the applicable deadline,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 Except as contained in license, distribution and service agreements entered into in the ordinary course of business by Company (i) the Company is not bound by any Company Contract to indemnify, defend, hold harmless, or reimburse any other Person with respect to any infringement, misappropriation,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 relating to Intellectual Property that is material to the Company, taken as a whole and (ii) the Company has not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Company has delivered or made available to Aspen, a complete and accurate copy of all Company Inbound Licenses and all Company Outbound Licenses. With respect to each of the material Company Inbound Licenses and Company Outbound Licenses: (i) to the Knowledge of the Company, each such agreement is valid, binding on, enforceable against the Company, in accordance with its terms, subject to the Enforceability Exceptions, (ii) the Company has not received any written notice of termination or cancellation under such agreement, or received any written notice of breach or default under such agreement, which breach has not been cured or waived and (iii) neither the Company nor to the Knowledge of the Company, no other party to any such agreement, is in breach or default thereof in any material respect. </w:t>
      </w:r>
    </w:p>
    <w:p>
      <w:pPr>
        <w:pStyle w:val="TextBody"/>
        <w:bidi w:val="0"/>
        <w:spacing w:before="240" w:after="0"/>
        <w:jc w:val="left"/>
        <w:rPr>
          <w:rFonts w:ascii="Times New Roman" w:hAnsi="Times New Roman"/>
          <w:sz w:val="20"/>
        </w:rPr>
      </w:pPr>
      <w:bookmarkStart w:id="238" w:name="annxa770053_31"/>
      <w:bookmarkEnd w:id="238"/>
      <w:r>
        <w:rPr>
          <w:rFonts w:ascii="Times New Roman" w:hAnsi="Times New Roman"/>
          <w:sz w:val="20"/>
        </w:rPr>
        <w:t xml:space="preserve">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Schedule identifies each of the following types of Company Contracts that is in effect as of the date of this Agreement, other than Company Employee Plans and the definitive agreements in respect of the Contemplated Transactions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constitute Company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(ii) that relates to any material bonus, deferred compensation, or severance plans or arrangements; </w:t>
      </w:r>
    </w:p>
    <w:p>
      <w:pPr>
        <w:pStyle w:val="TextBody"/>
        <w:bidi w:val="0"/>
        <w:spacing w:before="120" w:after="0"/>
        <w:jc w:val="left"/>
        <w:rPr>
          <w:rFonts w:ascii="Times New Roman" w:hAnsi="Times New Roman"/>
          <w:sz w:val="20"/>
        </w:rPr>
      </w:pPr>
      <w:r>
        <w:rPr>
          <w:rFonts w:ascii="Times New Roman" w:hAnsi="Times New Roman"/>
          <w:sz w:val="20"/>
        </w:rPr>
        <w:t xml:space="preserve">(iii) requiring or otherwise involving payment by or to the Company or any of its Subsidiaries of more than an aggregate of $250,000 during the fiscal year ending December 31, 2023 (other than indemnification agreements or employment and separation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evidencing a commitment by the Company or any of its Subsidiaries to make a future capital expenditure in excess of $250,000 that is not terminable by such Entity upon notice of sixty (60) days or less without penalty or liability; </w:t>
      </w:r>
    </w:p>
    <w:p>
      <w:pPr>
        <w:pStyle w:val="TextBody"/>
        <w:bidi w:val="0"/>
        <w:spacing w:before="120" w:after="0"/>
        <w:jc w:val="left"/>
        <w:rPr>
          <w:rFonts w:ascii="Times New Roman" w:hAnsi="Times New Roman"/>
          <w:sz w:val="20"/>
        </w:rPr>
      </w:pPr>
      <w:r>
        <w:rPr>
          <w:rFonts w:ascii="Times New Roman" w:hAnsi="Times New Roman"/>
          <w:sz w:val="20"/>
        </w:rPr>
        <w:t xml:space="preserve">(v) that requires payments by the Company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any of its Subsidiaries on thirty (30) calendar days or less notice without liability, except to the extent general principles of wrongful termination Law may limit the Companys, or such successors ability to terminate employees at will; </w:t>
      </w:r>
    </w:p>
    <w:p>
      <w:pPr>
        <w:pStyle w:val="TextBody"/>
        <w:bidi w:val="0"/>
        <w:spacing w:before="120" w:after="0"/>
        <w:jc w:val="left"/>
        <w:rPr>
          <w:rFonts w:ascii="Times New Roman" w:hAnsi="Times New Roman"/>
          <w:sz w:val="20"/>
        </w:rPr>
      </w:pPr>
      <w:r>
        <w:rPr>
          <w:rFonts w:ascii="Times New Roman" w:hAnsi="Times New Roman"/>
          <w:sz w:val="20"/>
        </w:rPr>
        <w:t xml:space="preserve">(vi) (A) that includes (1) any most favored nations terms or conditions, including with respect to pricing, (2) containing exclusivity obligations or otherwise limiting the freedom or right of the Company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 occupy any securities, assets (including Intellectual Property) or other interest of the Company or any of its Subsidiaries or (B) containing any provision or covenant that materially limits, or purports to materially limit, the ability of the Company or any of its Subsidiaries to engage in any line of business (whether generally or in any geographic area) or compete with any Person or in any line of business or geographic area; </w:t>
      </w:r>
    </w:p>
    <w:p>
      <w:pPr>
        <w:pStyle w:val="TextBody"/>
        <w:bidi w:val="0"/>
        <w:spacing w:before="120" w:after="0"/>
        <w:jc w:val="left"/>
        <w:rPr>
          <w:rFonts w:ascii="Times New Roman" w:hAnsi="Times New Roman"/>
          <w:sz w:val="20"/>
        </w:rPr>
      </w:pPr>
      <w:r>
        <w:rPr>
          <w:rFonts w:ascii="Times New Roman" w:hAnsi="Times New Roman"/>
          <w:sz w:val="20"/>
        </w:rPr>
        <w:t xml:space="preserve">(vii) relating to or evidencing indebtedness for borrowed money or any guarantee of indebtedness for borrowed money by the Company or any of its Subsidiaries in excess of $250,000 (excluding loans by the Company to wholly-owned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(viii) providing for or governing the formation of any joint venture, partnership, strategic alliance, research and development collaboration,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(ix) that is a Contract governing, related to or pertaining to any Company Intellectual Property (other than any confidential information provided under confidentiality agreements)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(x) (A) pursuant to which any Person granted the Company an exclusive license under any Intellectual Property, or (B) pursuant to which the Company or any of its Subsidiaries granted any Person an exclusive license under any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(xi) that has continuing obligations or interests involving (A) milestone or other similar contingent payments, including upon the achievement of development, regulatory or commercial milestones, or (B) payment of royalties or other amounts calculated based upon sales, revenue, income or similar measure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that is a settlement, conciliation or similar Contract with or approved by any Governmental Authority (A) pursuant to which the Company or any of its Subsidiaries will be required after the date of this Agreement to pay any monetary obligations or (B) that contains material obligations or limitations on the conduct of the Company or any of its Subsidiaries (other than customary confidentiality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(xiii) with any Governmental Authority, except for materials transfer agreements, agreements with academic institutions and non-disclosure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(xiv) that is a clinical trial agreement, clinical study agreement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(xv) (A) that is a collective bargaining agreement or (B) with any labor organization; </w:t>
      </w:r>
    </w:p>
    <w:p>
      <w:pPr>
        <w:pStyle w:val="TextBody"/>
        <w:bidi w:val="0"/>
        <w:spacing w:before="120" w:after="0"/>
        <w:jc w:val="left"/>
        <w:rPr>
          <w:rFonts w:ascii="Times New Roman" w:hAnsi="Times New Roman"/>
          <w:sz w:val="20"/>
        </w:rPr>
      </w:pPr>
      <w:r>
        <w:rPr>
          <w:rFonts w:ascii="Times New Roman" w:hAnsi="Times New Roman"/>
          <w:sz w:val="20"/>
        </w:rPr>
        <w:t xml:space="preserve">(xvi) that prohibits the payment of dividends or distributions in respect of the capital stock of the Company or any of its Subsidiaries, the pledging of the capital stock or other equity interests of the Company or any of its Subsidiaries or the issuance of any guaranty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relating to the disposition or acquisition of material assets or any ownership interest in any Entity; </w:t>
      </w:r>
    </w:p>
    <w:p>
      <w:pPr>
        <w:pStyle w:val="TextBody"/>
        <w:bidi w:val="0"/>
        <w:spacing w:before="120" w:after="0"/>
        <w:jc w:val="left"/>
        <w:rPr>
          <w:rFonts w:ascii="Times New Roman" w:hAnsi="Times New Roman"/>
          <w:sz w:val="20"/>
        </w:rPr>
      </w:pPr>
      <w:r>
        <w:rPr>
          <w:rFonts w:ascii="Times New Roman" w:hAnsi="Times New Roman"/>
          <w:sz w:val="20"/>
        </w:rPr>
        <w:t xml:space="preserve">(xviii) requiring payment by or to the Company or any of its Subsidiaries after the date of this Agreement in excess of $500,000 pursuant to its express terms relating to: (A) any distribution agreement (identifying any that contain exclusivity provisions), (B) any agreement involving provision of services or products with respect to any pre-clinical or clinical development activities of the Company or any of its Subsidiaries, (C) any dealer, distributor, joint marketing, alliance, joint venture, cooperation, development or other agreement currently in force under which the Company or any of its Subsidiaries has continuing obligations to develop or market any product, technology or service, or any agreement pursuant to which the Company or any of its Subsidiaries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of its Subsidiaries or any Contract to sell, distribute or commercialize any products or service of the Company or any of its Subsidiaries, in each case, except for Company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(xix) with any Person, including any financial advisor, broker, finder, investment banker or other Person, providing advisory services to the Company or any of its Subsidiaries in connection with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(xx) that was entered into since January 1, 2021 and was entered into with any present or former officer, director or employee of the Company or any of its Subsidiaries (other than indemnification agreements, or any Employee Plans entered into in the ordinary course of business) or (B) is the type of Contract that would be required to be disclosed under Item 404 of Regulation S-K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Company has delivered or made available to Aspen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bookmarkStart w:id="239" w:name="annxa770053_32"/>
      <w:bookmarkEnd w:id="239"/>
      <w:r>
        <w:rPr>
          <w:rFonts w:ascii="Times New Roman" w:hAnsi="Times New Roman"/>
          <w:sz w:val="20"/>
        </w:rPr>
        <w:t xml:space="preserve">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is and, since January 1, 2021, has been in compliance in all material respects with all Laws applicable to the Company and its Subsidiaries, and, since January 1, 2021, the Company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its Subsidiaries holds, and since January 1, 2021 has held, all Governmental Authorizations necessary for the Company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the Company and its Subsidiaries, taken as a whole. The Governmental Authorizations held by the Company and its Subsidiaries are (i) valid and in full force and effect and (ii) are not subject to any administrative or judicial proceeding that would reasonably be expected to result in any termination, suspension, revocation or nonrenewal thereof (and, to the Knowledge of the Company, no such termination, suspension, revocation or nonrenewal has been otherwise threatened in writing), and the Company and its Subsidiaries are in compliance with the terms and requirements thereof, except in the case of each of clauses (i) and (ii) as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Products are being, and,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 Company Material Adverse Effect. As of the date hereof, neither the Company nor its Subsidiaries nor, to the Knowledge of the Company, any Collaboration Partner has received any written notices or other correspondence from any Drug Governmental Authority or any institutional review board or ethics committee with respect to any ongoing clinical or preclinical studies or trials (i) placing a clinical hold order on any such studies or trials or (ii) otherwise requiring the delay, termination, or suspension of such studies or trials. Since January 1, 2021, neither the Company nor its Subsidiaries nor, to the Knowledge of the Company, any Collaboration Partner has received any Form FDA 483, warning letter, notice of violation, or other written administrative, regulatory or enforcement notice from the FDA or any other Drug Governmental Authority related to the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its Subsidiaries have filed with the applicable Drug Governmental Authorities all required material Healthcare Submissions with respect to the Company Products. All filings for Company Governmental Authorizations and Healthcare Submissions were complete and accurate in all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respects and in material compliance with applicable Laws and Orders when filed, or were subsequently corrected or completed by a filing made prior to the date hereof. No deficiencies have been asserted in writing by any applicable Drug Governmental Authority to the Company and its Subsidiaries with respect to any Healthcare Submission, except as are not, and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2021, neither the Company nor its Subsidiaries, nor any authorized person acting on its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its Subsidiaries, nor any director, officer or employee of the Company or its Subsidiaries (acting in the capacity of a director, officer or employee of the Company) or, to the Knowledge of the Company, any representative or agent of the Company or its Subsidiaries (acting in the capacity of a representative or agent of the Company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 would reasonably be expected to result in debarment, exclusion or suspension as described in the foregoing clauses (i), (ii) or (iii); (v) declared ineligible for awards of contracts by any U.S. or non-U.S. federal, state, provincial or other agency; (vi) disqualified as a clinical investigator by the FDA or any other Drug Governmental Authority; or (vii) convicted of any offense related to any U.S. or non-U.S. federal, state, provincial or other healthcare program.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made available to Aspen complete and accurate copies of (i) each investigational new drug application and all material correspondence relating to clinical trial applications submitted to the FDA or any other Drug Governmental Authority by or on behalf of the Company, including any supplements or amendments thereto, relating to any Company Product, (ii) all final preclinical study and clinical trial results or reports relating to any Company Product, (iii) all documents in the possession of the Company or its Subsidiaries related to inspections by any Drug Governmental Authority, in each case relating to any Company Product, (iv) all material information relating to adverse drug experiences, events or reactions or other safety information obtained or otherwise received by the Company relating to any Company Product, and (v) clinical trial databases, clinical trial master files, and statistical programs for ongoing and completed clinical trials and studies in the possession of the Company or its Subsidiaries or, to the Knowledge of the Company, in a Collaboration Partners possession, relating to any Company Product. The Company has a complete log of the material correspondence described in clause (i) of this section, except as has not been, and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bookmarkStart w:id="240" w:name="annxa770053_33"/>
      <w:bookmarkEnd w:id="240"/>
      <w:r>
        <w:rPr>
          <w:rFonts w:ascii="Times New Roman" w:hAnsi="Times New Roman"/>
          <w:sz w:val="20"/>
        </w:rPr>
        <w:t xml:space="preserve">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used by the Company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 </w:t>
      </w:r>
    </w:p>
    <w:p>
      <w:pPr>
        <w:pStyle w:val="TextBody"/>
        <w:bidi w:val="0"/>
        <w:spacing w:before="240" w:after="0"/>
        <w:jc w:val="left"/>
        <w:rPr>
          <w:rFonts w:ascii="Times New Roman" w:hAnsi="Times New Roman"/>
          <w:sz w:val="20"/>
        </w:rPr>
      </w:pPr>
      <w:bookmarkStart w:id="241" w:name="annxa770053_34"/>
      <w:bookmarkEnd w:id="241"/>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the Company and its Subsidiaries have been paid regardless of whether such Taxes have been shown as due and payable on any Tax Return. The Company and its Subsidiaries have established on their relevant books and records, in accordance with GAAP, reserves that are adequate for the payment of any income or other material Taxes not yet due and payable. None of the Company and its Subsidiaries currently is the beneficiary of any extension of time within which to file any income or other material Tax Return, other than customary extensions that have been obtained consistent with past practice. There are no Encumbrances on any of the assets of the Company and its Subsidiaries that arose in connection with any failure to pay any material Tax,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None of the Company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be material to the Company and its Subsidiaries, taken as a whole, the Company and its Subsidiaries have: (i) 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the Company and its Subsidiaries, taken as a whole, there is no dispute, audits, examinations, assessments or other actions concerning any Tax liability of the Company and its Subsidiaries pending or, to the Knowledge of the Company, threatened by any Governmental Authority against, or with respect to, the Company and its Subsidiaries that remains unpaid, and none of the Company and its Subsidiaries has received written notice of any threatened audits, examinations or assessments relating to any Taxes.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None of the Company and its Subsidiaries has constituted a distributing corporation or controlled corporation in a distribution of stock intended to qualify for Tax-free treatment under Section 355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none of the Company and its Subsidiaries has entered into or been a party to any listed transaction within the meaning of Treasury regulations Section 1.6011-4(b)(2) for a taxable period for which the applicable statute of limitations remains open. </w:t>
      </w:r>
    </w:p>
    <w:p>
      <w:pPr>
        <w:pStyle w:val="TextBody"/>
        <w:bidi w:val="0"/>
        <w:spacing w:before="240" w:after="0"/>
        <w:jc w:val="left"/>
        <w:rPr>
          <w:rFonts w:ascii="Times New Roman" w:hAnsi="Times New Roman"/>
          <w:sz w:val="20"/>
        </w:rPr>
      </w:pPr>
      <w:r>
        <w:rPr>
          <w:rFonts w:ascii="Times New Roman" w:hAnsi="Times New Roman"/>
          <w:sz w:val="20"/>
        </w:rPr>
        <w:t xml:space="preserve">(h) None of the Company and its Subsidiaries are party to any agreements relating to the allocation or sharing of Taxes, including Tax indemnity agreements,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(i) None of the Company and its Subsidiaries (i) has been a member of an affiliated group of corporations within the meaning of Section 1504 of the Code (or similar provision of local, state or non-U.S. Law), other than any affiliated group of which the Company is the common parent or (ii) 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(j) None of the Company and its Subsidiaries is subject to Tax in any jurisdiction other than the jurisdiction in which it is organized, by virtue of having a permanent establishment, fixed place of business or, to the Knowledge of the Company, otherwise. As of the date hereof, no claim has been made by a Governmental Authority in a jurisdiction where the Company or any of its Subsidiaries does not file Tax Returns that the Company or any of its Subsidiaries is or may be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and has not been a United States real property holding corporation within the meaning of Section 897(c)(2) of the Code in the last five (5) years.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any of its Subsidiaries is aware of any facts or circumstances or has taken or agreed to take or refrain from taking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242" w:name="annxa770053_35"/>
      <w:bookmarkEnd w:id="242"/>
      <w:r>
        <w:rPr>
          <w:rFonts w:ascii="Times New Roman" w:hAnsi="Times New Roman"/>
          <w:sz w:val="20"/>
        </w:rPr>
        <w:t xml:space="preserve">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the Company and its Subsidiaries, taken as a whole. The Company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the Company and, as of the date hereof, there is not, to the Knowledge of the Company, any attempt to organize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employees of the Company for the purpose of forming or joining a labor union or works council. Since January 1, 2021 to the date hereof, there has been no strike, slowdown, picketing, lockout, job action, work stoppage, union organizing activity or other labor dispute, or, to the Knowledge of the Company, any threat thereof, affecting the Company 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and since January 1, 2021 has not been, any Legal Proceeding pending, or to the Knowledge of the Company,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employee of the Company, including unfair labor practices, misclassification of independent contractors or consultants, unlawful retaliation, discrimination or harassment complaints, in each case that is material to the Company, taken as a whole. </w:t>
      </w:r>
    </w:p>
    <w:p>
      <w:pPr>
        <w:pStyle w:val="TextBody"/>
        <w:bidi w:val="0"/>
        <w:spacing w:before="240" w:after="0"/>
        <w:jc w:val="left"/>
        <w:rPr>
          <w:rFonts w:ascii="Times New Roman" w:hAnsi="Times New Roman"/>
          <w:sz w:val="20"/>
        </w:rPr>
      </w:pPr>
      <w:r>
        <w:rPr>
          <w:rFonts w:ascii="Times New Roman" w:hAnsi="Times New Roman"/>
          <w:sz w:val="20"/>
        </w:rPr>
        <w:t>(d) Within the past three (3) years, the Company has not implemented any plant closing or layoff of employees that (in either case) violated the United States Worker Adjustment and Retraining Notification Act, as amended, or any similar state, local or foreign law (together, </w:t>
      </w:r>
      <w:r>
        <w:rPr>
          <w:rFonts w:ascii="Times New Roman" w:hAnsi="Times New Roman"/>
          <w:sz w:val="20"/>
          <w:u w:val="single"/>
        </w:rPr>
        <w:t>WARN</w:t>
      </w:r>
      <w:r>
        <w:rPr>
          <w:rFonts w:ascii="Times New Roman" w:hAnsi="Times New Roman"/>
          <w:sz w:val="20"/>
        </w:rPr>
        <w:t xml:space="preserve">) and the Company has not incurred any material liability under WARN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3.17(e)</w:t>
      </w:r>
      <w:r>
        <w:rPr>
          <w:rFonts w:ascii="Times New Roman" w:hAnsi="Times New Roman"/>
          <w:sz w:val="20"/>
        </w:rPr>
        <w:t xml:space="preserve"> of the Company Disclosure Schedule sets forth a correct and complete list of each material Company Employee Plan. The Company has made available to Aspen, with respect to each material Company Employee Plan, accurate and complete copies (as applicable) of: (i) all plan documents and all amendments thereto, and all related trust or other funding documents, and in the case of unwritten material Company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that is intended to be qualified under Section 401(a) of the Code has received or is permitted to rely upon a favorable determination or opinion letter that it is so qualified, and to the Knowledge of the Company, there are no circumstances that would reasonably be expected to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is not, and would not reasonably be expected to be, individually or in the aggregate, material to the Company and its Subsidiaries, taken as a whole, each Company Employee Plan has been operated, maintained and administered in compliance with its terms and with the requirements prescribed by applicable Laws, including ERISA and the Code. As of the date hereof, no Legal Proceeding or governmental audit is pending with respect to any Company Employee Plan (other than routine claims for benefits) and, to the Knowledge of the Company, no such Legal Proceeding or governmental audit is threatened; and there are no governmental investigations pending or, to the Knowledge of the Company, threatened in connection with any Company Employee Plan, the assets of any trust under any Company Employee Plan or the plan sponsor, the plan administrator or any fiduciary under any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respective directors, officers, employees or agents has, with respect to any Company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the Company or any Company Employee Plan or for which the Company has any future indemnification obligation, except, in each case, as would not reasonably be expected, individually or in the aggregate, to result in material liability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None of the Company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(j) No Company Employee Plan provides for, and the Company does not have any present or future obligation to provide, post-retirement or post-termination health, life insurance or other welfare benefits except as required under Part 6 of Subtitle B of Title I of ERISA or Section 4980B of the Code or similar state Law. </w:t>
      </w:r>
    </w:p>
    <w:p>
      <w:pPr>
        <w:pStyle w:val="TextBody"/>
        <w:bidi w:val="0"/>
        <w:spacing w:before="240" w:after="0"/>
        <w:jc w:val="left"/>
        <w:rPr>
          <w:rFonts w:ascii="Times New Roman" w:hAnsi="Times New Roman"/>
          <w:sz w:val="20"/>
        </w:rPr>
      </w:pPr>
      <w:r>
        <w:rPr>
          <w:rFonts w:ascii="Times New Roman" w:hAnsi="Times New Roman"/>
          <w:sz w:val="20"/>
        </w:rPr>
        <w:t xml:space="preserve">(k) The Company does not have any obligation to pay or provide any tax gross-up or similar make-whole payments or indemnities to any current or former employee, officer, director or other service provider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applicable, all Company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(m) 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the Company of any payment or benefit that is or could be characterized as a parachute payment (within the meaning of Section 280G of the Code), determined without regard to the application of Section 280G(b)(5) of the Code. </w:t>
      </w:r>
    </w:p>
    <w:p>
      <w:pPr>
        <w:pStyle w:val="TextBody"/>
        <w:bidi w:val="0"/>
        <w:spacing w:before="240" w:after="0"/>
        <w:jc w:val="left"/>
        <w:rPr>
          <w:rFonts w:ascii="Times New Roman" w:hAnsi="Times New Roman"/>
          <w:sz w:val="20"/>
        </w:rPr>
      </w:pPr>
      <w:r>
        <w:rPr>
          <w:rFonts w:ascii="Times New Roman" w:hAnsi="Times New Roman"/>
          <w:sz w:val="20"/>
        </w:rPr>
        <w:t xml:space="preserve">(n) Each Company Employee Plan that is a nonqualified deferred compensation plan (as such term is defined under Section 409A(d)(1) of the Code and the guidance thereunder) has been operated and maintained in compliance in all material respects with the requirements of Section 409A of the Code and the applicable guidance thereunder. </w:t>
      </w:r>
    </w:p>
    <w:p>
      <w:pPr>
        <w:pStyle w:val="TextBody"/>
        <w:bidi w:val="0"/>
        <w:spacing w:before="240" w:after="0"/>
        <w:jc w:val="left"/>
        <w:rPr>
          <w:rFonts w:ascii="Times New Roman" w:hAnsi="Times New Roman"/>
          <w:sz w:val="20"/>
        </w:rPr>
      </w:pPr>
      <w:bookmarkStart w:id="243" w:name="annxa770053_36"/>
      <w:bookmarkEnd w:id="243"/>
      <w:r>
        <w:rPr>
          <w:rFonts w:ascii="Times New Roman" w:hAnsi="Times New Roman"/>
          <w:sz w:val="20"/>
        </w:rPr>
        <w:t xml:space="preserve">3.18 </w:t>
      </w:r>
      <w:r>
        <w:rPr>
          <w:rFonts w:ascii="Times New Roman" w:hAnsi="Times New Roman"/>
          <w:sz w:val="20"/>
          <w:u w:val="single"/>
        </w:rPr>
        <w:t>Environmental Matters</w:t>
      </w:r>
      <w:r>
        <w:rPr>
          <w:rFonts w:ascii="Times New Roman" w:hAnsi="Times New Roman"/>
          <w:sz w:val="20"/>
        </w:rPr>
        <w:t xml:space="preserve">.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bookmarkStart w:id="244" w:name="annxa770053_37"/>
      <w:bookmarkEnd w:id="244"/>
      <w:r>
        <w:rPr>
          <w:rFonts w:ascii="Times New Roman" w:hAnsi="Times New Roman"/>
          <w:sz w:val="20"/>
        </w:rPr>
        <w:t xml:space="preserve">3.19 </w:t>
      </w:r>
      <w:r>
        <w:rPr>
          <w:rFonts w:ascii="Times New Roman" w:hAnsi="Times New Roman"/>
          <w:sz w:val="20"/>
          <w:u w:val="single"/>
        </w:rPr>
        <w:t>Insurance</w:t>
      </w:r>
      <w:r>
        <w:rPr>
          <w:rFonts w:ascii="Times New Roman" w:hAnsi="Times New Roman"/>
          <w:sz w:val="20"/>
        </w:rPr>
        <w:t xml:space="preserve">. The Company has delivered to Aspen accurate and complete copies of all material insurance policies and all material self-insurance programs and arrangements relating to the business,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bookmarkStart w:id="245" w:name="annxa770053_38"/>
      <w:bookmarkEnd w:id="245"/>
      <w:r>
        <w:rPr>
          <w:rFonts w:ascii="Times New Roman" w:hAnsi="Times New Roman"/>
          <w:sz w:val="20"/>
        </w:rPr>
        <w:t xml:space="preserve">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bookmarkStart w:id="246" w:name="annxa770053_39"/>
      <w:bookmarkEnd w:id="246"/>
      <w:r>
        <w:rPr>
          <w:rFonts w:ascii="Times New Roman" w:hAnsi="Times New Roman"/>
          <w:sz w:val="20"/>
        </w:rPr>
        <w:t xml:space="preserve">3.21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of the Company Disclosure Schedule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bookmarkStart w:id="247" w:name="annxa770053_40"/>
      <w:bookmarkEnd w:id="247"/>
      <w:r>
        <w:rPr>
          <w:rFonts w:ascii="Times New Roman" w:hAnsi="Times New Roman"/>
          <w:sz w:val="20"/>
        </w:rPr>
        <w:t xml:space="preserve">3.22 </w:t>
      </w:r>
      <w:r>
        <w:rPr>
          <w:rFonts w:ascii="Times New Roman" w:hAnsi="Times New Roman"/>
          <w:sz w:val="20"/>
          <w:u w:val="single"/>
        </w:rPr>
        <w:t>Privacy and Data Security</w:t>
      </w:r>
      <w:r>
        <w:rPr>
          <w:rFonts w:ascii="Times New Roman" w:hAnsi="Times New Roman"/>
          <w:sz w:val="20"/>
        </w:rPr>
        <w:t>. Since January 1, 2021, each of the Company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the Company and its Subsidiaries, taken as a whole. Since January 1, 2021, the Company and its Subsidiaries have complied in all material respects with each of their respective written and published policies concerning the privacy of Personal Information (</w:t>
      </w:r>
      <w:r>
        <w:rPr>
          <w:rFonts w:ascii="Times New Roman" w:hAnsi="Times New Roman"/>
          <w:b/>
          <w:sz w:val="20"/>
        </w:rPr>
        <w:t>Privacy Policies</w:t>
      </w:r>
      <w:r>
        <w:rPr>
          <w:rFonts w:ascii="Times New Roman" w:hAnsi="Times New Roman"/>
          <w:sz w:val="20"/>
        </w:rPr>
        <w:t xml:space="preserve">), if applicable and required. The Company and its Subsidiaries maintain commercially reasonable policies, procedures and security measures with respect to the physical and electronic security and privacy of Personal Information that are designed to achieve compliance in all material respects with Privacy Laws, and the Company and its Subsidiaries are in compliance in all material respects with such policies and procedures. To the Knowledge of the Company, there have been no material breaches or material violations of any security measures of Aspen and its Subsidiaries, or any material unauthorized access, use or disclosure of any Personal Information. None of the Company and its Subsidiaries has received written notice (or, to the Knowledge of the Company, any other communication) of (a) any material violation or breach, or alleged material violation or breach, of Privacy Laws and/or Privacy Policies, or (b) any claims against any of the Company and its Subsidiaries by any Person, and there is no Legal Proceeding pending or, to Knowledge of the Company, threatened against any of the Company and its Subsidiaries, alleging a violation or breach of Privacy Laws and/or Privacy Policies, except in each case as would not be material to the Company and its Subsidiaries, taken as a whole. </w:t>
      </w:r>
    </w:p>
    <w:p>
      <w:pPr>
        <w:pStyle w:val="TextBody"/>
        <w:bidi w:val="0"/>
        <w:spacing w:before="240" w:after="0"/>
        <w:jc w:val="left"/>
        <w:rPr>
          <w:rFonts w:ascii="Times New Roman" w:hAnsi="Times New Roman"/>
          <w:sz w:val="20"/>
        </w:rPr>
      </w:pPr>
      <w:bookmarkStart w:id="248" w:name="annxa770053_41"/>
      <w:bookmarkEnd w:id="248"/>
      <w:r>
        <w:rPr>
          <w:rFonts w:ascii="Times New Roman" w:hAnsi="Times New Roman"/>
          <w:sz w:val="20"/>
        </w:rPr>
        <w:t xml:space="preserve">3.23 </w:t>
      </w:r>
      <w:r>
        <w:rPr>
          <w:rFonts w:ascii="Times New Roman" w:hAnsi="Times New Roman"/>
          <w:sz w:val="20"/>
          <w:u w:val="single"/>
        </w:rPr>
        <w:t>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directly or indirectly (i) given any funds (whether of the Company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campaigns or solicited or accepted any such payment or thing of value, or (iii) violated any provision of any Anti-Corruption Law.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not received any written communication (or, to the Knowledge of the Company, any other communication) that alleges any of the foregoing. To the Knowledge of the Company, the Company has disclosed to Aspen any and all allegations that have been made of any potential wrongdoing by the Company or by any director, officer, employee, agent or representative of the Company (acting in the capacity of a director, officer, employee, agent or representative of the Company) with respect to any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(b) There are not, and in the past five (5) years, there have not been, any Legal Proceedings with respect to any Anti-Corruption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made any disclosure (voluntary or otherwise) to any Governmental Authority with respect to any alleged irregularity, misstatement, omission or other potential violation or liability arising under or relating to any Anti-Corruption Law. </w:t>
      </w:r>
    </w:p>
    <w:p>
      <w:pPr>
        <w:pStyle w:val="TextBody"/>
        <w:bidi w:val="0"/>
        <w:spacing w:before="240" w:after="0"/>
        <w:jc w:val="left"/>
        <w:rPr>
          <w:rFonts w:ascii="Times New Roman" w:hAnsi="Times New Roman"/>
          <w:sz w:val="20"/>
        </w:rPr>
      </w:pPr>
      <w:bookmarkStart w:id="249" w:name="annxa770053_42"/>
      <w:bookmarkEnd w:id="249"/>
      <w:r>
        <w:rPr>
          <w:rFonts w:ascii="Times New Roman" w:hAnsi="Times New Roman"/>
          <w:sz w:val="20"/>
        </w:rPr>
        <w:t xml:space="preserve">3.24 </w:t>
      </w:r>
      <w:r>
        <w:rPr>
          <w:rFonts w:ascii="Times New Roman" w:hAnsi="Times New Roman"/>
          <w:sz w:val="20"/>
          <w:u w:val="single"/>
        </w:rPr>
        <w:t>Sanctions Laws</w:t>
      </w:r>
      <w:r>
        <w:rPr>
          <w:rFonts w:ascii="Times New Roman" w:hAnsi="Times New Roman"/>
          <w:sz w:val="20"/>
        </w:rPr>
        <w:t xml:space="preserve">.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in the past five (5) years, there have not been, any Legal Proceedings, allegations, investigations or inquiries concerning any actual or suspected violations of any Sanctions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Neither the Company nor any director, officer or employee of any of the Company, is a Sanctioned Person. In the past five (5) years, the Company has not had, directly or indirectly, any unlawful transactions with or unlawful investments in any Sanctioned Person or Sanctioned Country. </w:t>
      </w:r>
    </w:p>
    <w:p>
      <w:pPr>
        <w:pStyle w:val="TextBody"/>
        <w:bidi w:val="0"/>
        <w:spacing w:before="240" w:after="0"/>
        <w:jc w:val="left"/>
        <w:rPr>
          <w:rFonts w:ascii="Times New Roman" w:hAnsi="Times New Roman"/>
          <w:sz w:val="20"/>
        </w:rPr>
      </w:pPr>
      <w:bookmarkStart w:id="250" w:name="annxa770053_43"/>
      <w:bookmarkEnd w:id="250"/>
      <w:r>
        <w:rPr>
          <w:rFonts w:ascii="Times New Roman" w:hAnsi="Times New Roman"/>
          <w:sz w:val="20"/>
        </w:rPr>
        <w:t xml:space="preserve">3.25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Aspen nor any other person on behalf of Aspen makes any express or implied representation or warranty with respect to Aspen or with respect to any other information provided to the Company, any of its stockholders or any of their respective Affiliates in connection with the Contemplated Transactions, and (subject to the express representations and warranties of Aspen set forth in </w:t>
      </w:r>
      <w:r>
        <w:rPr>
          <w:rFonts w:ascii="Times New Roman" w:hAnsi="Times New Roman"/>
          <w:sz w:val="20"/>
          <w:u w:val="single"/>
        </w:rPr>
        <w:t>Section 4</w:t>
      </w:r>
      <w:r>
        <w:rPr>
          <w:rFonts w:ascii="Times New Roman" w:hAnsi="Times New Roman"/>
          <w:sz w:val="20"/>
        </w:rPr>
        <w:t xml:space="preserve"> (in each case as qualified and limited by the Aspen Disclosure Schedule)) none of the Company, or any of its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251" w:name="annxa770053_44"/>
      <w:bookmarkEnd w:id="251"/>
      <w:r>
        <w:rPr>
          <w:rFonts w:ascii="Times New Roman" w:hAnsi="Times New Roman"/>
          <w:sz w:val="20"/>
        </w:rPr>
        <w:t xml:space="preserve">Section 4. </w:t>
      </w:r>
      <w:r>
        <w:rPr>
          <w:rFonts w:ascii="Times New Roman" w:hAnsi="Times New Roman"/>
          <w:sz w:val="20"/>
          <w:u w:val="single"/>
        </w:rPr>
        <w:t>Representations and Warranties of Aspen and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schedule delivered by Aspen to the Company (the </w:t>
      </w:r>
      <w:r>
        <w:rPr>
          <w:rFonts w:ascii="Times New Roman" w:hAnsi="Times New Roman"/>
          <w:b/>
          <w:sz w:val="20"/>
        </w:rPr>
        <w:t>Aspen Disclosure Schedule</w:t>
      </w:r>
      <w:r>
        <w:rPr>
          <w:rFonts w:ascii="Times New Roman" w:hAnsi="Times New Roman"/>
          <w:sz w:val="20"/>
        </w:rPr>
        <w:t xml:space="preserve">) or (ii) as disclosed in the Aspen SEC Documents filed with the SEC prior to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hereof and publicly available on the SECs Electronic Data Gathering Analysis and Retrieval (EDGAR)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Aspen SEC Documents shall be deemed to be disclosed in a section of the Aspen Disclosure Schedule only if it is reasonably apparent from a reading of such Aspen SEC Documents that it would be applicable to such section or subsection of the Aspen Disclosure Schedule, Aspen and Merger Sub represent and warrant to the Company as follows: </w:t>
      </w:r>
    </w:p>
    <w:p>
      <w:pPr>
        <w:pStyle w:val="TextBody"/>
        <w:bidi w:val="0"/>
        <w:spacing w:before="240" w:after="0"/>
        <w:jc w:val="left"/>
        <w:rPr>
          <w:rFonts w:ascii="Times New Roman" w:hAnsi="Times New Roman"/>
          <w:sz w:val="20"/>
        </w:rPr>
      </w:pPr>
      <w:bookmarkStart w:id="252" w:name="annxa770053_45"/>
      <w:bookmarkEnd w:id="252"/>
      <w:r>
        <w:rPr>
          <w:rFonts w:ascii="Times New Roman" w:hAnsi="Times New Roman"/>
          <w:sz w:val="20"/>
        </w:rPr>
        <w:t xml:space="preserve">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(including Merger Sub)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Since the date of their formation, Merger Sub have not engaged in any activities other than in connection with or as contemplated by this Agreement. All of Aspens Subsidiaries are wholly owned by Aspen. </w:t>
      </w:r>
    </w:p>
    <w:p>
      <w:pPr>
        <w:pStyle w:val="TextBody"/>
        <w:bidi w:val="0"/>
        <w:spacing w:before="240" w:after="0"/>
        <w:jc w:val="left"/>
        <w:rPr>
          <w:rFonts w:ascii="Times New Roman" w:hAnsi="Times New Roman"/>
          <w:sz w:val="20"/>
        </w:rPr>
      </w:pPr>
      <w:r>
        <w:rPr>
          <w:rFonts w:ascii="Times New Roman" w:hAnsi="Times New Roman"/>
          <w:sz w:val="20"/>
        </w:rPr>
        <w:t xml:space="preserve">(b) Each of Aspen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4.1(c)</w:t>
      </w:r>
      <w:r>
        <w:rPr>
          <w:rFonts w:ascii="Times New Roman" w:hAnsi="Times New Roman"/>
          <w:sz w:val="20"/>
        </w:rPr>
        <w:t xml:space="preserve"> of the Aspen Disclosure Schedule, Aspen has no Subsidiaries other than Merger Sub and Aspen does not own any capital stock of, or any equity ownership or profit sharing interest of any nature in, or control directly or indirectly, any other Entity other than Merger Sub. Aspen is not and has not otherwise been, directly or indirectly, a party to, member of or participant in any partnership, joint venture or similar business entity. Aspen has not agreed and is not obligated to make, nor is Aspen bound by any Contract under which it may become obligated to make, any future investment in or capital contribution to any other Entity. Aspen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253" w:name="annxa770053_46"/>
      <w:bookmarkEnd w:id="253"/>
      <w:r>
        <w:rPr>
          <w:rFonts w:ascii="Times New Roman" w:hAnsi="Times New Roman"/>
          <w:sz w:val="20"/>
        </w:rPr>
        <w:t xml:space="preserve">4.2 </w:t>
      </w:r>
      <w:r>
        <w:rPr>
          <w:rFonts w:ascii="Times New Roman" w:hAnsi="Times New Roman"/>
          <w:sz w:val="20"/>
          <w:u w:val="single"/>
        </w:rPr>
        <w:t>Organizational Documents</w:t>
      </w:r>
      <w:r>
        <w:rPr>
          <w:rFonts w:ascii="Times New Roman" w:hAnsi="Times New Roman"/>
          <w:sz w:val="20"/>
        </w:rPr>
        <w:t xml:space="preserve">. Aspen has delivered to the Company accurate and complete copies of Aspens Organizational Documents. Aspen is not in breach or violation of its Organizational Documents in any material respect. </w:t>
      </w:r>
    </w:p>
    <w:p>
      <w:pPr>
        <w:pStyle w:val="TextBody"/>
        <w:bidi w:val="0"/>
        <w:spacing w:before="240" w:after="0"/>
        <w:jc w:val="left"/>
        <w:rPr>
          <w:rFonts w:ascii="Times New Roman" w:hAnsi="Times New Roman"/>
          <w:sz w:val="20"/>
        </w:rPr>
      </w:pPr>
      <w:bookmarkStart w:id="254" w:name="annxa770053_47"/>
      <w:bookmarkEnd w:id="254"/>
      <w:r>
        <w:rPr>
          <w:rFonts w:ascii="Times New Roman" w:hAnsi="Times New Roman"/>
          <w:sz w:val="20"/>
        </w:rPr>
        <w:t xml:space="preserve">4.3 </w:t>
      </w:r>
      <w:r>
        <w:rPr>
          <w:rFonts w:ascii="Times New Roman" w:hAnsi="Times New Roman"/>
          <w:sz w:val="20"/>
          <w:u w:val="single"/>
        </w:rPr>
        <w:t>Authority; Binding Nature of Agreement</w:t>
      </w:r>
      <w:r>
        <w:rPr>
          <w:rFonts w:ascii="Times New Roman" w:hAnsi="Times New Roman"/>
          <w:sz w:val="20"/>
        </w:rPr>
        <w:t xml:space="preserve">. Subject to obtaining the Required Aspen Stockholder Vote and the Aspen stockholder approval of the other Aspen Stockholder Matters (and with respect to the Equity Plan Proposals, in a form reasonably acceptable to Aspen as contemplated by the definition of such term), each of Aspen and Merger Sub has all necessary corporate power and authority to enter into and to perform its obligations under this Agreement and to consummate the Contemplated Transactions that are contemplated to be consummated by it. The Aspen Board (at meetings duly called and held) has: (a) determined that the Contemplated Transactions are fair to, advisable and in the best interests of Aspen and its stockholders, (b) approved and declared advisable this Agreement and the Contemplated Transactions, including the issuance of shares of Aspen Common Stock to the stockholders of the Company pursuant to the terms of this Agreement and (c) determined to recommend, upon the terms and subject to the conditions set forth in this Agreement, that the stockholders of Aspen vote to approve the Aspen Stockholder Matters. The Merger Sub Board (by unanimous written consent) has: (x) determined that the Contemplated Transactions are fair to, advisable and in the best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Aspen and Merger Sub and, assuming the due authorization, execution and delivery by the Company, constitutes the legal, valid and binding obligation of Aspen and Merger Sub, enforceable against each of Aspen and Merger Sub in accordance with its terms, subject to the Enforceability Exceptions. </w:t>
      </w:r>
    </w:p>
    <w:p>
      <w:pPr>
        <w:pStyle w:val="TextBody"/>
        <w:bidi w:val="0"/>
        <w:spacing w:before="240" w:after="0"/>
        <w:jc w:val="left"/>
        <w:rPr>
          <w:rFonts w:ascii="Times New Roman" w:hAnsi="Times New Roman"/>
          <w:sz w:val="20"/>
        </w:rPr>
      </w:pPr>
      <w:bookmarkStart w:id="255" w:name="annxa770053_48"/>
      <w:bookmarkEnd w:id="255"/>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The affirmative vote of (i) the holders of a majority of the shares of Aspen Common Stock properly cast is the only vote of the holders of any class or series of Aspens capital stock necessary to approve the issuance of shares of Aspen Common Stock to the stockholders of the Company pursuant to the terms of this Agreement and (ii) the holders of a number of shares of Aspen Common Stock as required by Law is the only vote of the holders of any class or series of Aspens capital stock necessary to approve an amendment to the Aspen Charter to effect the Nasdaq Reverse Split (collectively, the </w:t>
      </w:r>
      <w:r>
        <w:rPr>
          <w:rFonts w:ascii="Times New Roman" w:hAnsi="Times New Roman"/>
          <w:b/>
          <w:sz w:val="20"/>
        </w:rPr>
        <w:t>Required Aspen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56" w:name="annxa770053_49"/>
      <w:bookmarkEnd w:id="256"/>
      <w:r>
        <w:rPr>
          <w:rFonts w:ascii="Times New Roman" w:hAnsi="Times New Roman"/>
          <w:sz w:val="20"/>
        </w:rPr>
        <w:t xml:space="preserve">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Aspen Stockholder Vote and the Aspen stockholder approval of the other Aspen Stockholder Matters, the Aspen stockholder approval of the other Aspen Stockholder Matters and the filing of the Certificate of Merger required by the DGCL, neither (x) the execution, delivery or performance of this Agreement by Aspen or Merger Sub,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Aspen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Aspen or its Subsidiaries or any of the assets owned or used by Aspen or its Subsidiaries,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Aspen or its Subsidiaries or that otherwise relates to the business of Aspen, or any of the assets owned, leased or used by Aspen; or </w:t>
      </w:r>
    </w:p>
    <w:p>
      <w:pPr>
        <w:pStyle w:val="TextBody"/>
        <w:bidi w:val="0"/>
        <w:spacing w:before="120" w:after="0"/>
        <w:jc w:val="left"/>
        <w:rPr>
          <w:rFonts w:ascii="Times New Roman" w:hAnsi="Times New Roman"/>
          <w:sz w:val="20"/>
        </w:rPr>
      </w:pPr>
      <w:r>
        <w:rPr>
          <w:rFonts w:ascii="Times New Roman" w:hAnsi="Times New Roman"/>
          <w:sz w:val="20"/>
        </w:rPr>
        <w:t xml:space="preserve">(iv) cause a default (or an event that with notice or lapse of time or both would result in a default), give right to a right of termination, cancellation or acceleration of any obligation or loss of a material benefit of Aspen or any of its Subsidiaries, or result in the creation of any Encumbrance (other than Permitted Encumbrances) upon any of the properties or assets of Aspen or any of its Subsidiaries, in each case under any Aspen Material Contract and in each case except as would not be reasonably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Aspen Stockholder Vote and the Aspen stockholder approval of the other Aspen Stockholder Matters, (ii) the filing of the Certificate of Merger with the Secretary of State of Delaware pursuant to the DGCL, and (iii) such consents, waivers, approvals, orders authorizations, registrations, declarations and filings as may be required under applicable federal and state securities laws, neither Aspen nor any of its Subsidiaries was, is or will be required to make any filing with or give any notice to, or to obtain any Consent from, any Person in connection with (x) the execution, delivery or performance of this Agreement or (y) the consummation of the Contemplated Transactions (in each case except under Aspen Contracts that are not Aspen Material Contracts, and in the case of such filings, notices or Consents under Aspen Material Contracts, except as the failure to make such filing, give such notice or obtain such Consent would not reasonably expected to have, individually or in the aggregate, an Aspen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Aspen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bookmarkStart w:id="257" w:name="annxa770053_50"/>
      <w:bookmarkEnd w:id="257"/>
      <w:r>
        <w:rPr>
          <w:rFonts w:ascii="Times New Roman" w:hAnsi="Times New Roman"/>
          <w:sz w:val="20"/>
        </w:rPr>
        <w:t xml:space="preserve">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Aspen consists of (i) 160,000,000 shares of Aspen Common Stock of which 44,658,511 shares have been issued and are outstanding as of January 26, 2024 (the </w:t>
      </w:r>
      <w:r>
        <w:rPr>
          <w:rFonts w:ascii="Times New Roman" w:hAnsi="Times New Roman"/>
          <w:b/>
          <w:sz w:val="20"/>
        </w:rPr>
        <w:t>Capitalization Date</w:t>
      </w:r>
      <w:r>
        <w:rPr>
          <w:rFonts w:ascii="Times New Roman" w:hAnsi="Times New Roman"/>
          <w:sz w:val="20"/>
        </w:rPr>
        <w:t xml:space="preserve">) and (ii) 10,000,000 shares of undesignated preferred stock, par value $0.0001 per share, of which no shares have been issued and are outstanding as of the Capitalization Date. Aspen does not hold any shares of its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Aspen Common Stock have been duly authorized and validly issued, and are fully paid and nonassessable and are free of any Encumbrances. None of the outstanding shares of Aspen Common Stock is entitled or subject to any preemptive right, right of participation, right of maintenance or any similar right. None of the outstanding shares of Aspen Common Stock is subject to any right of first refusal in favor of Aspen. Except as contemplated herein, there is no Aspen Contract relating to the voting or registration of, or restricting any Person from purchasing, selling, pledging or otherwise disposing of (or granting any option or similar right with respect to), any shares of Aspen Common Stock. Aspen is not under any obligation, nor is Aspen bound by any Contract pursuant to which it may become obligated, to repurchase, redeem or otherwise acquire any outstanding shares of Aspen Common Stock or other securities. </w:t>
      </w:r>
      <w:r>
        <w:rPr>
          <w:rFonts w:ascii="Times New Roman" w:hAnsi="Times New Roman"/>
          <w:sz w:val="20"/>
          <w:u w:val="single"/>
        </w:rPr>
        <w:t>Section 4.6(b)</w:t>
      </w:r>
      <w:r>
        <w:rPr>
          <w:rFonts w:ascii="Times New Roman" w:hAnsi="Times New Roman"/>
          <w:sz w:val="20"/>
        </w:rPr>
        <w:t xml:space="preserve"> of the Aspen Disclosure Schedule accurately and completely describes all repurchase rights held by Aspen with respect to shares of Aspen Common Stock (including shares issued pursuant to the exercise of stock options) and specifies which of those repurchase rights are currently exercisable. With respect to any equity securities in Aspen subject to a substantial risk of forfeiture (within the meaning of Code Section 83 and the Treasury Regulations promulgated thereunder), the applicable holder thereof made a valid Code Section 83(b) election. </w:t>
      </w:r>
    </w:p>
    <w:p>
      <w:pPr>
        <w:pStyle w:val="TextBody"/>
        <w:bidi w:val="0"/>
        <w:spacing w:before="240" w:after="0"/>
        <w:jc w:val="left"/>
        <w:rPr>
          <w:rFonts w:ascii="Times New Roman" w:hAnsi="Times New Roman"/>
          <w:sz w:val="20"/>
        </w:rPr>
      </w:pPr>
      <w:r>
        <w:rPr>
          <w:rFonts w:ascii="Times New Roman" w:hAnsi="Times New Roman"/>
          <w:sz w:val="20"/>
        </w:rPr>
        <w:t>(c) Except for Aspens Amended and Restated 2015 Stock Option and Grant Plan, 2018 Stock Option and Incentive Plan, 2019 Inducement Plan, and 2020 Inducement Plan, each, as may be amended (the </w:t>
      </w:r>
      <w:r>
        <w:rPr>
          <w:rFonts w:ascii="Times New Roman" w:hAnsi="Times New Roman"/>
          <w:b/>
          <w:sz w:val="20"/>
        </w:rPr>
        <w:t>Aspen Stock Plans</w:t>
      </w:r>
      <w:r>
        <w:rPr>
          <w:rFonts w:ascii="Times New Roman" w:hAnsi="Times New Roman"/>
          <w:sz w:val="20"/>
        </w:rPr>
        <w:t>) and the Aspen 2018 Employee Stock Purchase Plan, as amended (the </w:t>
      </w:r>
      <w:r>
        <w:rPr>
          <w:rFonts w:ascii="Times New Roman" w:hAnsi="Times New Roman"/>
          <w:b/>
          <w:sz w:val="20"/>
        </w:rPr>
        <w:t>Aspen ESPP</w:t>
      </w:r>
      <w:r>
        <w:rPr>
          <w:rFonts w:ascii="Times New Roman" w:hAnsi="Times New Roman"/>
          <w:sz w:val="20"/>
        </w:rPr>
        <w:t xml:space="preserve">), and except as set forth on </w:t>
      </w:r>
      <w:r>
        <w:rPr>
          <w:rFonts w:ascii="Times New Roman" w:hAnsi="Times New Roman"/>
          <w:sz w:val="20"/>
          <w:u w:val="single"/>
        </w:rPr>
        <w:t>Section 4.6(c)</w:t>
      </w:r>
      <w:r>
        <w:rPr>
          <w:rFonts w:ascii="Times New Roman" w:hAnsi="Times New Roman"/>
          <w:sz w:val="20"/>
        </w:rPr>
        <w:t xml:space="preserve"> of the Aspen Disclosure Schedule, Aspen does not have any stock option plan or any other plan, program, agreement or arrangement providing for any equity-based compensation for any Person. As of the Capitalization Date, Aspen has reserved 63,538,248 shares of Aspen Common Stock for issuance under the Aspen Stock Plans, of which 44,658,511 shares have been issued and are currently outstanding, 6,141,130 shares have been reserved for issuance upon exercise or settlement of Aspen Options and Aspen Restricted Stock Units, as applicable, granted under the Aspen Stock Plans, and 12,738,607 shares remain available for future issuance pursuant to the Aspen Stock Plans. As of the Capitalization Date, Aspen has reserved 1,766,979 shares of Aspen Common Stock for future issuance pursuant to the Aspen ESPP (of which 302,831 shares have been issued and are currently outstanding). Section 4.6(c)(i) of the Aspen Disclosure Schedule sets forth the following information with respect to each Aspen Option and Aspen Restricted Stock Unit outstanding as of the Capitalization Date, as applicable: (i) the name of the holder, (ii) the number of shares of Aspen Common Stock subject to such Aspen Option and Aspen Restricted Stock Units at the time of grant, (iii) the number of shares of Aspen Common Stock subject to such Aspen Option and Aspen Restricted Stock Units as of the Capitalization Date, (iv) the exercise price of such Aspen Option, (v) the date on which such Aspen Option and Aspen Restricted Stock Units was granted, (vi) the applicable vesting schedule, including any acceleration provisions and the number of vested and unvested shares as of the Capitalization Date, (vii) the date on which such Aspen Option expires, (viii) whether such Aspen Option is intended to be an incentive stock option (as defined in the Code) or a nonqualified stock option and (ix) in the case of an Aspen Option, the plan pursuant to which such Aspen Option was granted. Aspen has made available to the Company accurate and complete copies of equity incentive plans pursuant to which Aspen has equity-based awards, the forms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 agreements evidencing such equity-based awards and evidence of board and stockholder approval of the Aspen Stock Plans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 Except for the outstanding Aspen Options and Aspen Restricted Stock Units or as set forth on </w:t>
      </w:r>
      <w:r>
        <w:rPr>
          <w:rFonts w:ascii="Times New Roman" w:hAnsi="Times New Roman"/>
          <w:sz w:val="20"/>
          <w:u w:val="single"/>
        </w:rPr>
        <w:t>Section 4.6(d)</w:t>
      </w:r>
      <w:r>
        <w:rPr>
          <w:rFonts w:ascii="Times New Roman" w:hAnsi="Times New Roman"/>
          <w:sz w:val="20"/>
        </w:rPr>
        <w:t xml:space="preserve"> of the Aspen Disclosure Schedule, there is no: (i) outstanding subscription, option, call, warrant or right (whether or not currently exercisable) to acquire any shares of the capital stock or other securities of Aspen, (ii) outstanding security, instrument or obligation that is or may become convertible into or exchangeable for any shares of the capital stock or other securities of Aspen, (iii) stockholder rights plan (or similar plan commonly referred to as a poison pill) or Contract under which Aspen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Aspen. There are no outstanding or authorized stock appreciation, phantom stock, profit participation or other similar rights with respect to Aspen. The treatment of the Aspen Options and the Aspen Restricted Stock Units under this Agreement do not violate the terms of the Applicable Aspen Stock Plan.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Aspen Common Stock, Aspen Options, Aspen Restricted Stock Units and other securities of Aspen have been issued and granted in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(f) With respect to Aspen Options and Aspen Restricted Stock Units granted pursuant to the Aspen Stock Plans, (i) each grant of an Aspen Option or Aspen Restricted Stock Unit was duly authorized no later than the date on which the grant of such Aspen Option and Aspen Restricted Stock Unit was by its terms to be effective (the </w:t>
      </w:r>
      <w:r>
        <w:rPr>
          <w:rFonts w:ascii="Times New Roman" w:hAnsi="Times New Roman"/>
          <w:b/>
          <w:sz w:val="20"/>
        </w:rPr>
        <w:t>Aspen Grant Date</w:t>
      </w:r>
      <w:r>
        <w:rPr>
          <w:rFonts w:ascii="Times New Roman" w:hAnsi="Times New Roman"/>
          <w:sz w:val="20"/>
        </w:rPr>
        <w:t xml:space="preserve">) by all necessary corporate action, including, as applicable, approval by the Aspen Board (or a duly constituted and authorized committee thereof) or duly authorized officer and any required stockholder approval by the necessary number of votes or written consents, (ii) each Aspen Option and Aspen Restricted Stock Unit grant was made in accordance with the terms of the Aspen Stock Plan pursuant to which it was granted and all other applicable Law and regulatory rules or requirements, and (iii) the per share exercise price of each Aspen Option was not less than the fair market value of a share of Aspen Common Stock on the applicable Aspen Grant Date. </w:t>
      </w:r>
    </w:p>
    <w:p>
      <w:pPr>
        <w:pStyle w:val="TextBody"/>
        <w:bidi w:val="0"/>
        <w:spacing w:before="240" w:after="0"/>
        <w:jc w:val="left"/>
        <w:rPr>
          <w:rFonts w:ascii="Times New Roman" w:hAnsi="Times New Roman"/>
          <w:sz w:val="20"/>
        </w:rPr>
      </w:pPr>
      <w:bookmarkStart w:id="258" w:name="annxa770053_51"/>
      <w:bookmarkEnd w:id="258"/>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reports, schedules, forms, statements and other documents (including exhibits and all other information incorporated therein) required to be filed or furnished by Aspen with the SEC since January 1, 2021 (the </w:t>
      </w:r>
      <w:r>
        <w:rPr>
          <w:rFonts w:ascii="Times New Roman" w:hAnsi="Times New Roman"/>
          <w:b/>
          <w:sz w:val="20"/>
        </w:rPr>
        <w:t>Aspen SEC Documents</w:t>
      </w:r>
      <w:r>
        <w:rPr>
          <w:rFonts w:ascii="Times New Roman" w:hAnsi="Times New Roman"/>
          <w:sz w:val="20"/>
        </w:rPr>
        <w:t>) have been filed or furnished with the SEC on a timely basis (subject to extensions pursuant to Exchange Act Rule 12b-25). As of their respective dates, or, if amended prior to the date of this Agreement, as of the date of (and giving effect to) the last such amendment: (i) each of the Aspen SEC Documents complied as to form in all material respects with the applicable requirements of the Securities Act, the Exchange Act and the Sarbanes-Oxley Act (as the case may be); and (ii) no Aspen SEC Document contained when filed or furnished (and, in the case of registration statements and proxy statements, on the dates of effectiveness and the dates of mailing, respectively) any untrue statement of a material fact or omitted, as the case may be, to state a material fact required to be stated or incorporated by reference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Aspen SEC Documents (collectively, the </w:t>
      </w:r>
      <w:r>
        <w:rPr>
          <w:rFonts w:ascii="Times New Roman" w:hAnsi="Times New Roman"/>
          <w:b/>
          <w:sz w:val="20"/>
        </w:rPr>
        <w:t>Certifications</w:t>
      </w:r>
      <w:r>
        <w:rPr>
          <w:rFonts w:ascii="Times New Roman" w:hAnsi="Times New Roman"/>
          <w:sz w:val="20"/>
        </w:rPr>
        <w:t xml:space="preserve">) were, as of their respective dates and in all material respects, accurate and complete and complied as to form and content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and schedules) contained or incorporated by reference in the Aspen SEC Documents: (i) complied as to form in all material respects with the Securities Act and the Exchange Act, as applicable, and the published rules and regulations of the SEC applicable thereto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effect at the time of such filing; (ii) were prepared in accordance with GAAP applied on a consistent basis throughout the periods covered (except as may be indicated in the notes to such financial statements or, in the case of unaudited financial statements, as permitted by Form 10-Q, Form 8-K or any successor form under the Exchange Act); and (iii) fairly present, in all material respects, the consolidated financial position of Aspen and its Subsidiaries as of the respective dates thereof and the consolidated results of operations and cash flows of Aspen and its Subsidiaries for the periods covered thereby (subject, in the case of the unaudited financial statements, to the absence of footnotes and normal year-end audit adjustments that are not individually or in the aggregate material). No financial statements of any Person other than Aspen and its Subsidiaries are required by GAAP to be included in the consolidated financial statements of Aspen. </w:t>
      </w:r>
    </w:p>
    <w:p>
      <w:pPr>
        <w:pStyle w:val="TextBody"/>
        <w:bidi w:val="0"/>
        <w:spacing w:before="240" w:after="0"/>
        <w:jc w:val="left"/>
        <w:rPr>
          <w:rFonts w:ascii="Times New Roman" w:hAnsi="Times New Roman"/>
          <w:sz w:val="20"/>
        </w:rPr>
      </w:pPr>
      <w:r>
        <w:rPr>
          <w:rFonts w:ascii="Times New Roman" w:hAnsi="Times New Roman"/>
          <w:sz w:val="20"/>
        </w:rPr>
        <w:t xml:space="preserve">(c) Aspens auditor has at all times since the date of enactment of the Sarbanes-Oxley Act been: (i) a registered public accounting firm (as defined in Section 2(a)(12) of the Sarbanes-Oxley Act), (ii) to the Knowledge of Aspen, independent with respect to Aspen within the meaning of Regulation S-X under the Exchange Act and (iii) to the Knowledge of Aspen,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Section 4.7(d) of the Aspen Disclosure Schedule Aspen has not received any comment letter from the SEC or the staff thereof or any correspondence from Nasdaq or the staff thereof relating to the delisting or maintenance of listing of the Aspen Common Stock on Nasdaq. Aspen has not disclosed any unresolved comments in the Aspen SEC Documents. </w:t>
      </w:r>
    </w:p>
    <w:p>
      <w:pPr>
        <w:pStyle w:val="TextBody"/>
        <w:bidi w:val="0"/>
        <w:spacing w:before="240" w:after="0"/>
        <w:jc w:val="left"/>
        <w:rPr>
          <w:rFonts w:ascii="Times New Roman" w:hAnsi="Times New Roman"/>
          <w:sz w:val="20"/>
        </w:rPr>
      </w:pPr>
      <w:r>
        <w:rPr>
          <w:rFonts w:ascii="Times New Roman" w:hAnsi="Times New Roman"/>
          <w:sz w:val="20"/>
        </w:rPr>
        <w:t xml:space="preserve">(e) There have been no formal internal investigations regarding financial reporting or accounting policies and practices discussed with, reviewed by or initiated at the direction of the chief executive officer, chief financial officer or general counsel of Aspen, the Aspen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on Section 4.7(f) of the Aspen Disclosure Schedule, Aspen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(g) Aspen maintains, and since January 1, 2021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assets of Aspen and its Subsidiaries; (ii) provide reasonable assurance that transactions are recorded as necessary to permit preparation of financial statements in conformity with GAAP and that receipts and expenditures are being made only in accordance with authorizations of management and the Aspen Board; and (iii) provide reasonable assurance regarding prevention or timely detection of unauthorized acquisition, use or disposition of the assets of Aspen and its Subsidiaries that could have a material effect on Aspens financial statements. Since January 1, 2021, neither Aspen nor Aspens independent registered accountant has identified or been made aware of: (A) any significant deficiency or material weakness in the design or operation of the internal control over financial reporting utilized by Aspen, which is reasonably likely to adversely affect Aspens ability to record, process, summarize and report financial information; or (B) any fraud, whether or not material, that involves the management or other employees of Aspen who have a significant role in Aspens internal control over financial reporting. Aspen maintains disclosure controls and procedures (as defined by Rule 13a-15(e) or 15d-15(e) under the Exchange Act) that are reasonably designed to ensure that all information required to be disclosed in Aspens reports that it files or submits under the Exchange Act is recorded, processed, summarized and reported within the time periods specified in the rules and forms of the SEC and that all such information is accumulated and communicated to Aspens management as appropriate to allow timely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required disclosure. Since January 1, 2021, the principal executive officer and the principal financial officer of Aspen have made all certifications required by the Exchange Act and the Sarbanes-Oxley Act. Aspen is in compliance in all material respects with all current listing and corporate governance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(h) None of Aspen or any of its Subsidiaries has effected, entered into or created, or has any commitment to effect, enter into or create, any securitization transaction or off-balance sheet arrangement (as defined in Section 2.03 of Form 8-K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 As of the date hereof, there are no outstanding or unresolved comments in comment letters received from the SEC with respect to the Aspen SEC Documents. To the Knowledge of Aspen, (i) none of the Aspen SEC Documents is the subject of ongoing SEC review and (ii) there are no material inquiries or investigations by the SEC or any internal investigations pending or threatened in writing regarding any accounting practices of Aspen. </w:t>
      </w:r>
    </w:p>
    <w:p>
      <w:pPr>
        <w:pStyle w:val="TextBody"/>
        <w:bidi w:val="0"/>
        <w:spacing w:before="240" w:after="0"/>
        <w:jc w:val="left"/>
        <w:rPr>
          <w:rFonts w:ascii="Times New Roman" w:hAnsi="Times New Roman"/>
          <w:sz w:val="20"/>
        </w:rPr>
      </w:pPr>
      <w:r>
        <w:rPr>
          <w:rFonts w:ascii="Times New Roman" w:hAnsi="Times New Roman"/>
          <w:sz w:val="20"/>
        </w:rPr>
        <w:t xml:space="preserve">(j) Except as permitted by the Exchange Act, including Sections 13(k)(2) and (3), since January 1, 2021, none of Aspen or any of its Subsidiaries has made or permitted to remain outstanding any extensions of credit (within the meaning of Section 402 of the Sarbanes-Oxley Act) or prohibited loans to any executive officer (as defined in Rule 3b-7 under the Exchange Act) or director of Aspen. </w:t>
      </w:r>
    </w:p>
    <w:p>
      <w:pPr>
        <w:pStyle w:val="TextBody"/>
        <w:bidi w:val="0"/>
        <w:spacing w:before="240" w:after="0"/>
        <w:jc w:val="left"/>
        <w:rPr>
          <w:rFonts w:ascii="Times New Roman" w:hAnsi="Times New Roman"/>
          <w:sz w:val="20"/>
        </w:rPr>
      </w:pPr>
      <w:bookmarkStart w:id="259" w:name="annxa770053_52"/>
      <w:bookmarkEnd w:id="259"/>
      <w:r>
        <w:rPr>
          <w:rFonts w:ascii="Times New Roman" w:hAnsi="Times New Roman"/>
          <w:sz w:val="20"/>
        </w:rPr>
        <w:t xml:space="preserve">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Aspen Disclosure Schedule, between December 31, 2022 and the date of this Agreement, Aspen has conducted its business only in the Ordinary Course of Business (except for the execution and performance of this Agreement and the discussions, negotiations and transactions related thereto) and there has not been any (a) Aspen Material Adverse Effect or (b) action, event or occurrence that would have required consent of the Company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260" w:name="annxa770053_53"/>
      <w:bookmarkEnd w:id="260"/>
      <w:r>
        <w:rPr>
          <w:rFonts w:ascii="Times New Roman" w:hAnsi="Times New Roman"/>
          <w:sz w:val="20"/>
        </w:rPr>
        <w:t xml:space="preserve">4.9 </w:t>
      </w:r>
      <w:r>
        <w:rPr>
          <w:rFonts w:ascii="Times New Roman" w:hAnsi="Times New Roman"/>
          <w:sz w:val="20"/>
          <w:u w:val="single"/>
        </w:rPr>
        <w:t>Absence of Undisclosed Liabilities</w:t>
      </w:r>
      <w:r>
        <w:rPr>
          <w:rFonts w:ascii="Times New Roman" w:hAnsi="Times New Roman"/>
          <w:sz w:val="20"/>
        </w:rPr>
        <w:t xml:space="preserve">. Since December 31, 2022, Aspen and its Subsidiaries do not have any Liabilities of a type required to be reflected or reserved for on a balance sheet prepared in accordance with GAAP, except for (i) Liabilities or obligations specifically disclosed, reflected or reserved against in the Aspen Balance Sheet; (ii) Liabilities incurred in the Ordinary Course of Business since the date of the Aspen Balance Sheet; (iii) Liabilities to perform under Contracts entered into by Aspen or its Subsidiaries (none of which is a Liability for breach of contract, breach of warranty, tort, infringement, violation of Law, or that relates to any lawsuit); (iv) Liabilities incurred in connection with the Contemplated Transactions; and (v) Liabilities that would not be reasonably expected to have, individually or in the aggregate, an Aspen Material Adverse Effect. </w:t>
      </w:r>
    </w:p>
    <w:p>
      <w:pPr>
        <w:pStyle w:val="TextBody"/>
        <w:bidi w:val="0"/>
        <w:spacing w:before="240" w:after="0"/>
        <w:jc w:val="left"/>
        <w:rPr>
          <w:rFonts w:ascii="Times New Roman" w:hAnsi="Times New Roman"/>
          <w:sz w:val="20"/>
        </w:rPr>
      </w:pPr>
      <w:bookmarkStart w:id="261" w:name="annxa770053_54"/>
      <w:bookmarkEnd w:id="261"/>
      <w:r>
        <w:rPr>
          <w:rFonts w:ascii="Times New Roman" w:hAnsi="Times New Roman"/>
          <w:sz w:val="20"/>
        </w:rPr>
        <w:t xml:space="preserve">4.10 </w:t>
      </w:r>
      <w:r>
        <w:rPr>
          <w:rFonts w:ascii="Times New Roman" w:hAnsi="Times New Roman"/>
          <w:sz w:val="20"/>
          <w:u w:val="single"/>
        </w:rPr>
        <w:t>Title to Assets</w:t>
      </w:r>
      <w:r>
        <w:rPr>
          <w:rFonts w:ascii="Times New Roman" w:hAnsi="Times New Roman"/>
          <w:sz w:val="20"/>
        </w:rPr>
        <w:t xml:space="preserve">. Each of Aspen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Aspen Balance Sheet and (b) all other tangible assets reflected in the books and records of Aspen as being owned by Aspen. All of such assets are owned or, in the case of leased assets, leased by Aspen or any of its Subsidiaries free and clear of any Encumbrances, other than Permitted Encumbrances. </w:t>
      </w:r>
    </w:p>
    <w:p>
      <w:pPr>
        <w:pStyle w:val="TextBody"/>
        <w:bidi w:val="0"/>
        <w:spacing w:before="240" w:after="0"/>
        <w:jc w:val="left"/>
        <w:rPr>
          <w:rFonts w:ascii="Times New Roman" w:hAnsi="Times New Roman"/>
          <w:sz w:val="20"/>
        </w:rPr>
      </w:pPr>
      <w:bookmarkStart w:id="262" w:name="annxa770053_55"/>
      <w:bookmarkEnd w:id="262"/>
      <w:r>
        <w:rPr>
          <w:rFonts w:ascii="Times New Roman" w:hAnsi="Times New Roman"/>
          <w:sz w:val="20"/>
        </w:rPr>
        <w:t xml:space="preserve">4.11 </w:t>
      </w:r>
      <w:r>
        <w:rPr>
          <w:rFonts w:ascii="Times New Roman" w:hAnsi="Times New Roman"/>
          <w:sz w:val="20"/>
          <w:u w:val="single"/>
        </w:rPr>
        <w:t>Real Property; Leasehold</w:t>
      </w:r>
      <w:r>
        <w:rPr>
          <w:rFonts w:ascii="Times New Roman" w:hAnsi="Times New Roman"/>
          <w:sz w:val="20"/>
        </w:rPr>
        <w:t>. Neither Aspen nor any of its Subsidiaries owns or has ever owned any real property. Aspen has made available to the Company (a) an accurate and complete list of all real properties with respect to which Aspen directly or indirectly holds a valid leasehold interest as well as any other real estate that is in the possession of or leased by Aspen or any of its Subsidiaries and (b) copies of all leases under which any such real property is possessed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63" w:name="annxa770053_56"/>
      <w:bookmarkEnd w:id="263"/>
      <w:r>
        <w:rPr>
          <w:rFonts w:ascii="Times New Roman" w:hAnsi="Times New Roman"/>
          <w:sz w:val="20"/>
        </w:rPr>
        <w:t xml:space="preserve">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Aspen Disclosure Schedule contains a true and complete list of all issued Patents, Marks and Copyrights included in the Aspen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hAnsi="Times New Roman"/>
          <w:b/>
          <w:sz w:val="20"/>
        </w:rPr>
        <w:t>Aspen Registered IP</w:t>
      </w:r>
      <w:r>
        <w:rPr>
          <w:rFonts w:ascii="Times New Roman" w:hAnsi="Times New Roman"/>
          <w:sz w:val="20"/>
        </w:rPr>
        <w:t xml:space="preserve">), including, with respect to each such item, (i) the jurisdiction of application/registration, (ii) the application or registration number, (iii) the date of filing, or issuance or registration, and (iv) the record owner or owners, for each such item. Each material item of Aspen Registered IP, except for Patents, is subsisting, valid and enforceable. With respect to Patents, each material item of Aspen Registered IP is subsisting and, to the Knowledge of Aspen, all issued Patents within the Aspen Registered IP are valid and enforceable. All filing, registration, maintenance, renewal and similar fees applicable to any Aspen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 interference, opposition, reissue, reexamination, or cancellation proceeding or other Legal Proceeding (other than routine ordinary course proceedings as part of patent prosecution) is pending or, to the Knowledge of Aspen, threatened regarding any Aspen Intellectual Property, including with respect to the scope, validity, enforceability, registration, priority, inventorship or ownership of, or rights to, any Aspen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All founders, key employees and any other employees, contractors, consultants or other personnel involved in the development of Aspen Owned Intellectual Property have signed confidentiality and invention assignment agreements or similar agreements for the transfer or assignment of such Aspen Owned Intellectual Property pursuant to which both (i) Aspen has obtained ownership of and are the exclusive owners of all right, title and interest in and to such Aspen Owned Intellectual Property, and (ii) such personnel are bound by commercially reasonable confidentiality obligations with respect to all Aspen Intellectual Property. To the Knowledge of Aspen, no such personnel are in violation of any such agreements, or of any agreements with any prior employer or other Person with respect to development of any Aspen Owned Intellectual Property,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Aspen Owned Intellectual Property is solely and exclusively owned by Aspen free and clear of any Encumbrance, other than Permitted Encumbrances. To the Knowledge of Aspen, except as would not reasonably be expected to have, individually or in the aggregate, an Aspen Material Adverse Effect, the Aspen Licensed Intellectual Property is in-licensed by Aspen, free and clear of any Encumbrance, other than Permitted Encumbrances. Except as would not reasonably be expected to have, individually or in the aggregate, an Aspen Material Adverse Effect, such ownership or licenses will not be affected by the execution, delivery, or performance of this Agreement or the consummation of the Transactions, and all Intellectual Property subject thereto will be owned or in-licensed by Aspen on the same terms and conditions thereafter. To the Knowledge of Aspen, Aspen owns or has a valid and enforceable license to use all material Intellectual Property necessary for, or used or held for use in, the operation of the business of Aspen as presently conducted; provided that the foregoing is not, and shall not be construed as, a representation or warranty regarding non-infringement, misappropriation or other violation by Aspen of the Intellectual Property of other Persons. To the Knowledge of Aspen, no current or former director, officer, employee or contractor of, or consultant to, Aspen owns or has any claim, right (whether or not currently exercisable) or interest (or, to the Knowledge of Aspen, has alleged that they own or have any such claim, right or interest) to or in any Aspen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Aspen, the operation of the business of Aspen as of the date of this Agreement does not infringe, misappropriate or otherwise violate, and as currently conducted has not infringed, misappropriated or otherwise violated, and the further research, development and commercialization of Aspen Products as currently planned by Aspen will not infringe, misappropriate or otherwise violate, any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owned by any other Person, except as would not reasonably be expected to have, individually or in the aggregate, an Aspen Material Adverse Effect. As of the date hereof, neither Aspen, nor, to the Knowledge of Aspen, any of the licensors of Aspen, has received any notice or claim alleging any such infringement, misappropriation or other violation, including any so-called invitation to license letter. As of the date hereof, no Legal Proceeding, is pending or, to the Knowledge of Aspen, has been threatened, against Aspen or such licensors relating to any infringement, misappropriation or other violation of any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Neither Aspen nor Aspen Owned Intellectual Property is subject to any Order as of the date hereof, and neither Aspen nor, to the Knowledge of Aspen, any of its licensors has entered into or is a party to any agreement made in settlement of any pending litigation or other Legal Proceeding, which in any case restricts, impairs or relates Aspens to use or other exploitation in any manner of any Aspen Intellectual Property or of any other Intellectual Property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Aspen, no Person is infringing, misappropriating or otherwise violating, or has infringed, misappropriated or otherwise violated, any Aspen Intellectual Property, and no Legal Proceeding has been asserted or is pending or has been threatened against any Person alleging any such infringement, misappropriation or other violation of any Aspen Intellectual Property,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Aspen has taken commercially reasonable steps necessary to maintain and protect the secrecy and confidentiality (including limitations on use) of all Trade Secrets and other confidential information included in Aspen Intellectual Property and, to the Knowledge of Aspen, there has not been any unauthorized use, disclosure of or access to any such Trade Secrets or other confidential information,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4.12(i)</w:t>
      </w:r>
      <w:r>
        <w:rPr>
          <w:rFonts w:ascii="Times New Roman" w:hAnsi="Times New Roman"/>
          <w:sz w:val="20"/>
        </w:rPr>
        <w:t xml:space="preserve"> of Aspen Disclosure Schedule contains a true and complete list of any and all material Aspen Intellectual Property that is Government Funded IP. Aspen, and, to the Knowledge of Aspen, each of its licensors with respect to any Government Funded IP, have complied with any and all any Intellectual Property disclosure, licensing and other obligations under any applicable Aspen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Aspen, each item of Aspen Intellectual Property that is Aspen Registered IP owned by Aspen is and at all times has been filed and maintained in compliance with all applicable Law and all filings, payments, and other actions required to be made or taken to maintain such item of Aspen Registered IP in full force and effect have been made by the applicable deadline,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 Except as contained in agreements entered into in the ordinary course of business by Aspen as of the Closing Date or as disclosed in Section 4.12(k) of this Disclosure Schedule, (i) Aspen is not bound by any Aspen Contract to indemnify, defend, hold harmless, or reimburse any other Person with respect to any infringement, misappropriation, or similar claim relating to Intellectual Property that is material to Aspen, taken as a whole and (ii) Aspen has not ever assumed, or agreed to discharge or otherwise take responsibility for, any existing or potential liability of another Person for infringement, misappropriation, or violation of any material Intellectual Property right. </w:t>
      </w:r>
    </w:p>
    <w:p>
      <w:pPr>
        <w:pStyle w:val="TextBody"/>
        <w:bidi w:val="0"/>
        <w:spacing w:before="240" w:after="0"/>
        <w:jc w:val="left"/>
        <w:rPr>
          <w:rFonts w:ascii="Times New Roman" w:hAnsi="Times New Roman"/>
          <w:sz w:val="20"/>
        </w:rPr>
      </w:pPr>
      <w:r>
        <w:rPr>
          <w:rFonts w:ascii="Times New Roman" w:hAnsi="Times New Roman"/>
          <w:sz w:val="20"/>
        </w:rPr>
        <w:t xml:space="preserve">(l) Aspen has delivered or made available to Aspen, a complete and accurate copy of all Aspen License Agreements. With respect to each of the material Aspen License Agreements: and except as disclosed in Section 4.12(l) of the Disclosure Schedule (i) to the Knowledge of Aspen each such agreement is valid, binding on, enforceable against Aspen, in accordance with its terms, subject to the Enforceability Exceptions, (ii)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not received any written notice of termination or cancellation under such agreement, or received any written notice of breach or default under such agreement, which breach has not been cured or waived and (iii) neither Aspen nor to the Knowledge of Aspen, no other party to any such agreement, is in breach or default thereof in any material respect. </w:t>
      </w:r>
    </w:p>
    <w:p>
      <w:pPr>
        <w:pStyle w:val="TextBody"/>
        <w:bidi w:val="0"/>
        <w:spacing w:before="240" w:after="0"/>
        <w:jc w:val="left"/>
        <w:rPr>
          <w:rFonts w:ascii="Times New Roman" w:hAnsi="Times New Roman"/>
          <w:sz w:val="20"/>
        </w:rPr>
      </w:pPr>
      <w:bookmarkStart w:id="264" w:name="annxa770053_57"/>
      <w:bookmarkEnd w:id="264"/>
      <w:r>
        <w:rPr>
          <w:rFonts w:ascii="Times New Roman" w:hAnsi="Times New Roman"/>
          <w:sz w:val="20"/>
        </w:rPr>
        <w:t xml:space="preserve">4.13 </w:t>
      </w:r>
      <w:r>
        <w:rPr>
          <w:rFonts w:ascii="Times New Roman" w:hAnsi="Times New Roman"/>
          <w:sz w:val="20"/>
          <w:u w:val="single"/>
        </w:rPr>
        <w:t>Agreements, Contracts and Commitments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Aspen Disclosure Schedule identifies each of the following types of Aspen Contracts that is in effect as of the date of this Agreement, other than Aspen Employee Plans, the definitive agreements in respect of the Contemplated Transactions and Contracts filed as exhibits to the Aspen SEC Documents (each, an </w:t>
      </w:r>
      <w:r>
        <w:rPr>
          <w:rFonts w:ascii="Times New Roman" w:hAnsi="Times New Roman"/>
          <w:b/>
          <w:sz w:val="20"/>
        </w:rPr>
        <w:t>Aspen Material Contract</w:t>
      </w:r>
      <w:r>
        <w:rPr>
          <w:rFonts w:ascii="Times New Roman" w:hAnsi="Times New Roman"/>
          <w:sz w:val="20"/>
        </w:rPr>
        <w:t> and collectively, the </w:t>
      </w:r>
      <w:r>
        <w:rPr>
          <w:rFonts w:ascii="Times New Roman" w:hAnsi="Times New Roman"/>
          <w:b/>
          <w:sz w:val="20"/>
        </w:rPr>
        <w:t>Aspen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is a material contract (as such term is defined in Item 601(b)(10) of Regulation S-K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 that relates to any material bonus, deferred compensation, or severance plans or arrangements; </w:t>
      </w:r>
    </w:p>
    <w:p>
      <w:pPr>
        <w:pStyle w:val="TextBody"/>
        <w:bidi w:val="0"/>
        <w:spacing w:before="120" w:after="0"/>
        <w:jc w:val="left"/>
        <w:rPr>
          <w:rFonts w:ascii="Times New Roman" w:hAnsi="Times New Roman"/>
          <w:sz w:val="20"/>
        </w:rPr>
      </w:pPr>
      <w:r>
        <w:rPr>
          <w:rFonts w:ascii="Times New Roman" w:hAnsi="Times New Roman"/>
          <w:sz w:val="20"/>
        </w:rPr>
        <w:t xml:space="preserve">(iii) evidencing a commitment by Aspen or any of its Subsidiaries to make a future capital expenditure in excess of $250,000 that is not terminable by such Entity upon notice of sixty (60) days or less without penalty or liability; </w:t>
      </w:r>
    </w:p>
    <w:p>
      <w:pPr>
        <w:pStyle w:val="TextBody"/>
        <w:bidi w:val="0"/>
        <w:spacing w:before="120" w:after="0"/>
        <w:jc w:val="left"/>
        <w:rPr>
          <w:rFonts w:ascii="Times New Roman" w:hAnsi="Times New Roman"/>
          <w:sz w:val="20"/>
        </w:rPr>
      </w:pPr>
      <w:r>
        <w:rPr>
          <w:rFonts w:ascii="Times New Roman" w:hAnsi="Times New Roman"/>
          <w:sz w:val="20"/>
        </w:rPr>
        <w:t xml:space="preserve">(iv) that requires payments by Aspen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Aspen or any of its Subsidiaries on thirty (30) calendar days or less notice without liability, except to the extent general principles of wrongful termination Law may limit Aspens, or such successors ability to terminate employees at will; </w:t>
      </w:r>
    </w:p>
    <w:p>
      <w:pPr>
        <w:pStyle w:val="TextBody"/>
        <w:bidi w:val="0"/>
        <w:spacing w:before="120" w:after="0"/>
        <w:jc w:val="left"/>
        <w:rPr>
          <w:rFonts w:ascii="Times New Roman" w:hAnsi="Times New Roman"/>
          <w:sz w:val="20"/>
        </w:rPr>
      </w:pPr>
      <w:r>
        <w:rPr>
          <w:rFonts w:ascii="Times New Roman" w:hAnsi="Times New Roman"/>
          <w:sz w:val="20"/>
        </w:rPr>
        <w:t xml:space="preserve">(v) (A) that includes (1) any most favored nations terms or conditions, including with respect to pricing, (2) containing exclusivity obligations or otherwise limiting the freedom or right of Aspen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 occupy any securities, assets (including Intellectual Property) or other interest of Aspen or any of its Subsidiaries or (B) containing any provision or covenant that materially limits, or purports to materially limit, the ability of Aspen or any of its Subsidiaries to engage in any line of business (whether generally or in any geographic area) or compete with any Person or in any line of business or geographic area; </w:t>
      </w:r>
    </w:p>
    <w:p>
      <w:pPr>
        <w:pStyle w:val="TextBody"/>
        <w:bidi w:val="0"/>
        <w:spacing w:before="120" w:after="0"/>
        <w:jc w:val="left"/>
        <w:rPr>
          <w:rFonts w:ascii="Times New Roman" w:hAnsi="Times New Roman"/>
          <w:sz w:val="20"/>
        </w:rPr>
      </w:pPr>
      <w:r>
        <w:rPr>
          <w:rFonts w:ascii="Times New Roman" w:hAnsi="Times New Roman"/>
          <w:sz w:val="20"/>
        </w:rPr>
        <w:t xml:space="preserve">(vi) relating to or evidencing indebtedness for borrowed money or any guarantee of indebtedness for borrowed money by Aspen or any of its Subsidiaries in excess of $250,000 (excluding loans by Aspen to wholly-owned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providing for or governing the formation of any joint venture, partnership, strategic alliance, research and development collaboration,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(viii) providing for uncapped indemnification or guaranty to a third party, in each case except (A) as entered into in the Ordinary Course of Business and (B) for any Aspen Outbound License; </w:t>
      </w:r>
    </w:p>
    <w:p>
      <w:pPr>
        <w:pStyle w:val="TextBody"/>
        <w:bidi w:val="0"/>
        <w:spacing w:before="120" w:after="0"/>
        <w:jc w:val="left"/>
        <w:rPr>
          <w:rFonts w:ascii="Times New Roman" w:hAnsi="Times New Roman"/>
          <w:sz w:val="20"/>
        </w:rPr>
      </w:pPr>
      <w:r>
        <w:rPr>
          <w:rFonts w:ascii="Times New Roman" w:hAnsi="Times New Roman"/>
          <w:sz w:val="20"/>
        </w:rPr>
        <w:t>(ix) (A) pursuant to which any Person granted Aspen an exclusive license under any Intellectual Property, or (B) pursuant to which Aspen or any of its Subsidiaries granted any Person an exclusive license under any Aspen Intellectual Property (</w:t>
      </w:r>
      <w:r>
        <w:rPr>
          <w:rFonts w:ascii="Times New Roman" w:hAnsi="Times New Roman"/>
          <w:b/>
          <w:sz w:val="20"/>
        </w:rPr>
        <w:t>Aspen License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that has continuing obligations or interests involving (A) milestone or other similar contingent payments, including upon the achievement of development, regulatory or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milestones, or (B) payment of royalties or other amounts calculated based upon sales, revenue, income or similar measure of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 that is a settlement, conciliation or similar Contract with or approved by any Governmental Authority (A) pursuant to which Aspen or any of its Subsidiaries will be required after the date of this Agreement to pay any monetary obligations or (B) that contains material obligations or limitations on the conduct of Aspen or any of its Subsidiaries (other than customary confidentiality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 with any Governmental Authority, except for materials transfer agreements, agreements with academic institutions and non-disclosure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that is a clinical trial agreement, clinical study agreement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(xiv) (A) that is a collective bargaining agreement or (B) with any labor organization; </w:t>
      </w:r>
    </w:p>
    <w:p>
      <w:pPr>
        <w:pStyle w:val="TextBody"/>
        <w:bidi w:val="0"/>
        <w:spacing w:before="120" w:after="0"/>
        <w:jc w:val="left"/>
        <w:rPr>
          <w:rFonts w:ascii="Times New Roman" w:hAnsi="Times New Roman"/>
          <w:sz w:val="20"/>
        </w:rPr>
      </w:pPr>
      <w:r>
        <w:rPr>
          <w:rFonts w:ascii="Times New Roman" w:hAnsi="Times New Roman"/>
          <w:sz w:val="20"/>
        </w:rPr>
        <w:t xml:space="preserve">(xv) that prohibits the payment of dividends or distributions in respect of the capital stock of Aspen or any of its Subsidiaries, the pledging of the capital stock or other equity interests of Aspen or any of its Subsidiaries or the issuance of any guaranty by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relating to the disposition or acquisition of material assets or any ownership interest in any Entity; </w:t>
      </w:r>
    </w:p>
    <w:p>
      <w:pPr>
        <w:pStyle w:val="TextBody"/>
        <w:bidi w:val="0"/>
        <w:spacing w:before="120" w:after="0"/>
        <w:jc w:val="left"/>
        <w:rPr>
          <w:rFonts w:ascii="Times New Roman" w:hAnsi="Times New Roman"/>
          <w:sz w:val="20"/>
        </w:rPr>
      </w:pPr>
      <w:r>
        <w:rPr>
          <w:rFonts w:ascii="Times New Roman" w:hAnsi="Times New Roman"/>
          <w:sz w:val="20"/>
        </w:rPr>
        <w:t xml:space="preserve">(xvii) requiring payment by or to Aspen or any of its Subsidiaries after the date of this Agreement in excess of $150,000 pursuant to its express terms relating to: (A) any distribution agreement (identifying any that contain exclusivity provisions), (B) any agreement involving provision of services or products with respect to any pre-clinical or clinical development activities of Aspen or any of its Subsidiaries, (C) any dealer, distributor, joint marketing, alliance, joint venture, cooperation, development or other agreement currently in force under which Aspen or any of its Subsidiaries has continuing obligations to develop or market any product, technology or service, or any agreement pursuant to which Aspen or any of its Subsidiaries has continuing obligations to develop any Intellectual Property that will not be owned, in whole or in part, by Aspen or (D) any Contract to license any patent, trademark registration, service mark registration, trade name or copyright registration to or from any third party to manufacture or produce any product, service or technology of Aspen or any of its Subsidiaries or any Contract to sell, distribute or commercialize any products or service of Aspen or any of its Subsidiaries, in each case, except for Aspen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(xviii) with any Person, including any financial advisor, broker, finder, investment banker or other Person, providing advisory services to Aspen or any of its Subsidiaries in connection with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(xix) that was entered into since January 1, 2021 and (A) was entered into with any present or former officer, director or employee of Aspen or any of its Subsidiaries (other than indemnification agreements or any Employee Plans entered into in the ordinary course of business) or (B) is the type of Contract that would be required to be disclosed under Item 404 of Regulation S-K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Aspen has delivered or made available to the Company accurate and complete copies of all Aspen Material Contracts, including all amendments thereto. There are no Aspen Material Contracts that are not in written form. Aspen has not nor, to Aspens Knowledge as of the date of this Agreement, has any other party to an Aspen Material Contract, breached, violated or defaulted under, or received notice that it breached, violated or defaulted under, any of the terms or conditions of any Aspen Material Contract in such manner as would permit any other party to cancel or terminate any such Aspen Material Contract, or would permit any other party to seek damages which would reasonably be expected to have an Aspen Material Adverse Effect. As to Aspen and its Subsidiaries, as of the date of this Agreement, each Aspen Material Contract is valid, binding, enforceable and in full force and effect, subject to the Enforceability Exceptions. No Person is renegotiating, or has a right pursuant to the terms of any Aspen Material Contract to change any material amount paid or payable to Aspen under any Aspen Material Contract or any other material term or provision of any Aspen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65" w:name="annxa770053_58"/>
      <w:bookmarkEnd w:id="265"/>
      <w:r>
        <w:rPr>
          <w:rFonts w:ascii="Times New Roman" w:hAnsi="Times New Roman"/>
          <w:sz w:val="20"/>
        </w:rPr>
        <w:t xml:space="preserve">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is, and since January 1, 2021, has been in compliance in all material respects with all Laws applicable to Aspen and its Subsidiaries, and, since January 1, 2021, Aspen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Aspen and its Subsidiaries holds, and since January 1, 2021 has held, all Governmental Authorizations necessary for Aspen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Aspen and its Subsidiaries, taken as a whole. The Governmental Authorizations held by Aspen and its Subsidiaries are (i) valid and in full force and effect and (ii) are not subject to any administrative or judicial proceeding that would reasonably be expected to result in any termination, suspension, revocation or nonrenewal thereof (and, to the Knowledge of Aspen, no such termination, suspension, revocation or nonrenewal has been otherwise threatened in writing), and Aspen and its Subsidiaries are in compliance with the terms and requirements thereof, except in the case of each of clauses (i) and (ii) as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Aspen Products,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an Aspen Material Adverse Effect. As of the date hereof, neither Aspen nor its Subsidiaries nor, to the Knowledge of Aspen, any Collaboration Partner has received any written notices or other correspondence from any Drug Governmental Authority or any institutional review board or ethics committee with respect to any ongoing clinical or preclinical studies or trials (i) placing a clinical hold order on any such studies or trials or (ii) otherwise requiring the delay, termination, or suspension of such studies or trials. Since January 1, 2021, neither Aspen nor its Subsidiaries nor, to the Knowledge of Aspen, any Collaboration Partner has received any Form FDA 483, warning letter, notice of violation, or other written administrative, regulatory or enforcement notice from the FDA or any other Drug Governmental Authority related to the Aspen Products. </w:t>
      </w:r>
    </w:p>
    <w:p>
      <w:pPr>
        <w:pStyle w:val="TextBody"/>
        <w:bidi w:val="0"/>
        <w:spacing w:before="240" w:after="0"/>
        <w:jc w:val="left"/>
        <w:rPr>
          <w:rFonts w:ascii="Times New Roman" w:hAnsi="Times New Roman"/>
          <w:sz w:val="20"/>
        </w:rPr>
      </w:pPr>
      <w:r>
        <w:rPr>
          <w:rFonts w:ascii="Times New Roman" w:hAnsi="Times New Roman"/>
          <w:sz w:val="20"/>
        </w:rPr>
        <w:t xml:space="preserve">(d) Aspen and its Subsidiaries have filed with the applicable Drug Governmental Authorities all required material Healthcare Submissions with respect to the Aspen Products. All filings for Aspen Governmental Authorizations and Healthcare Submissions were complete and accurate in all material respects and in material compliance with applicable Laws and Orders when filed, or were subsequently corrected or completed by a subsequent filing made prior to the date hereof. No deficiencies have been asserted in writing by any applicable Drug Governmental Authority to Aspen and its Subsidiaries with respect to any Healthcare Submission, except as are not, and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2021, neither Aspen nor its Subsidiaries, nor any authorized person acting on their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Aspen nor its Subsidiaries, nor any director, officer or employee of Aspen or its Subsidiaries (acting in the capacity of a director, officer or employee of Aspen or its Subsidiaries) or, to the Knowledge of Aspen, any representative or agent of Aspen or its Subsidiaries (acting in the capacity of a representative or agent of Aspen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 would reasonably be expected to result in debarment, exclusion or suspension as described in the foregoing clauses (i), (ii) or (iii); (v) declared ineligible for awards of contracts by any U.S. or non-U.S. federal, state, provincial or other agency; (vi) disqualified as a clinical investigator by the FDA or any other Drug Governmental Authority; or (vii) convicted of any offense related to any U.S. or non-U.S. federal, state, provincial or other healthcare program. </w:t>
      </w:r>
    </w:p>
    <w:p>
      <w:pPr>
        <w:pStyle w:val="TextBody"/>
        <w:bidi w:val="0"/>
        <w:spacing w:before="240" w:after="0"/>
        <w:jc w:val="left"/>
        <w:rPr>
          <w:rFonts w:ascii="Times New Roman" w:hAnsi="Times New Roman"/>
          <w:sz w:val="20"/>
        </w:rPr>
      </w:pPr>
      <w:r>
        <w:rPr>
          <w:rFonts w:ascii="Times New Roman" w:hAnsi="Times New Roman"/>
          <w:sz w:val="20"/>
        </w:rPr>
        <w:t xml:space="preserve">(g) Except with respect to any Aspen Product for which Aspen has withdrawn and/or terminated the IND and/or CTA, as applicable, and excluding any compassionate use/named patient activities not sponsored by Aspen, Aspen has made available to the Company complete and accurate copies of (i) each investigational new drug application and all material correspondence relating to clinical trial applications submitted to the FDA or any other Drug Governmental Authority by or on behalf of Aspen, including any supplements or amendments thereto, relating to any Aspen Product, (ii) all final preclinical study and clinical trial results or reports relating to any Aspen Product, (iii) all documents in the possession of Aspen or its Subsidiaries related to inspections by any Drug Governmental Authority, in each case relating to any Aspen Product, (iv) all material information relating to adverse drug experiences, events or reactions or other safety information obtained or otherwise received by Aspen relating to any Aspen Product, and (v) clinical trial databases, clinical trial master files, and statistical programs for ongoing and completed clinical trials and studies in the possession of Aspen or its Subsidiaries or, to the Knowledge of Aspen, in a Collaboration Partners possession, relating to any Aspen Product. Aspen has a complete log of the material correspondence described in clause (i) of this section, except as has not been, and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neither Aspen nor any of its Subsidiaries has any current or future obligation or requirement to issue any safety reports to the FDA or any other Drug Governmental Authority on any matter, including with respect to any investigational new drug application (IND) or clinical trial application (CTA), including with respect to any Aspen Product, and any such prior obligation or requirement has either been terminated by the FDA or other applicable Drug Governmental Authority or has been transferred to a third party without any further requirement on the part of Aspen in respect of such drug safety reporting or otherwise. </w:t>
      </w:r>
    </w:p>
    <w:p>
      <w:pPr>
        <w:pStyle w:val="TextBody"/>
        <w:bidi w:val="0"/>
        <w:spacing w:before="240" w:after="0"/>
        <w:jc w:val="left"/>
        <w:rPr>
          <w:rFonts w:ascii="Times New Roman" w:hAnsi="Times New Roman"/>
          <w:sz w:val="20"/>
        </w:rPr>
      </w:pPr>
      <w:bookmarkStart w:id="266" w:name="annxa770053_59"/>
      <w:bookmarkEnd w:id="266"/>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4.15(a)</w:t>
      </w:r>
      <w:r>
        <w:rPr>
          <w:rFonts w:ascii="Times New Roman" w:hAnsi="Times New Roman"/>
          <w:sz w:val="20"/>
        </w:rPr>
        <w:t xml:space="preserve"> of the Aspen Disclosure Schedule, there is no pending Legal Proceeding and, to the Knowledge of Aspen, no Person has threatened in writing to commence any Legal Proceeding: (i) that involves Aspen or any of its Subsidiaries or any Aspen Associate (in his or her capacity as such) or any of the material assets owned or used by Aspen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Aspen or any of its Subsidiaries, or any of the material assets owned or used by Aspen or any of its Subsidiaries is subject. To the Knowledge of Aspen, no officer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Aspen Key Employee or any of its Subsidiaries is subject to any Order that prohibits such officer or employee from engaging in or continuing any conduct, activity or practice relating to the business of Aspen or any of its Subsidiaries or to any material assets owned or used by Aspen or any of its Subsidiaries. </w:t>
      </w:r>
    </w:p>
    <w:p>
      <w:pPr>
        <w:pStyle w:val="TextBody"/>
        <w:bidi w:val="0"/>
        <w:spacing w:before="240" w:after="0"/>
        <w:jc w:val="left"/>
        <w:rPr>
          <w:rFonts w:ascii="Times New Roman" w:hAnsi="Times New Roman"/>
          <w:sz w:val="20"/>
        </w:rPr>
      </w:pPr>
      <w:bookmarkStart w:id="267" w:name="annxa770053_60"/>
      <w:bookmarkEnd w:id="267"/>
      <w:r>
        <w:rPr>
          <w:rFonts w:ascii="Times New Roman" w:hAnsi="Times New Roman"/>
          <w:sz w:val="20"/>
        </w:rPr>
        <w:t xml:space="preserve">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Aspen and its Subsidiaries have been paid regardless of whether such Taxes have been shown as due and payable on any Tax Return. Aspen and its Subsidiaries have established on their relevant books and records, in accordance with GAAP, reserves that are adequate for the payment of any income or other material Taxes not yet due and payable. None of Aspen and its Subsidiaries currently is the beneficiary of any extension of time within which to file any income or other material Tax Return, other than customary extensions that have been obtained consistent with past practice. There are no Encumbrances on any of the assets of Aspen and its Subsidiaries that arose in connection with any failure to pay any material Tax,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None of Aspen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be material to Aspen and its Subsidiaries, taken as a whole, Aspen and its Subsidiaries have: (i) 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Aspen and its Subsidiaries, taken as a whole, there is no dispute, audits, examinations, assessments or other actions concerning any Tax liability of Aspen and its Subsidiaries pending or, to the Knowledge of Aspen, threatened by any Governmental Authority against, or with respect to, Aspen and its Subsidiaries that remains unpaid, and none of Aspen and its Subsidiaries has received written notice of any threatened audits, examinations or assessments relating to any Taxes. </w:t>
      </w:r>
    </w:p>
    <w:p>
      <w:pPr>
        <w:pStyle w:val="TextBody"/>
        <w:bidi w:val="0"/>
        <w:spacing w:before="240" w:after="0"/>
        <w:jc w:val="left"/>
        <w:rPr>
          <w:rFonts w:ascii="Times New Roman" w:hAnsi="Times New Roman"/>
          <w:sz w:val="20"/>
        </w:rPr>
      </w:pPr>
      <w:r>
        <w:rPr>
          <w:rFonts w:ascii="Times New Roman" w:hAnsi="Times New Roman"/>
          <w:sz w:val="20"/>
        </w:rPr>
        <w:t xml:space="preserve">(e) None of Aspen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None of Aspen and its Subsidiaries has constituted a distributing corporation or controlled corporation in a distribution of stock intended to qualify for Tax-free treatment under Section 355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Aspen, none of Aspen and its Subsidiaries has entered into or been a party to any listed transaction within the meaning of Treasury regulations Section 1.6011-4(b)(2) for a taxable period for which the applicable statute of limitations remains open.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None of Aspen and its Subsidiaries are party to any agreements relating to the allocation or sharing of Taxes, including Tax indemnity agreements,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(i) None of Aspen and its Subsidiaries (i) has been a member of an affiliated group of corporations within the meaning of Section 1504 of the Code (or similar provision of local, state or non-U.S. Law), other than any affiliated group of which Aspen is the common parent or (ii) 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(j) None of Aspen and its Subsidiaries is subject to Tax in any jurisdiction other than the jurisdiction in which it is organized, by virtue of having a permanent establishment, fixed place of business or, to the Knowledge of Aspen, otherwise. As of the date hereof, no claim has been made by a Governmental Authority in a jurisdiction where Aspen or any of its Subsidiaries does not file Tax Returns that Aspen or any of its Subsidiaries is or may be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(k) Aspen is not and has not been a United States real property holding corporation within the meaning of Section 897(c)(2) of the Code in the last five (5) years. </w:t>
      </w:r>
    </w:p>
    <w:p>
      <w:pPr>
        <w:pStyle w:val="TextBody"/>
        <w:bidi w:val="0"/>
        <w:spacing w:before="240" w:after="0"/>
        <w:jc w:val="left"/>
        <w:rPr>
          <w:rFonts w:ascii="Times New Roman" w:hAnsi="Times New Roman"/>
          <w:sz w:val="20"/>
        </w:rPr>
      </w:pPr>
      <w:r>
        <w:rPr>
          <w:rFonts w:ascii="Times New Roman" w:hAnsi="Times New Roman"/>
          <w:sz w:val="20"/>
        </w:rPr>
        <w:t xml:space="preserve">(l) Neither Aspen nor any of its Subsidiaries is aware of any facts or circumstances or has taken or agreed to take or refrain from taking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268" w:name="annxa770053_61"/>
      <w:bookmarkEnd w:id="268"/>
      <w:r>
        <w:rPr>
          <w:rFonts w:ascii="Times New Roman" w:hAnsi="Times New Roman"/>
          <w:sz w:val="20"/>
        </w:rPr>
        <w:t xml:space="preserve">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Aspen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Aspen, taken as a whole. Aspen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 </w:t>
      </w:r>
    </w:p>
    <w:p>
      <w:pPr>
        <w:pStyle w:val="TextBody"/>
        <w:bidi w:val="0"/>
        <w:spacing w:before="240" w:after="0"/>
        <w:jc w:val="left"/>
        <w:rPr>
          <w:rFonts w:ascii="Times New Roman" w:hAnsi="Times New Roman"/>
          <w:sz w:val="20"/>
        </w:rPr>
      </w:pPr>
      <w:r>
        <w:rPr>
          <w:rFonts w:ascii="Times New Roman" w:hAnsi="Times New Roman"/>
          <w:sz w:val="20"/>
        </w:rPr>
        <w:t xml:space="preserve">(b) Aspen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Aspen and, as of the date hereof, there is not, to the Knowledge of Aspen, any attempt to organize any employees of Aspen for the purpose of forming or joining a labor union or works council. Since January 1, 2021 to the date hereof, there has been no strike, slowdown, picketing, lockout, job action, work stoppage, union organizing activity or other labor dispute, or, to the Knowledge of Aspen, any threat thereof, affecting Aspen 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and since January 1, 2021 has not been, any Legal Proceeding pending, or to the Knowledge of Aspen,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of Aspen, including unfair labor practices, misclassification of independent contractors or consultants, unlawful retaliation, discrimination or harassment complaints, in each case that is material to Aspen, taken as a whole. </w:t>
      </w:r>
    </w:p>
    <w:p>
      <w:pPr>
        <w:pStyle w:val="TextBody"/>
        <w:bidi w:val="0"/>
        <w:spacing w:before="240" w:after="0"/>
        <w:jc w:val="left"/>
        <w:rPr>
          <w:rFonts w:ascii="Times New Roman" w:hAnsi="Times New Roman"/>
          <w:sz w:val="20"/>
        </w:rPr>
      </w:pPr>
      <w:r>
        <w:rPr>
          <w:rFonts w:ascii="Times New Roman" w:hAnsi="Times New Roman"/>
          <w:sz w:val="20"/>
        </w:rPr>
        <w:t>(d) Within the past three (3) years, Aspen has not implemented any plant closing or layoff of employees that (in either case) violated the United States Worker Adjustment and Retraining Notification Act, as amended, or any similar state, local or foreign law (together, </w:t>
      </w:r>
      <w:r>
        <w:rPr>
          <w:rFonts w:ascii="Times New Roman" w:hAnsi="Times New Roman"/>
          <w:sz w:val="20"/>
          <w:u w:val="single"/>
        </w:rPr>
        <w:t>WARN</w:t>
      </w:r>
      <w:r>
        <w:rPr>
          <w:rFonts w:ascii="Times New Roman" w:hAnsi="Times New Roman"/>
          <w:sz w:val="20"/>
        </w:rPr>
        <w:t xml:space="preserve">) and Aspen has not incurred any material liability under WARN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4.17(e)</w:t>
      </w:r>
      <w:r>
        <w:rPr>
          <w:rFonts w:ascii="Times New Roman" w:hAnsi="Times New Roman"/>
          <w:sz w:val="20"/>
        </w:rPr>
        <w:t xml:space="preserve"> of the Aspen Disclosure Schedule sets forth a correct and complete list of each material Aspen Employee Plan. Aspen has made available to Company, with respect to each material Aspen Employee Plan, accurate and complete copies (as applicable) of: (i) all plan documents and all amendments thereto, and all related trust or other funding documents, and in the case of unwritten material Aspen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Aspen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Each Aspen Employee Plan that is intended to be qualified under Section 401(a) of the Code has received or is permitted to rely upon a favorable determination or opinion letter that it is so qualified, and to the Knowledge of Aspen, there are no circumstances that would reasonably be expected to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is not, and would not reasonably be expected to be, individually or in the aggregate, material to Aspen and its Subsidiaries, taken as a whole, each Aspen Employee Plan has been operated, maintained and administered in compliance with its terms and with the requirements prescribed by applicable Laws, including ERISA and the Code. As of the date hereof, no Legal Proceeding or governmental audit is pending with respect to any Aspen Employee Plan (other than routine claims for benefits) and, to the Knowledge of the Aspen, no such Legal Proceeding or governmental audit is threatened; and there are no governmental investigations pending or, to the Knowledge of the Aspen, threatened in connection with any Aspen Employee Plan, the assets of any trust under any Aspen Employee Plan or the plan sponsor, the plan administrator or any fiduciary under any Aspen Employee Plan. </w:t>
      </w:r>
    </w:p>
    <w:p>
      <w:pPr>
        <w:pStyle w:val="TextBody"/>
        <w:bidi w:val="0"/>
        <w:spacing w:before="240" w:after="0"/>
        <w:jc w:val="left"/>
        <w:rPr>
          <w:rFonts w:ascii="Times New Roman" w:hAnsi="Times New Roman"/>
          <w:sz w:val="20"/>
        </w:rPr>
      </w:pPr>
      <w:r>
        <w:rPr>
          <w:rFonts w:ascii="Times New Roman" w:hAnsi="Times New Roman"/>
          <w:sz w:val="20"/>
        </w:rPr>
        <w:t xml:space="preserve">(h) Neither Aspen nor any of its respective directors, officers, employees or agents has, with respect to any Aspen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Aspen or any Aspen Employee Plan or for which Aspen has any future indemnification obligation, except, in each case, as would not reasonably be expected, individually or in the aggregate, to result in material liability to Aspen. </w:t>
      </w:r>
    </w:p>
    <w:p>
      <w:pPr>
        <w:pStyle w:val="TextBody"/>
        <w:bidi w:val="0"/>
        <w:spacing w:before="240" w:after="0"/>
        <w:jc w:val="left"/>
        <w:rPr>
          <w:rFonts w:ascii="Times New Roman" w:hAnsi="Times New Roman"/>
          <w:sz w:val="20"/>
        </w:rPr>
      </w:pPr>
      <w:r>
        <w:rPr>
          <w:rFonts w:ascii="Times New Roman" w:hAnsi="Times New Roman"/>
          <w:sz w:val="20"/>
        </w:rPr>
        <w:t xml:space="preserve">(i) None of Aspen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No Aspen Employee Plan provides for, and Aspen does not have any present or future obligation to provide, post-retirement or post-termination health, life insurance or other welfare benefits except as required under Part 6 of Subtitle B of Title I of ERISA or Section 4980B of the Code or similar state Law. </w:t>
      </w:r>
    </w:p>
    <w:p>
      <w:pPr>
        <w:pStyle w:val="TextBody"/>
        <w:bidi w:val="0"/>
        <w:spacing w:before="240" w:after="0"/>
        <w:jc w:val="left"/>
        <w:rPr>
          <w:rFonts w:ascii="Times New Roman" w:hAnsi="Times New Roman"/>
          <w:sz w:val="20"/>
        </w:rPr>
      </w:pPr>
      <w:r>
        <w:rPr>
          <w:rFonts w:ascii="Times New Roman" w:hAnsi="Times New Roman"/>
          <w:sz w:val="20"/>
        </w:rPr>
        <w:t xml:space="preserve">(k) Aspen does not have any obligation to pay or provide any tax gross-up or similar make-whole payments or indemnities to any current or former employee, officer, director or other service provider of Aspen.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applicable, all Aspen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Aspen. </w:t>
      </w:r>
    </w:p>
    <w:p>
      <w:pPr>
        <w:pStyle w:val="TextBody"/>
        <w:bidi w:val="0"/>
        <w:spacing w:before="240" w:after="0"/>
        <w:jc w:val="left"/>
        <w:rPr>
          <w:rFonts w:ascii="Times New Roman" w:hAnsi="Times New Roman"/>
          <w:sz w:val="20"/>
        </w:rPr>
      </w:pPr>
      <w:r>
        <w:rPr>
          <w:rFonts w:ascii="Times New Roman" w:hAnsi="Times New Roman"/>
          <w:sz w:val="20"/>
        </w:rPr>
        <w:t xml:space="preserve">(m) 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Aspen of any payment or benefit that is or could be characterized as a parachute payment (within the meaning of Section 280G of the Code), determined without regard to the application of Section 280G(b)(5) of the Code. </w:t>
      </w:r>
    </w:p>
    <w:p>
      <w:pPr>
        <w:pStyle w:val="TextBody"/>
        <w:bidi w:val="0"/>
        <w:spacing w:before="240" w:after="0"/>
        <w:jc w:val="left"/>
        <w:rPr>
          <w:rFonts w:ascii="Times New Roman" w:hAnsi="Times New Roman"/>
          <w:sz w:val="20"/>
        </w:rPr>
      </w:pPr>
      <w:r>
        <w:rPr>
          <w:rFonts w:ascii="Times New Roman" w:hAnsi="Times New Roman"/>
          <w:sz w:val="20"/>
        </w:rPr>
        <w:t xml:space="preserve">(n) Each Aspen Employee Plan that is a nonqualified deferred compensation plan (as such term is defined under Section 409A(d)(1) of the Code and the guidance thereunder) has been operated and maintained in compliance in all material respects with the requirements of Section 409A of the Code and the applicable guidance thereunder. </w:t>
      </w:r>
    </w:p>
    <w:p>
      <w:pPr>
        <w:pStyle w:val="TextBody"/>
        <w:bidi w:val="0"/>
        <w:spacing w:before="240" w:after="0"/>
        <w:jc w:val="left"/>
        <w:rPr>
          <w:rFonts w:ascii="Times New Roman" w:hAnsi="Times New Roman"/>
          <w:sz w:val="20"/>
        </w:rPr>
      </w:pPr>
      <w:bookmarkStart w:id="269" w:name="annxa770053_62"/>
      <w:bookmarkEnd w:id="269"/>
      <w:r>
        <w:rPr>
          <w:rFonts w:ascii="Times New Roman" w:hAnsi="Times New Roman"/>
          <w:sz w:val="20"/>
        </w:rPr>
        <w:t xml:space="preserve">4.18 </w:t>
      </w:r>
      <w:r>
        <w:rPr>
          <w:rFonts w:ascii="Times New Roman" w:hAnsi="Times New Roman"/>
          <w:sz w:val="20"/>
          <w:u w:val="single"/>
        </w:rPr>
        <w:t>Environmental Matters</w:t>
      </w:r>
      <w:r>
        <w:rPr>
          <w:rFonts w:ascii="Times New Roman" w:hAnsi="Times New Roman"/>
          <w:sz w:val="20"/>
        </w:rPr>
        <w:t xml:space="preserve">. Since January 1, 2022, Aspen and each of its Subsidiaries has complied with all applicable Environmental Laws, which compliance includes the possession by Aspen of all permits and other Governmental Authorizations required under applicable Environmental Laws and compliance with the terms and conditions thereof, except for any failure to be in compliance that, individually or in the aggregate, would not result in an Aspen Material Adverse Effect. Neither Aspen nor any of its Subsidiaries has received since January 1, 2022, any written notice or other communication (in writing or otherwise), whether from a Governmental Authority, citizens group, employee or otherwise, that alleges that Aspen or any of its Subsidiaries is not in compliance with any Environmental Law, and, to the Knowledge of Aspen, there are no circumstances that may prevent or interfere with Aspens or any of its Subsidiaries compliance with any Environmental Law in the future, except where such failure to comply would not reasonably be expected to have an Aspen Material Adverse Effect. To the Knowledge of Aspen: (i) no current or prior owner of any property leased or controlled by Aspen or any of its Subsidiaries has received since January 1, 2022, any written notice or other communication relating to property owned or leased at any time by Aspen or any of its Subsidiaries, whether from a Governmental Authority, citizens group, employee or otherwise, that alleges that such current or prior owner or Aspen or any of its Subsidiaries is not in compliance with or violated any Environmental Law relating to such property and (ii) neither Aspen nor any of its Subsidiaries has any material liability under any Environmental Law. </w:t>
      </w:r>
    </w:p>
    <w:p>
      <w:pPr>
        <w:pStyle w:val="TextBody"/>
        <w:bidi w:val="0"/>
        <w:spacing w:before="240" w:after="0"/>
        <w:jc w:val="left"/>
        <w:rPr>
          <w:rFonts w:ascii="Times New Roman" w:hAnsi="Times New Roman"/>
          <w:sz w:val="20"/>
        </w:rPr>
      </w:pPr>
      <w:bookmarkStart w:id="270" w:name="annxa770053_63"/>
      <w:bookmarkEnd w:id="270"/>
      <w:r>
        <w:rPr>
          <w:rFonts w:ascii="Times New Roman" w:hAnsi="Times New Roman"/>
          <w:sz w:val="20"/>
        </w:rPr>
        <w:t xml:space="preserve">4.19 </w:t>
      </w:r>
      <w:r>
        <w:rPr>
          <w:rFonts w:ascii="Times New Roman" w:hAnsi="Times New Roman"/>
          <w:sz w:val="20"/>
          <w:u w:val="single"/>
        </w:rPr>
        <w:t>Insurance</w:t>
      </w:r>
      <w:r>
        <w:rPr>
          <w:rFonts w:ascii="Times New Roman" w:hAnsi="Times New Roman"/>
          <w:sz w:val="20"/>
        </w:rPr>
        <w:t xml:space="preserve">. Aspen has made available to the Company accurate and complete copies or summaries of all material insurance policies and all material self-insurance programs and arrangements relating to the business, assets, liabilities and operations of Aspen and its Subsidiaries (including Merger Sub). Each of such insurance policies is in full force and effect and Aspen and its Subsidiaries (including Merger Sub) are in compliance in all material respects with the terms thereof. Other than customary end of policy notifications from insurance carriers, since January 1, 2022, neither Aspen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policy. Each of Aspen and its Subsidiaries (including Merger Sub) has provided timely written notice to the appropriate insurance carrier(s) of each Legal Proceeding pending against Aspen or such Subsidiary for which Aspen or such Subsidiary has insurance coverage, and no such carrier has issued a denial of coverage or a reservation of rights with respect to any such Legal Proceeding, or informed Aspen or any of its Subsidiaries of its intent to do so. </w:t>
      </w:r>
    </w:p>
    <w:p>
      <w:pPr>
        <w:pStyle w:val="TextBody"/>
        <w:bidi w:val="0"/>
        <w:spacing w:before="240" w:after="0"/>
        <w:jc w:val="left"/>
        <w:rPr>
          <w:rFonts w:ascii="Times New Roman" w:hAnsi="Times New Roman"/>
          <w:sz w:val="20"/>
        </w:rPr>
      </w:pPr>
      <w:bookmarkStart w:id="271" w:name="annxa770053_64"/>
      <w:bookmarkEnd w:id="271"/>
      <w:r>
        <w:rPr>
          <w:rFonts w:ascii="Times New Roman" w:hAnsi="Times New Roman"/>
          <w:sz w:val="20"/>
        </w:rPr>
        <w:t xml:space="preserve">4.20 </w:t>
      </w:r>
      <w:r>
        <w:rPr>
          <w:rFonts w:ascii="Times New Roman" w:hAnsi="Times New Roman"/>
          <w:sz w:val="20"/>
          <w:u w:val="single"/>
        </w:rPr>
        <w:t>Transactions with Affiliates</w:t>
      </w:r>
      <w:r>
        <w:rPr>
          <w:rFonts w:ascii="Times New Roman" w:hAnsi="Times New Roman"/>
          <w:sz w:val="20"/>
        </w:rPr>
        <w:t xml:space="preserve">. Except as set forth in the Aspen SEC Documents filed prior to the date of this Agreement, since the date of Aspens last proxy statement filed in 2023 with the SEC, no event has occurred that would be required to be reported by Aspen pursuant to Item 404 of Regulation S-K promulgated by the SEC. </w:t>
      </w:r>
      <w:r>
        <w:rPr>
          <w:rFonts w:ascii="Times New Roman" w:hAnsi="Times New Roman"/>
          <w:sz w:val="20"/>
          <w:u w:val="single"/>
        </w:rPr>
        <w:t>Section 4.20</w:t>
      </w:r>
      <w:r>
        <w:rPr>
          <w:rFonts w:ascii="Times New Roman" w:hAnsi="Times New Roman"/>
          <w:sz w:val="20"/>
        </w:rPr>
        <w:t xml:space="preserve"> of the Aspen Disclosure Schedule identifies each Person who is (or who may be deemed to be) an Affiliate of Aspen as of the date of this Agreement. </w:t>
      </w:r>
    </w:p>
    <w:p>
      <w:pPr>
        <w:pStyle w:val="TextBody"/>
        <w:bidi w:val="0"/>
        <w:spacing w:before="240" w:after="0"/>
        <w:jc w:val="left"/>
        <w:rPr>
          <w:rFonts w:ascii="Times New Roman" w:hAnsi="Times New Roman"/>
          <w:sz w:val="20"/>
        </w:rPr>
      </w:pPr>
      <w:bookmarkStart w:id="272" w:name="annxa770053_65"/>
      <w:bookmarkEnd w:id="272"/>
      <w:r>
        <w:rPr>
          <w:rFonts w:ascii="Times New Roman" w:hAnsi="Times New Roman"/>
          <w:sz w:val="20"/>
        </w:rPr>
        <w:t>4.21</w:t>
      </w:r>
      <w:r>
        <w:rPr>
          <w:rFonts w:ascii="Times New Roman" w:hAnsi="Times New Roman"/>
          <w:sz w:val="20"/>
          <w:u w:val="single"/>
        </w:rPr>
        <w:t xml:space="preserve"> 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Aspen Disclosure Schedule, no broker, finder or investment banker is entitled to any brokerage fee, finders fee, opinion fee, success fee, transaction fee or other fee or commission in connection with the Contemplated Transactions based upon arrangements made by or on behalf of Aspen. </w:t>
      </w:r>
    </w:p>
    <w:p>
      <w:pPr>
        <w:pStyle w:val="TextBody"/>
        <w:bidi w:val="0"/>
        <w:spacing w:before="240" w:after="0"/>
        <w:jc w:val="left"/>
        <w:rPr>
          <w:rFonts w:ascii="Times New Roman" w:hAnsi="Times New Roman"/>
          <w:sz w:val="20"/>
        </w:rPr>
      </w:pPr>
      <w:bookmarkStart w:id="273" w:name="annxa770053_66"/>
      <w:bookmarkEnd w:id="273"/>
      <w:r>
        <w:rPr>
          <w:rFonts w:ascii="Times New Roman" w:hAnsi="Times New Roman"/>
          <w:sz w:val="20"/>
        </w:rPr>
        <w:t xml:space="preserve">4.22 </w:t>
      </w:r>
      <w:r>
        <w:rPr>
          <w:rFonts w:ascii="Times New Roman" w:hAnsi="Times New Roman"/>
          <w:sz w:val="20"/>
          <w:u w:val="single"/>
        </w:rPr>
        <w:t>Valid Issuance</w:t>
      </w:r>
      <w:r>
        <w:rPr>
          <w:rFonts w:ascii="Times New Roman" w:hAnsi="Times New Roman"/>
          <w:sz w:val="20"/>
        </w:rPr>
        <w:t xml:space="preserve">. The Aspen Common Stock to be issued in the Merger will, when issued in accordance with the provisions of this Agreement, be validly issued, fully paid and nonassessable. </w:t>
      </w:r>
    </w:p>
    <w:p>
      <w:pPr>
        <w:pStyle w:val="TextBody"/>
        <w:bidi w:val="0"/>
        <w:spacing w:before="240" w:after="0"/>
        <w:jc w:val="left"/>
        <w:rPr>
          <w:rFonts w:ascii="Times New Roman" w:hAnsi="Times New Roman"/>
          <w:sz w:val="20"/>
        </w:rPr>
      </w:pPr>
      <w:bookmarkStart w:id="274" w:name="annxa770053_67"/>
      <w:bookmarkEnd w:id="274"/>
      <w:r>
        <w:rPr>
          <w:rFonts w:ascii="Times New Roman" w:hAnsi="Times New Roman"/>
          <w:sz w:val="20"/>
        </w:rPr>
        <w:t xml:space="preserve">4.23 </w:t>
      </w:r>
      <w:r>
        <w:rPr>
          <w:rFonts w:ascii="Times New Roman" w:hAnsi="Times New Roman"/>
          <w:sz w:val="20"/>
          <w:u w:val="single"/>
        </w:rPr>
        <w:t>Privacy and Data Security</w:t>
      </w:r>
      <w:r>
        <w:rPr>
          <w:rFonts w:ascii="Times New Roman" w:hAnsi="Times New Roman"/>
          <w:sz w:val="20"/>
        </w:rPr>
        <w:t xml:space="preserve">. Since January 1, 2021, each of Aspen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Aspen and its Subsidiaries, taken as a whole. Since January 1, 2021, Aspen and its Subsidiaries have complied in all material respects with each of their respective Privacy Policies, if applicable and required. Aspen and its Subsidiaries maintain commercially reasonable policies, procedures and security measures with respect to the physical and electronic security and privacy of Personal Information that are designed to achieve compliance in all material respects with Privacy Laws, and Aspen and its Subsidiaries are in compliance in all material respects with such policies and procedures. To the Knowledge of Aspen, there have been no material breaches or material violations of any security measures of Aspen and its Subsidiaries, or any material unauthorized access, use or disclosure of any Personal Information. None of Aspen and its Subsidiaries has received written notice (or, to the Knowledge of Aspen, any other communication) of (a) any material violation or breach, or alleged material violation or breach, of Privacy Laws and/or Privacy Policies, or (b) any claims against any of Aspen and its Subsidiaries by any Person, and there is no Legal Proceeding pending or, to Knowledge of Aspen, threatened against any of Aspen and its Subsidiaries, alleging a violation or breach of Privacy Laws and/or Privacy Policies, except in each case as would not be material to Aspen and its Subsidiaries, taken as a whole. </w:t>
      </w:r>
    </w:p>
    <w:p>
      <w:pPr>
        <w:pStyle w:val="TextBody"/>
        <w:bidi w:val="0"/>
        <w:spacing w:before="240" w:after="0"/>
        <w:jc w:val="left"/>
        <w:rPr>
          <w:rFonts w:ascii="Times New Roman" w:hAnsi="Times New Roman"/>
          <w:sz w:val="20"/>
        </w:rPr>
      </w:pPr>
      <w:bookmarkStart w:id="275" w:name="annxa770053_68"/>
      <w:bookmarkEnd w:id="275"/>
      <w:r>
        <w:rPr>
          <w:rFonts w:ascii="Times New Roman" w:hAnsi="Times New Roman"/>
          <w:sz w:val="20"/>
        </w:rPr>
        <w:t xml:space="preserve">4.24 </w:t>
      </w:r>
      <w:r>
        <w:rPr>
          <w:rFonts w:ascii="Times New Roman" w:hAnsi="Times New Roman"/>
          <w:sz w:val="20"/>
          <w:u w:val="single"/>
        </w:rPr>
        <w:t>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Aspen nor Merger Sub, nor any director or officer or, to the Knowledge of Aspen, any employee of Aspen or Merger Sub (acting in the capacity of a director, officer or employee of Aspen or Merger Sub) or, to the Knowledge of Aspen or Merger Sub, any representative or agent of Aspen or Merger Sub (acting in the capacity of a representative or agent of Aspen or Merger Sub), has directly or indirectly (i) given any funds (whether of Aspen or Merger Sub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campaigns or solicited or accepted any such payment or thing of value, or (iii) violated any provision of any Anti-Corruption Law.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Merger Sub), has not received any written communication (or, to the Knowledge of Aspen, any other communication) that alleges any of the foregoing. To the Knowledge of Aspen, Aspen has disclosed to the Company any and all allegations that have been made of any potential wrongdoing by Aspen, Merger Sub, or by any director, officer, employee, agent or representative of Aspen or Merger Sub (acting in the capacity of a director, officer, employee, agent or representative of Aspen or Merger Sub) with respect to any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(b) There are not, and since January 1, 2021, there have not been, any Legal Proceedings with respect to any Anti-Corruption Law pending or, to the Knowledge of Aspen, threatened in writing against Aspen, Merger Sub,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has made any disclosure (voluntary or otherwise) to any Governmental Authority with respect to any alleged irregularity, misstatement, omission or other potential violation or liability arising under or relating to any Anti-Corruption Law. </w:t>
      </w:r>
    </w:p>
    <w:p>
      <w:pPr>
        <w:pStyle w:val="TextBody"/>
        <w:bidi w:val="0"/>
        <w:spacing w:before="240" w:after="0"/>
        <w:jc w:val="left"/>
        <w:rPr>
          <w:rFonts w:ascii="Times New Roman" w:hAnsi="Times New Roman"/>
          <w:sz w:val="20"/>
        </w:rPr>
      </w:pPr>
      <w:bookmarkStart w:id="276" w:name="annxa770053_69"/>
      <w:bookmarkEnd w:id="276"/>
      <w:r>
        <w:rPr>
          <w:rFonts w:ascii="Times New Roman" w:hAnsi="Times New Roman"/>
          <w:sz w:val="20"/>
        </w:rPr>
        <w:t xml:space="preserve">4.25 </w:t>
      </w:r>
      <w:r>
        <w:rPr>
          <w:rFonts w:ascii="Times New Roman" w:hAnsi="Times New Roman"/>
          <w:sz w:val="20"/>
          <w:u w:val="single"/>
        </w:rPr>
        <w:t>Sanctions Laws</w:t>
      </w:r>
      <w:r>
        <w:rPr>
          <w:rFonts w:ascii="Times New Roman" w:hAnsi="Times New Roman"/>
          <w:sz w:val="20"/>
        </w:rPr>
        <w:t xml:space="preserve">. Since January 1, 2021, neither Aspen nor Merger Sub, nor any director or officer or, to the Knowledge of Aspen, any employee of Aspen nor Merger Sub (acting in the capacity of a director, officer or employee of Aspen or Merger Sub) or, to the Knowledge of Aspen, any representative or agent of Aspen nor Merger Sub (acting in the capacity of a representative or agent of Aspen nor Merger Sub),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since January 1, 2021, there have not been, any Legal Proceedings, allegations, investigations or inquiries concerning any actual or suspected violations of any Sanctions Law pending or to the Knowledge of Aspen threatened in writing against Aspen, any director or officer or, to the Knowledge of Aspen, any employee of Aspen nor Merger Sub (acting in the capacity of a director, officer or employee of Aspen nor Merger Sub) or, to the Knowledge of Aspen, any representative or agent of Aspen nor Merger Sub (acting in the capacity of a representative or agent of Aspen nor Merger Sub). Neither Aspen nor Merger Sub, nor any director, officer or employee of any of Aspen or Merger Sub, is a Sanctioned Person. Since January 1, 2021, neither Aspen nor Merger Sub has had, directly or indirectly, any unlawful transactions with or unlawful investments in any Sanctioned Person or Sanctioned Country. </w:t>
      </w:r>
    </w:p>
    <w:p>
      <w:pPr>
        <w:pStyle w:val="TextBody"/>
        <w:bidi w:val="0"/>
        <w:spacing w:before="240" w:after="0"/>
        <w:jc w:val="left"/>
        <w:rPr>
          <w:rFonts w:ascii="Times New Roman" w:hAnsi="Times New Roman"/>
          <w:sz w:val="20"/>
        </w:rPr>
      </w:pPr>
      <w:bookmarkStart w:id="277" w:name="annxa770053_70"/>
      <w:bookmarkEnd w:id="277"/>
      <w:r>
        <w:rPr>
          <w:rFonts w:ascii="Times New Roman" w:hAnsi="Times New Roman"/>
          <w:sz w:val="20"/>
        </w:rPr>
        <w:t>4.26</w:t>
      </w:r>
      <w:r>
        <w:rPr>
          <w:rFonts w:ascii="Times New Roman" w:hAnsi="Times New Roman"/>
          <w:sz w:val="20"/>
          <w:u w:val="single"/>
        </w:rPr>
        <w:t xml:space="preserve"> No Other Representations or Warranties</w:t>
      </w:r>
      <w:r>
        <w:rPr>
          <w:rFonts w:ascii="Times New Roman" w:hAnsi="Times New Roman"/>
          <w:sz w:val="20"/>
        </w:rPr>
        <w:t xml:space="preserve">. Aspen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Aspen, Merger Sub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Schedule)) none of Aspen, Merger Sub nor any of their respective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278" w:name="annxa770053_71"/>
      <w:bookmarkEnd w:id="278"/>
      <w:r>
        <w:rPr>
          <w:rFonts w:ascii="Times New Roman" w:hAnsi="Times New Roman"/>
          <w:sz w:val="20"/>
        </w:rPr>
        <w:t xml:space="preserve">Section 5. </w:t>
      </w:r>
      <w:r>
        <w:rPr>
          <w:rFonts w:ascii="Times New Roman" w:hAnsi="Times New Roman"/>
          <w:sz w:val="20"/>
          <w:u w:val="single"/>
        </w:rPr>
        <w:t>Certain Covenants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79" w:name="annxa770053_72"/>
      <w:bookmarkEnd w:id="279"/>
      <w:r>
        <w:rPr>
          <w:rFonts w:ascii="Times New Roman" w:hAnsi="Times New Roman"/>
          <w:sz w:val="20"/>
        </w:rPr>
        <w:t xml:space="preserve">5.1 </w:t>
      </w:r>
      <w:r>
        <w:rPr>
          <w:rFonts w:ascii="Times New Roman" w:hAnsi="Times New Roman"/>
          <w:sz w:val="20"/>
          <w:u w:val="single"/>
        </w:rPr>
        <w:t>Operation of Aspens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(ii) as set forth on Section 5.1(a) of the Aspen Disclosure Schedule, (iii) as required by applicable Law, or (iv) with the prior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 of the Company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Effective Time (the </w:t>
      </w:r>
      <w:r>
        <w:rPr>
          <w:rFonts w:ascii="Times New Roman" w:hAnsi="Times New Roman"/>
          <w:b/>
          <w:sz w:val="20"/>
        </w:rPr>
        <w:t>Pre-Closing Period</w:t>
      </w:r>
      <w:r>
        <w:rPr>
          <w:rFonts w:ascii="Times New Roman" w:hAnsi="Times New Roman"/>
          <w:sz w:val="20"/>
        </w:rPr>
        <w:t xml:space="preserve">), Aspen shall, and shall cause its Subsidiaries to, use commercially reasonable efforts to (x) conduct its business and operations in the Ordinary Course of Business and in material compliance with all applicable Law and the requirements of all Contracts that constitute Aspen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5.1(b)</w:t>
      </w:r>
      <w:r>
        <w:rPr>
          <w:rFonts w:ascii="Times New Roman" w:hAnsi="Times New Roman"/>
          <w:sz w:val="20"/>
        </w:rPr>
        <w:t xml:space="preserve"> of the Aspen Disclosure Schedule, (iii) as required by applicable Law, or (iv) with the prior written consent of the Company (which consent shall not be unreasonably withheld, delayed or conditioned), at all times during the Pre-Closing Period, Aspen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Aspen Common Stock from terminated employees, directors or consultants of Aspen);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Aspen Common Stock issued upon the valid exercise or settlement of outstanding Aspen Options or Aspen Restricted Stock Units, as applicable),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Aspen Employee Plan, including, for avoidance of doubt, any equity awards plans, (B) cause or permit any Aspen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 (D) increase or amend the severance or change of control benefits offered to any current or new employees, directors or consultants, or (E) hire or engage any officer, or, employee; provided, however, that consultants may be retained on terms permitting termination by Aspen without notice to provide supplemental support services as reasonably may be needed by Aspen, or to fill vacancies to the extent such positions are existing as of the date hereof and which vacancies occur after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(ix) (A) make, change or revoke any material Tax election; (B) file any amended income or other material Tax Return; (C) adopt or change any material accounting method in respect of Taxes; (D) enter into any material Tax closing agreement, settle any material Tax claim or assessment; (E)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any extension or waiver of the limitation period applicable to or relating to any material Tax claim or assessment (other than as a result of any extension to file a Tax Return that is automatically granted); or (F) apply for or surrender any claim for Tax refund; </w:t>
      </w:r>
    </w:p>
    <w:p>
      <w:pPr>
        <w:pStyle w:val="TextBody"/>
        <w:bidi w:val="0"/>
        <w:spacing w:before="120" w:after="0"/>
        <w:jc w:val="left"/>
        <w:rPr>
          <w:rFonts w:ascii="Times New Roman" w:hAnsi="Times New Roman"/>
          <w:sz w:val="20"/>
        </w:rPr>
      </w:pPr>
      <w:r>
        <w:rPr>
          <w:rFonts w:ascii="Times New Roman" w:hAnsi="Times New Roman"/>
          <w:sz w:val="20"/>
        </w:rPr>
        <w:t xml:space="preserve">(x) waive, settle or compromise any pending or threatened Legal Proceeding against Aspen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Aspen or its Subsidiaries, taken as a whole, or any equitable relief on, or the admission of wrongdoing by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(xi) delay or fail to repay when due any material obligation, including accounts payable and accrued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accounts payable or accrued expenses need not be paid if the validity or amount thereof shall at the time be contested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(xiv) (A) materially change pricing or royalties or other payments set or charged by Aspen or any of its Subsidiaries to its customers or licensees or (B) agree to materially change pricing or royalties or other payments set or charged by Persons who have licensed Intellectual Property to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enter into, amend or terminate any Aspen Material Contract except as permitted under subparagraph (c) below;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Aspen prior to the Effective Time. Prior to the Effective Time, Aspen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Aspen may engage in the sale, license, transfer, disposition, divestiture or other monetization transaction (i.e., a royalty transaction) and/or winding down of Aspens business or operations as they exist prior to the Closing or the sale, license, transfer, disposition, divestiture or other monetization transaction (i.e., a royalty transaction) or other disposition of any Aspen Pre-Closing Asset (each, an </w:t>
      </w:r>
      <w:r>
        <w:rPr>
          <w:rFonts w:ascii="Times New Roman" w:hAnsi="Times New Roman"/>
          <w:b/>
          <w:sz w:val="20"/>
        </w:rPr>
        <w:t>Aspen Pre-Closing Transaction</w:t>
      </w:r>
      <w:r>
        <w:rPr>
          <w:rFonts w:ascii="Times New Roman" w:hAnsi="Times New Roman"/>
          <w:sz w:val="20"/>
        </w:rPr>
        <w:t xml:space="preserve">), including entering into Contracts or amending or terminating Contracts in connection with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Aspen Pre-Closing Transaction results in obligations of Aspen that will extend after Closing, then such terms shall be reasonably acceptable to Company. </w:t>
      </w:r>
    </w:p>
    <w:p>
      <w:pPr>
        <w:pStyle w:val="TextBody"/>
        <w:bidi w:val="0"/>
        <w:spacing w:before="240" w:after="0"/>
        <w:jc w:val="left"/>
        <w:rPr>
          <w:rFonts w:ascii="Times New Roman" w:hAnsi="Times New Roman"/>
          <w:sz w:val="20"/>
        </w:rPr>
      </w:pPr>
      <w:bookmarkStart w:id="280" w:name="annxa770053_73"/>
      <w:bookmarkEnd w:id="280"/>
      <w:r>
        <w:rPr>
          <w:rFonts w:ascii="Times New Roman" w:hAnsi="Times New Roman"/>
          <w:sz w:val="20"/>
        </w:rPr>
        <w:t xml:space="preserve">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including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Schedule, (iii) as required by applicable Law, or (iv) with the prior written consent of Aspen (which consent shall not be unreasonably withheld, delayed or conditioned), during the Pre-Closing Period the Company shall, and shall cause its Subsidiaries to, use commercially reasonable efforts to conduct its business and operations in the Ordinary Course of Business and in material compliance with all applicable Law and the requirements of all Contracts that constitute Company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5.2(b)</w:t>
      </w:r>
      <w:r>
        <w:rPr>
          <w:rFonts w:ascii="Times New Roman" w:hAnsi="Times New Roman"/>
          <w:sz w:val="20"/>
        </w:rPr>
        <w:t xml:space="preserve"> of the Company Disclosure Schedule, (iii)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applicable Law, or (iv) with the prior written consent of Aspen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pledge or otherwise dispose of or encumber or authorize any of the foregoing actions with respect to: (A) any capital stock or other security of the Company or any of its Subsidiaries (except for shares of outstanding Company Common Stock issued upon the valid exercise of Company Options), (B) any option, warrant or right to acquire any capital stock or any other security or (C) any instrument convertible into or exchangeable for any capital stock or other security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Company Employee Plan, including, for the avoidance of doubt, any equity awards plans, (B) cause or permit any Company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 (D) increase or amend the severance or change of control benefits offered to any current or new employees, directors or consultants, or (E) hire or engage any officer or employee;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Encumbrance with respect to such assets or properties in excess of $250,000,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sell, assign, transfer, license, sublicense or otherwise dispose of any material Company Intellectual Property (other than pursuant to non-exclusive licenses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(other than as a result of any extension to file a Tax Return that is automatically granted); or (F) apply for or surrender any claim for Tax refund;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Legal Proceeding against the Company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businesses of the Company or its Subsidiaries, taken as a whole, or any equitable relief on, or the admission of wrongdoing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(provided, however, that any such accounts payable or accrued expenses need not be paid if the validity or amount thereof shall at the time be contested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enter into, amend or terminate any Company Material Contract, except in the Ordinary Course of Business in a manner that would not otherwise require Aspens consent pursuant to this </w:t>
      </w:r>
      <w:r>
        <w:rPr>
          <w:rFonts w:ascii="Times New Roman" w:hAnsi="Times New Roman"/>
          <w:sz w:val="20"/>
          <w:u w:val="single"/>
        </w:rPr>
        <w:t>Section 5.2</w:t>
      </w:r>
      <w:r>
        <w:rPr>
          <w:rFonts w:ascii="Times New Roman" w:hAnsi="Times New Roman"/>
          <w:sz w:val="20"/>
        </w:rPr>
        <w:t xml:space="preserve"> and would not reasonably be expected to prevent or to materially impede or delay the consummation of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(xvii)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Aspen,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281" w:name="annxa770053_74"/>
      <w:bookmarkEnd w:id="281"/>
      <w:r>
        <w:rPr>
          <w:rFonts w:ascii="Times New Roman" w:hAnsi="Times New Roman"/>
          <w:sz w:val="20"/>
        </w:rPr>
        <w:t xml:space="preserve">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Aspen,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Aspen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Aspen shall not be required to provide any information or documents pursuant to this </w:t>
      </w:r>
      <w:r>
        <w:rPr>
          <w:rFonts w:ascii="Times New Roman" w:hAnsi="Times New Roman"/>
          <w:sz w:val="20"/>
          <w:u w:val="single"/>
        </w:rPr>
        <w:t>Section 5.3</w:t>
      </w:r>
      <w:r>
        <w:rPr>
          <w:rFonts w:ascii="Times New Roman" w:hAnsi="Times New Roman"/>
          <w:sz w:val="20"/>
        </w:rPr>
        <w:t xml:space="preserve"> relating to any Acquisition Transaction or Acquisition Inquiry.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bookmarkStart w:id="282" w:name="annxa770053_75"/>
      <w:bookmarkEnd w:id="282"/>
      <w:r>
        <w:rPr>
          <w:rFonts w:ascii="Times New Roman" w:hAnsi="Times New Roman"/>
          <w:sz w:val="20"/>
        </w:rPr>
        <w:t xml:space="preserve">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or submission of any Acquisition Proposal or Acquisition Inquiry, (ii) furnish any non-public information regarding Aspen or the Company (as applicable) to any Person in connection with or in response to an Acquisition Proposal or Acquisition Inquiry, (iii) engage in discussions or negotiations (other than to inform any Person of the existence of the provisions of this Agreement) with any Person with respect to any Acquisition Proposal or Acquisition Inquiry, (iv) approve, endorse or recommend any Acquisition Proposal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(v) execute or enter into any letter of intent or any Contract contemplating or otherwise relating to any Acquisition Transaction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or (vi) publicly propose, resolve or agree to do any of the foregoing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receipt of the Required Aspen Stockholder Vote as to Aspen or prior to the receipt of the Required Company Stockholder Vote, as to the Company, each Party may furnish non-public information regarding itself and its Subsidiaries to, and enter into discussions or negotiations with, any Person in response to a bona fide written Acquisition Proposal by such Person which that Partys Board (or a committee thereof) determines in good faith, after consultation with its financial advisors and outside legal counsel, constitutes, or is reasonably likely to constitute or result in, a Superior Offer (and is not withdrawn) if: (A) such Party and the Representatives of such Party shall not have breached this </w:t>
      </w:r>
      <w:r>
        <w:rPr>
          <w:rFonts w:ascii="Times New Roman" w:hAnsi="Times New Roman"/>
          <w:sz w:val="20"/>
          <w:u w:val="single"/>
        </w:rPr>
        <w:t>Section 5.4</w:t>
      </w:r>
      <w:r>
        <w:rPr>
          <w:rFonts w:ascii="Times New Roman" w:hAnsi="Times New Roman"/>
          <w:sz w:val="20"/>
        </w:rPr>
        <w:t xml:space="preserve"> in any material respect, (B) the Partys Board (or a committee thereof) concludes in good faith based on the advice of outside legal counsel, that the failure to take such action would be inconsistent with such Partys Boards fiduciary duties under applicable Law, (C) prior to providing any non-public information about itself, the Party receives from such Person an executed Acceptable Confidentiality Agreement (the negotiation of which shall not be prohibited by this Agreement) and (D) simultaneous with furnishing any such non-public information to such Person, the Party furnishes such non-public information to the other Party (to the extent such information has not been previously furnished to the other Party). Without limiting the generality of </w:t>
      </w:r>
    </w:p>
    <w:p>
      <w:pPr>
        <w:pStyle w:val="TextBody"/>
        <w:bidi w:val="0"/>
        <w:spacing w:before="0" w:after="0"/>
        <w:jc w:val="left"/>
        <w:rPr>
          <w:rFonts w:ascii="Times New Roman" w:hAnsi="Times New Roman"/>
          <w:sz w:val="20"/>
        </w:rPr>
      </w:pPr>
      <w:r>
        <w:rPr>
          <w:rFonts w:ascii="Times New Roman" w:hAnsi="Times New Roman"/>
          <w:sz w:val="20"/>
        </w:rPr>
        <w:t xml:space="preserve">the foregoing, each of Aspen and the Company acknowledges and agrees that, in the event any of its Representative takes any action with its consent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Notwithstanding anything to the contrary in this Agreement, (a) each of Aspen and the Company may (i) grant any waiver with respect to, or release, any standstill provision or similar restriction in order to permit a third party to make an Acquisition Proposal or Acquisition Inquiry or (ii) contact any Person that has made an Acquisition Proposal or Acquisition Inquiry after the date hereof to clarify the terms thereof so that the receiving Partys Board (or a committee thereof) may inform itself of such Acquisition Proposal or Acquisition Inquiry and (b) nothing in this </w:t>
      </w:r>
      <w:r>
        <w:rPr>
          <w:rFonts w:ascii="Times New Roman" w:hAnsi="Times New Roman"/>
          <w:sz w:val="20"/>
          <w:u w:val="single"/>
        </w:rPr>
        <w:t>Section 5.4</w:t>
      </w:r>
      <w:r>
        <w:rPr>
          <w:rFonts w:ascii="Times New Roman" w:hAnsi="Times New Roman"/>
          <w:sz w:val="20"/>
        </w:rPr>
        <w:t xml:space="preserve"> shall prohibit the Company from contacting any Person for the purposes of entering into transactions for capital raising purposes that are otherwise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t>
      </w:r>
    </w:p>
    <w:p>
      <w:pPr>
        <w:pStyle w:val="TextBody"/>
        <w:bidi w:val="0"/>
        <w:spacing w:before="240" w:after="0"/>
        <w:jc w:val="left"/>
        <w:rPr>
          <w:rFonts w:ascii="Times New Roman" w:hAnsi="Times New Roman"/>
          <w:sz w:val="20"/>
        </w:rPr>
      </w:pPr>
      <w:bookmarkStart w:id="283" w:name="annxa770053_76"/>
      <w:bookmarkEnd w:id="283"/>
      <w:r>
        <w:rPr>
          <w:rFonts w:ascii="Times New Roman" w:hAnsi="Times New Roman"/>
          <w:sz w:val="20"/>
        </w:rPr>
        <w:t xml:space="preserve">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Aspen,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Aspen Key Employee or Company Key Employee (as applicable)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Schedule or the Aspen Disclosure Schedule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bookmarkStart w:id="284" w:name="annxa770053_77"/>
      <w:bookmarkEnd w:id="284"/>
      <w:r>
        <w:rPr>
          <w:rFonts w:ascii="Times New Roman" w:hAnsi="Times New Roman"/>
          <w:sz w:val="20"/>
        </w:rPr>
        <w:t xml:space="preserve">Section 6. </w:t>
      </w:r>
      <w:r>
        <w:rPr>
          <w:rFonts w:ascii="Times New Roman" w:hAnsi="Times New Roman"/>
          <w:sz w:val="20"/>
          <w:u w:val="single"/>
        </w:rPr>
        <w:t>Additional Agreements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85" w:name="annxa770053_78"/>
      <w:bookmarkEnd w:id="285"/>
      <w:r>
        <w:rPr>
          <w:rFonts w:ascii="Times New Roman" w:hAnsi="Times New Roman"/>
          <w:sz w:val="20"/>
        </w:rPr>
        <w:t xml:space="preserve">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date of this Agreement, (i) Aspen shall prepare and file with the SEC a proxy statement relating to the Aspen Stockholder Meeting to be held in connection with the Merger (together with any amendments thereof or supplements thereto, the </w:t>
      </w:r>
      <w:r>
        <w:rPr>
          <w:rFonts w:ascii="Times New Roman" w:hAnsi="Times New Roman"/>
          <w:b/>
          <w:sz w:val="20"/>
        </w:rPr>
        <w:t>Proxy Statement</w:t>
      </w:r>
      <w:r>
        <w:rPr>
          <w:rFonts w:ascii="Times New Roman" w:hAnsi="Times New Roman"/>
          <w:sz w:val="20"/>
        </w:rPr>
        <w:t>) and (ii) Aspen, in cooperation with the Company, shall prepare and file with the SEC a registration statement on Form S-4 (the </w:t>
      </w:r>
      <w:r>
        <w:rPr>
          <w:rFonts w:ascii="Times New Roman" w:hAnsi="Times New Roman"/>
          <w:b/>
          <w:sz w:val="20"/>
        </w:rPr>
        <w:t>Form S-4</w:t>
      </w:r>
      <w:r>
        <w:rPr>
          <w:rFonts w:ascii="Times New Roman" w:hAnsi="Times New Roman"/>
          <w:sz w:val="20"/>
        </w:rPr>
        <w:t>), in which the Proxy Statement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registration under the Securities Act of the shares of Aspen Common Stock to be issued by virtue of the Contemplated Transactions. Aspen shall use commercially reasonable efforts to (i) cause the Registration Statement to comply with applicable rules and regulations promulgated by the SEC, (ii) cause the Registration Statement to become effective as promptly as practicable, (iii) respond promptly to any comments or requests of the SEC or its staff related to the Registration Statement. Aspen shall take all or any action required under any applicable federal, state, securities and other Laws in connection with the issuance of shares of Aspen Common Stock pursuant to the Contemplated Transactions.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Aspen covenants and agrees that the Registration Statement (and the letter to stockholders, notice of meeting and form of proxy included therewith) will (i) comply as to form in all material respects with the requirements of applicable U.S. federal securities laws and the DGCL as well as the SEC form requirements, and (ii) will not contain any untrue statement of a material fact or omit to state any material fact required to be stated therein or necessary in order to make the statements made therein, in light of the circumstances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they were made, not misleading. The Company covenants and agrees that the information supplied by or on behalf of the Company to Aspen for inclusion in the Registration Statement (including the Company Financials)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Aspen shall use commercially reasonable efforts to cause the Proxy Statement to be mailed to Aspens stockholders as promptly as practicable after the Registration Statement is declared effective under the Securities Act. If at any time before the Effective Time, (i) Aspen,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Aspen filing such amendment or supplement with the SEC (and, if appropriate, in mailing such amendment or supplement to the Aspen stockholders) or otherwise addressing such SEC request or comments and each Party and shall use their commercially reasonable efforts to cause any such amendment to become effective, if required. Aspen shall promptly notify the Company if it becomes aware (1) that the Registration Statement has become effective, (2) of the issuance of any stop order or suspension of the qualification or registration of the Aspen Common Stock issuable in connection with the Contemplated Transactions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Aspen and provide, and cause its Representatives to provide, Aspen and its Representatives, with all true, correct and complete information regarding the Company that is required by Law to be included in the Registration Statement or reasonably requested by Aspen to be included in the Registration Statement (collectively, the </w:t>
      </w:r>
      <w:r>
        <w:rPr>
          <w:rFonts w:ascii="Times New Roman" w:hAnsi="Times New Roman"/>
          <w:b/>
          <w:sz w:val="20"/>
        </w:rPr>
        <w:t>Company Required S-4 Information</w:t>
      </w:r>
      <w:r>
        <w:rPr>
          <w:rFonts w:ascii="Times New Roman" w:hAnsi="Times New Roman"/>
          <w:sz w:val="20"/>
        </w:rPr>
        <w:t xml:space="preserve">). Without limiting the foregoing, the Company will use commercially reasonable efforts to cause to be delivered to Aspen a consent letter of the Companys independent accounting firm, dated no more than three (3) Business Days before the date on which the Registration Statement is filed with the SEC (and reasonably satisfactory in form and substance to Aspen),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Aspen may not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Aspen has included the Company Required S-4 Information in the Registration Statement in substantially the same form as it was provided to Aspen by the Company pursuant to this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Aspen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As promptly as reasonably practicable following the date of this Agreement, the Company will furnish to Aspen (i) audited financial statements for each of its fiscal years required to be included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Registration Statement (the </w:t>
      </w:r>
      <w:r>
        <w:rPr>
          <w:rFonts w:ascii="Times New Roman" w:hAnsi="Times New Roman"/>
          <w:b/>
          <w:sz w:val="20"/>
        </w:rPr>
        <w:t>Company Audited Financial Statements</w:t>
      </w:r>
      <w:r>
        <w:rPr>
          <w:rFonts w:ascii="Times New Roman" w:hAnsi="Times New Roman"/>
          <w:sz w:val="20"/>
        </w:rPr>
        <w:t>) and (ii)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hAnsi="Times New Roman"/>
          <w:b/>
          <w:sz w:val="20"/>
        </w:rPr>
        <w:t>Company Interim Financial Statements</w:t>
      </w:r>
      <w:r>
        <w:rPr>
          <w:rFonts w:ascii="Times New Roman" w:hAnsi="Times New Roman"/>
          <w:sz w:val="20"/>
        </w:rPr>
        <w:t xml:space="preserve">).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bidi w:val="0"/>
        <w:spacing w:before="240" w:after="0"/>
        <w:jc w:val="left"/>
        <w:rPr>
          <w:rFonts w:ascii="Times New Roman" w:hAnsi="Times New Roman"/>
          <w:sz w:val="20"/>
        </w:rPr>
      </w:pPr>
      <w:bookmarkStart w:id="286" w:name="annxa770053_79"/>
      <w:bookmarkEnd w:id="286"/>
      <w:r>
        <w:rPr>
          <w:rFonts w:ascii="Times New Roman" w:hAnsi="Times New Roman"/>
          <w:sz w:val="20"/>
        </w:rPr>
        <w:t xml:space="preserve">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Promptly after the Registration Statement has been declared effective under the Securities Act, and in any event no later than four (4) Business Days thereafter, the Company shall have obtained the approval by written consent from Company stockholders representing no less than 88% of the voting power of the Company, which is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As promptly as reasonably practicable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hAnsi="Times New Roman"/>
          <w:sz w:val="20"/>
          <w:u w:val="single"/>
        </w:rPr>
        <w:t>Section 6.2(b)</w:t>
      </w:r>
      <w:r>
        <w:rPr>
          <w:rFonts w:ascii="Times New Roman" w:hAnsi="Times New Roman"/>
          <w:sz w:val="20"/>
        </w:rPr>
        <w:t xml:space="preserve"> shall be subject to Aspens advance review and reasonable approval. </w:t>
      </w:r>
    </w:p>
    <w:p>
      <w:pPr>
        <w:pStyle w:val="TextBody"/>
        <w:bidi w:val="0"/>
        <w:spacing w:before="240" w:after="0"/>
        <w:jc w:val="left"/>
        <w:rPr>
          <w:rFonts w:ascii="Times New Roman" w:hAnsi="Times New Roman"/>
          <w:sz w:val="20"/>
        </w:rPr>
      </w:pPr>
      <w:r>
        <w:rPr>
          <w:rFonts w:ascii="Times New Roman" w:hAnsi="Times New Roman"/>
          <w:sz w:val="20"/>
        </w:rPr>
        <w:t>(c) The Company agrees that: (i) the Company Board shall recommend that the Companys stockholders vote to adopt and approve this Agreement and the Contemplated Transactions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and (ii) except as provided in Section 6.2(d), the Company Board Recommendation shall not be withdrawn or modified (and the Company Board shall not publicly propose to withdraw or modify the Company Board Recommendation) in a manner adverse to Aspen, and no resolution by the Company Board or any committee thereof to withdraw or modify the Company Board Recommendation in a manner adverse to Aspen or to adopt, approve or recommend (or publicly propose to adopt, approve or recommend) any Acquisition Proposal shall be adopted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6.2(c)</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if at any time prior to approval and adoption of this Agreement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Required Company Stockholder Vote, the Company receives a Superior Offer, the Company Board may withhold, amend, withdraw or modify the Company Board Recommendation (or publicly propose to withhold, amend, withdraw or modify the Company Board Recommendation) in a manner adverse to Aspen (collectively, a </w:t>
      </w:r>
      <w:r>
        <w:rPr>
          <w:rFonts w:ascii="Times New Roman" w:hAnsi="Times New Roman"/>
          <w:b/>
          <w:sz w:val="20"/>
        </w:rPr>
        <w:t>Company Board Adverse Recommendation Change</w:t>
      </w:r>
      <w:r>
        <w:rPr>
          <w:rFonts w:ascii="Times New Roman" w:hAnsi="Times New Roman"/>
          <w:sz w:val="20"/>
        </w:rPr>
        <w:t>), if, but only if, following the receipt of and on account of such Superior Offer, (i) the Company Board (or a committee thereof) determines in good faith, after consultation with its outside legal counsel, that the failure to take such action would be inconsistent with its fiduciary duties under applicable Law, (ii) the Company has, and has caused its financial advisors and outside legal counsel to, during the Company Notice Period (as defined below) negotiated with Aspen to the extent required by clause (y) below and (iii) if after Aspen shall have delivered to the Company a written offer to alter the terms or conditions of this Agreement during the Company Notice Period pursuant to clause (y) of the proviso to this sentence, the Company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provided that (x) Aspen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b/>
          <w:sz w:val="20"/>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Aspen shall be entitled to deliver to the Company one or more counterproposals to such Acquisition Proposal and the Company will, and cause its Representatives to, negotiate with Aspen in good faith (to the extent Aspen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Aspen with notice of such material amendment and the Company Notice Period shall be extended, if applicable, to ensure that at least three (3) Business Days remain in the Company Notice Period following such notification during which the parties shall comply again with the requirements of this Section 6.2(d) and the Company Board shall not make a Company Board Adverse Recommendation Change prior to the end of such Company Notice Period as so extended (it being understood that there may be multiple extensions).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obligation to solicit the consent of its stockholders to sign the Company Stockholder Written Consents in accordance with </w:t>
      </w:r>
      <w:r>
        <w:rPr>
          <w:rFonts w:ascii="Times New Roman" w:hAnsi="Times New Roman"/>
          <w:sz w:val="20"/>
          <w:u w:val="single"/>
        </w:rPr>
        <w:t>Section 6.2(a)</w:t>
      </w:r>
      <w:r>
        <w:rPr>
          <w:rFonts w:ascii="Times New Roman" w:hAnsi="Times New Roman"/>
          <w:sz w:val="20"/>
        </w:rPr>
        <w:t xml:space="preserve"> shall not be limited or otherwise affected by the commencement, disclosure, announcement or submission of any Acquisition Inquiry, Acquisition Proposal or Company Board Adverse Recommendation Change. </w:t>
      </w:r>
    </w:p>
    <w:p>
      <w:pPr>
        <w:pStyle w:val="TextBody"/>
        <w:bidi w:val="0"/>
        <w:spacing w:before="240" w:after="0"/>
        <w:jc w:val="left"/>
        <w:rPr>
          <w:rFonts w:ascii="Times New Roman" w:hAnsi="Times New Roman"/>
          <w:sz w:val="20"/>
        </w:rPr>
      </w:pPr>
      <w:bookmarkStart w:id="287" w:name="annxa770053_80"/>
      <w:bookmarkEnd w:id="287"/>
      <w:r>
        <w:rPr>
          <w:rFonts w:ascii="Times New Roman" w:hAnsi="Times New Roman"/>
          <w:sz w:val="20"/>
        </w:rPr>
        <w:t xml:space="preserve">6.3 </w:t>
      </w:r>
      <w:r>
        <w:rPr>
          <w:rFonts w:ascii="Times New Roman" w:hAnsi="Times New Roman"/>
          <w:sz w:val="20"/>
          <w:u w:val="single"/>
        </w:rPr>
        <w:t>Aspen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Aspen shall take all action necessary under applicable Law to call, give notice of and hold a meeting of the holders of Aspen Common Stock to consider and vote upon the Aspen Stockholder Matters and, if mutually agreed between the parties, the routine annual meeting approvals in compliance with Nasdaq (the </w:t>
      </w:r>
      <w:r>
        <w:rPr>
          <w:rFonts w:ascii="Times New Roman" w:hAnsi="Times New Roman"/>
          <w:b/>
          <w:sz w:val="20"/>
        </w:rPr>
        <w:t>Aspen Stockholder Meeting</w:t>
      </w:r>
      <w:r>
        <w:rPr>
          <w:rFonts w:ascii="Times New Roman" w:hAnsi="Times New Roman"/>
          <w:sz w:val="20"/>
        </w:rPr>
        <w:t xml:space="preserve">). The Aspen Stockholder Meeting shall be held as promptly as practicable after the date that the Registration Statement is declared effective under the Securities Act, and in any event, no later than forty-five (45) days after the effective date of the Registration Statement. Aspen shall take reasonable measures to ensure that all proxies solicited in connection with the Aspen Stockholder Meeting are solicited in compliance with all applicable Law. Notwithstanding anything to the contrary contained herein, if on the date of the Aspen Stockholder Meeting, or a date preceding the date on which the Aspen Stockholder Meeting is scheduled, Aspen reasonably believes that (i) it will not receive proxies sufficient to obtain the Required Aspen Stockholder Vote, whether or not a quorum would be present, or (ii) it will not have sufficient shares of Aspen Common Stock represented (whether in person or by proxy) to constitute a quorum necessary to conduct the business of the Aspen Stockholder Meeting, Aspen may postpone or adjourn, or make one or more successive postponements or adjournments of, the Aspen Stockholder Meeting as long as the date of the Aspen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 is not postponed or adjourned more than an aggregate of forty-five (45) days in connection with any postponements or adjournments,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more than one postponement or adjournment shall not be permitted without the Companys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6.3</w:t>
      </w:r>
      <w:r>
        <w:rPr>
          <w:rFonts w:ascii="Times New Roman" w:hAnsi="Times New Roman"/>
          <w:sz w:val="20"/>
        </w:rPr>
        <w:t>, Aspen agrees that (i) the Aspen Board shall recommend that the holders of Aspen Common Stock vote to approve the Specified Aspen Stockholder Matters and (ii) the Proxy Statement shall include a statement to the effect that the Aspen Board recommends that Aspens stockholders vote to approve the Specified Aspen Stockholder Matters (such recommendation of the Aspen Board being referred to as the </w:t>
      </w:r>
      <w:r>
        <w:rPr>
          <w:rFonts w:ascii="Times New Roman" w:hAnsi="Times New Roman"/>
          <w:b/>
          <w:sz w:val="20"/>
        </w:rPr>
        <w:t>Aspen Board Recommendation</w:t>
      </w:r>
      <w:r>
        <w:rPr>
          <w:rFonts w:ascii="Times New Roman" w:hAnsi="Times New Roman"/>
          <w:sz w:val="20"/>
        </w:rPr>
        <w:t>). In addition, the Aspen Board shall recommend that the holders of Aspen Common Stock vote to approve the other Aspen Stockholder Matters (the </w:t>
      </w:r>
      <w:r>
        <w:rPr>
          <w:rFonts w:ascii="Times New Roman" w:hAnsi="Times New Roman"/>
          <w:b/>
          <w:sz w:val="20"/>
        </w:rPr>
        <w:t>Aspen Second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6.3(b)</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this </w:t>
      </w:r>
      <w:r>
        <w:rPr>
          <w:rFonts w:ascii="Times New Roman" w:hAnsi="Times New Roman"/>
          <w:sz w:val="20"/>
          <w:u w:val="single"/>
        </w:rPr>
        <w:t>Section 6.3(c)</w:t>
      </w:r>
      <w:r>
        <w:rPr>
          <w:rFonts w:ascii="Times New Roman" w:hAnsi="Times New Roman"/>
          <w:sz w:val="20"/>
        </w:rPr>
        <w:t>, if at any time prior to approval and adoption of this Agreement by the Required Aspen Stockholder Vote, if Aspen receives a Superior Offer, the Aspen Board may withhold, amend, withdraw or modify the Aspen Board Recommendation (or publicly propose to withhold, amend, withdraw or modify the Aspen Board Recommendation) in a manner adverse to the Company (collectively, a </w:t>
      </w:r>
      <w:r>
        <w:rPr>
          <w:rFonts w:ascii="Times New Roman" w:hAnsi="Times New Roman"/>
          <w:b/>
          <w:sz w:val="20"/>
        </w:rPr>
        <w:t>Aspen Board Adverse Recommendation Change</w:t>
      </w:r>
      <w:r>
        <w:rPr>
          <w:rFonts w:ascii="Times New Roman" w:hAnsi="Times New Roman"/>
          <w:sz w:val="20"/>
        </w:rPr>
        <w:t xml:space="preserve">), approve, endorse or recommend an Acquisition Proposal that constitutes a Superior Offer or enter into any agreement or other Contract contemplating or otherwise relating to an Acquisition Proposal that constitutes a Superior Offer, if, but only if, following the receipt of and on account of such Superior Offer: (i) the Aspen Board (or a committee thereof) determines in good faith, after consultation with its outside legal counsel, that the failure to take such action would be inconsistent with its fiduciary duties under applicable Law, (ii) Aspen has, and has caused its financial advisors and outside legal counsel to, during the Aspen Notice Period (as defined below) negotiated with the Company to the extent required by clause (y) below, and (iii) if after the Company shall have delivered to the Company a written offer to alter the terms or conditions of this Agreement during the Aspen Notice Period pursuant to clause (y) of the proviso to this sentence, the Aspen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Aspen confirming that the Aspen Board has determined to change its recommendation at least four (4) Business Days in advance of the Aspen Board Adverse Recommendation Change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Aspen Board Adverse Recommendation Change, and written copies of any relevant proposed transaction agreements with any party making a potential Superior Offer, (y) during any Aspen Notice Period, the Company shall be entitled to deliver to Aspen one or more counterproposals to such Acquisition Proposal and Aspen will, and cause its Representatives to, negotiate with the Company in good faith (to the extent the Company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Aspens stockholders would receive as a result of such potential Superior Offer), Aspen shall be required to provide the Company with notice of such material amendment and the Aspen Notice Period shall be extended, if applicable, to ensure that at least three (3) Business Days remain in the Aspen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Aspen Board shall not make an Aspen Board Adverse Recommendation Change prior to the end of such Aspen Notice Period as so extended (it being understood that there may be multiple extensions). In addition, notwithstanding anything to the contrary in </w:t>
      </w:r>
      <w:r>
        <w:rPr>
          <w:rFonts w:ascii="Times New Roman" w:hAnsi="Times New Roman"/>
          <w:sz w:val="20"/>
          <w:u w:val="single"/>
        </w:rPr>
        <w:t>Section 6.3(b)</w:t>
      </w:r>
      <w:r>
        <w:rPr>
          <w:rFonts w:ascii="Times New Roman" w:hAnsi="Times New Roman"/>
          <w:sz w:val="20"/>
        </w:rPr>
        <w:t xml:space="preserve">, at any time prior to the adoption of this Agreement by the Required Aspen Stockholder Vote, the Aspen Board may withhold, amend, withdraw or modify the Aspen Second Board Recommendation in its exercise of its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in this Agreement shall prohibit Aspen or the Aspen Board (or a committee thereof) from complying with Rules 14d-9 and 14e-2(a) promulgated under the Exchange Act;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that in no event shall this Section 6.3(d) permit a definitive Aspen Board Adverse Recommendation Change without complying with the provisions of this </w:t>
      </w:r>
      <w:r>
        <w:rPr>
          <w:rFonts w:ascii="Times New Roman" w:hAnsi="Times New Roman"/>
          <w:sz w:val="20"/>
          <w:u w:val="single"/>
        </w:rPr>
        <w:t>Section 6.3</w:t>
      </w:r>
      <w:r>
        <w:rPr>
          <w:rFonts w:ascii="Times New Roman" w:hAnsi="Times New Roman"/>
          <w:sz w:val="20"/>
        </w:rPr>
        <w:t xml:space="preserve">. For the avoidance of doubt, no statement that Aspen is unable to take a position or is considering its position or a stop, look and listen communication shall constitute an Aspen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Aspens obligation to call, give notice of and hold the Aspen Stockholder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or Acquisition Proposal, or by any Aspen Board Adverse Recommendation Change (unless this Agreement is terminated in connection therewith). </w:t>
      </w:r>
    </w:p>
    <w:p>
      <w:pPr>
        <w:pStyle w:val="TextBody"/>
        <w:bidi w:val="0"/>
        <w:spacing w:before="240" w:after="0"/>
        <w:jc w:val="left"/>
        <w:rPr>
          <w:rFonts w:ascii="Times New Roman" w:hAnsi="Times New Roman"/>
          <w:sz w:val="20"/>
        </w:rPr>
      </w:pPr>
      <w:bookmarkStart w:id="288" w:name="annxa770053_81"/>
      <w:bookmarkEnd w:id="288"/>
      <w:r>
        <w:rPr>
          <w:rFonts w:ascii="Times New Roman" w:hAnsi="Times New Roman"/>
          <w:sz w:val="20"/>
        </w:rPr>
        <w:t xml:space="preserve">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Aspen shall give the Company prompt written notice of any litigation against Aspen and/or its directors relating to this Agreement or the Contemplated Transactions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Transaction Litigation</w:t>
      </w:r>
      <w:r>
        <w:rPr>
          <w:rFonts w:ascii="Times New Roman" w:hAnsi="Times New Roman"/>
          <w:sz w:val="20"/>
        </w:rPr>
        <w:t xml:space="preserve">) (including by providing copies of all pleadings with respect thereto) and keep Company reasonably informed with respect to the status thereof. Aspen will (i) give the Company the opportunity to participate in, but not control, the defense, settlement or prosecution of any Aspen Transaction Litigation (to the extent that the attorney-client privilege is not waived, undermined, or otherwise adversely affected; </w:t>
      </w:r>
      <w:r>
        <w:rPr>
          <w:rFonts w:ascii="Times New Roman" w:hAnsi="Times New Roman"/>
          <w:sz w:val="20"/>
          <w:u w:val="single"/>
        </w:rPr>
        <w:t>provided</w:t>
      </w:r>
      <w:r>
        <w:rPr>
          <w:rFonts w:ascii="Times New Roman" w:hAnsi="Times New Roman"/>
          <w:sz w:val="20"/>
        </w:rPr>
        <w:t xml:space="preserve"> that Aspen and the Company will use commercially reasonable efforts to find alternative solutions to not undermine or adversely effect the privilege such as entering into common interest agreements, joint defense agreements or similar agreements), (ii) consult with the Company with respect to the defense, settlement and prosecution of any Aspen Transaction Litigation and (iii) consider in good faith the Companys advice with respect to such Aspen Transaction Litigation. Aspen will obtain the prior written consent of the Company (such consent not to be unreasonably withheld, conditioned or delayed) prior to settling or satisfying any such claim. Without otherwise limiting the D&amp;O Indemnified Parties rights with regard to the right to counsel, following the Effective Time, the D&amp;O Indemnified Parties shall be entitled to continue to retain Goodwin Procter LLP or such other counsel selected by such Indemnified Parties to defend any Aspen Transaction Litigation. Prior to the Closing, the Company shall have the right to control the defense and settlement of any litigation brought against the Company and/or its directors, and not against Aspen and/or any of Aspens directors, related to this Agreement or the Contemplated Transactions (</w:t>
      </w:r>
      <w:r>
        <w:rPr>
          <w:rFonts w:ascii="Times New Roman" w:hAnsi="Times New Roman"/>
          <w:b/>
          <w:sz w:val="20"/>
        </w:rPr>
        <w:t>Company Transaction Litigation</w:t>
      </w:r>
      <w:r>
        <w:rPr>
          <w:rFonts w:ascii="Times New Roman" w:hAnsi="Times New Roman"/>
          <w:sz w:val="20"/>
        </w:rPr>
        <w:t xml:space="preserve">), but shall reasonably consult with and permit Aspen and its Representatives to participate in consideration to the Companys advice with respect to such Company Transaction Litigation. The Company shall promptly advise Aspen of the initiation of, and shall keep Aspen reasonably apprised of any material developments in connection with, any such Company Transaction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89" w:name="annxa770053_82"/>
      <w:bookmarkEnd w:id="289"/>
      <w:r>
        <w:rPr>
          <w:rFonts w:ascii="Times New Roman" w:hAnsi="Times New Roman"/>
          <w:sz w:val="20"/>
        </w:rPr>
        <w:t xml:space="preserve">6.5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Effective Time, Aspen shall assume the Company Equity Incentive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Aspen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Effective Time, except for administrative or ministerial changes as determined by the Company Board (or, following the Effective Time, the Aspen Board or compensation committee). The number of shares of Aspen Common Stock subject to each such Assumed Option shall be equal to (i) the number of shares of Company Common Stock subject to the respective Company Option immediately prior to the Effective Time </w:t>
      </w:r>
      <w:r>
        <w:rPr>
          <w:rFonts w:ascii="Times New Roman" w:hAnsi="Times New Roman"/>
          <w:i/>
          <w:sz w:val="20"/>
          <w:u w:val="single"/>
        </w:rPr>
        <w:t>multiplied by</w:t>
      </w:r>
      <w:r>
        <w:rPr>
          <w:rFonts w:ascii="Times New Roman" w:hAnsi="Times New Roman"/>
          <w:sz w:val="20"/>
        </w:rPr>
        <w:t xml:space="preserve"> (ii) the Exchange Ratio, rounded down, if necessary, to the nearest whole share of Aspen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w:t>
      </w:r>
      <w:r>
        <w:rPr>
          <w:rFonts w:ascii="Times New Roman" w:hAnsi="Times New Roman"/>
          <w:i/>
          <w:sz w:val="20"/>
          <w:u w:val="single"/>
        </w:rPr>
        <w:t>divided by</w:t>
      </w:r>
      <w:r>
        <w:rPr>
          <w:rFonts w:ascii="Times New Roman" w:hAnsi="Times New Roman"/>
          <w:sz w:val="20"/>
        </w:rPr>
        <w:t xml:space="preserve"> (B) the Exchange Ratio; </w:t>
      </w:r>
      <w:r>
        <w:rPr>
          <w:rFonts w:ascii="Times New Roman" w:hAnsi="Times New Roman"/>
          <w:sz w:val="20"/>
          <w:u w:val="single"/>
        </w:rPr>
        <w:t>provided</w:t>
      </w:r>
      <w:r>
        <w:rPr>
          <w:rFonts w:ascii="Times New Roman" w:hAnsi="Times New Roman"/>
          <w:sz w:val="20"/>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Aspen Common Stock subject to such option and the terms and conditions of exercise of such option shall be determined in a manner consistent with the requirements of Section 424(a) of the Code;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Assumed Option to which Section 409A of the Code applies as of the Effective Time, the exercise price, the number of shares of Aspen Common Stock subject to such option and the terms and conditions of exercise of such option shall be determined in a manner consistent with the requirements of Section 409A of the Code in order to avoid the imposition of any additional taxes thereunder.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Board shall, prior to the Effective Time, take all actions necessary to effect the foregoing, and the Company shall ensure that there will be no single-trigger accelerated vesting of any Company Options triggered at and as of the consummation of any of the transactions contemplated hereby. </w:t>
      </w:r>
    </w:p>
    <w:p>
      <w:pPr>
        <w:pStyle w:val="TextBody"/>
        <w:bidi w:val="0"/>
        <w:spacing w:before="240" w:after="0"/>
        <w:jc w:val="left"/>
        <w:rPr>
          <w:rFonts w:ascii="Times New Roman" w:hAnsi="Times New Roman"/>
          <w:sz w:val="20"/>
        </w:rPr>
      </w:pPr>
      <w:bookmarkStart w:id="290" w:name="annxa770053_83"/>
      <w:bookmarkEnd w:id="290"/>
      <w:r>
        <w:rPr>
          <w:rFonts w:ascii="Times New Roman" w:hAnsi="Times New Roman"/>
          <w:sz w:val="20"/>
        </w:rPr>
        <w:t xml:space="preserve">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Aspen shall comply with the terms of any employment, severance, retention, change of control, or similar agreement specified on </w:t>
      </w:r>
      <w:r>
        <w:rPr>
          <w:rFonts w:ascii="Times New Roman" w:hAnsi="Times New Roman"/>
          <w:sz w:val="20"/>
          <w:u w:val="single"/>
        </w:rPr>
        <w:t>Section 4.17(d)</w:t>
      </w:r>
      <w:r>
        <w:rPr>
          <w:rFonts w:ascii="Times New Roman" w:hAnsi="Times New Roman"/>
          <w:sz w:val="20"/>
        </w:rPr>
        <w:t xml:space="preserve"> or contemplated by </w:t>
      </w:r>
      <w:r>
        <w:rPr>
          <w:rFonts w:ascii="Times New Roman" w:hAnsi="Times New Roman"/>
          <w:sz w:val="20"/>
          <w:u w:val="single"/>
        </w:rPr>
        <w:t>Section 5.1(b)</w:t>
      </w:r>
      <w:r>
        <w:rPr>
          <w:rFonts w:ascii="Times New Roman" w:hAnsi="Times New Roman"/>
          <w:sz w:val="20"/>
        </w:rPr>
        <w:t xml:space="preserve"> of the Aspen Disclosure Schedule, subject to the provisions of such agreements. </w:t>
      </w:r>
    </w:p>
    <w:p>
      <w:pPr>
        <w:pStyle w:val="TextBody"/>
        <w:bidi w:val="0"/>
        <w:spacing w:before="240" w:after="0"/>
        <w:jc w:val="left"/>
        <w:rPr>
          <w:rFonts w:ascii="Times New Roman" w:hAnsi="Times New Roman"/>
          <w:sz w:val="20"/>
        </w:rPr>
      </w:pPr>
      <w:r>
        <w:rPr>
          <w:rFonts w:ascii="Times New Roman" w:hAnsi="Times New Roman"/>
          <w:sz w:val="20"/>
        </w:rPr>
        <w:t>(b) From and after the Effective Time, with respect to each benefit plan maintained by Aspen or the Surviving Corporation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Aspen or the Company is or becomes eligible to participate (including under COBRA), Aspen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Aspen or Company employee and his or her eligible dependents to the same extent that such pre-existing conditions, waiting periods, required physical examinations and exclusions would not have applied or would have been waived under the corresponding Aspen Employee Plan or Company Employee Plan, as applicable, in which such current or former Aspen or Company employee was a participant immediately prior to his or her commencement of participation in such Post-Closing Welfare Plan, and (ii) provide each such current or former Aspen or Company employee and his or her eligible dependents with credit for any co-payments and deductibles paid in the plan year that includes the Effective Time, and prior to the date that, such current or former Aspen or Company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Aspen Employee Plan or Company Employee Plan,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This </w:t>
      </w:r>
      <w:r>
        <w:rPr>
          <w:rFonts w:ascii="Times New Roman" w:hAnsi="Times New Roman"/>
          <w:sz w:val="20"/>
          <w:u w:val="single"/>
        </w:rPr>
        <w:t>Section 6.6</w:t>
      </w:r>
      <w:r>
        <w:rPr>
          <w:rFonts w:ascii="Times New Roman" w:hAnsi="Times New Roman"/>
          <w:sz w:val="20"/>
        </w:rPr>
        <w:t xml:space="preserve"> shall be binding upon and inure solely to the benefit of each of the parties to this Agreement, and nothing in this </w:t>
      </w:r>
      <w:r>
        <w:rPr>
          <w:rFonts w:ascii="Times New Roman" w:hAnsi="Times New Roman"/>
          <w:sz w:val="20"/>
          <w:u w:val="single"/>
        </w:rPr>
        <w:t>Section 6.6</w:t>
      </w:r>
      <w:r>
        <w:rPr>
          <w:rFonts w:ascii="Times New Roman" w:hAnsi="Times New Roman"/>
          <w:sz w:val="20"/>
        </w:rPr>
        <w:t xml:space="preserve"> shall confer upon any other Person any rights or remedies of any nature whatsoever. Nothing contained herein shall be construed to establish, amend or modify any benefit plan, program, agreement, or arrangement. The parties hereto acknowledge and agree that the terms set forth in this </w:t>
      </w:r>
      <w:r>
        <w:rPr>
          <w:rFonts w:ascii="Times New Roman" w:hAnsi="Times New Roman"/>
          <w:sz w:val="20"/>
          <w:u w:val="single"/>
        </w:rPr>
        <w:t>Section 6.6</w:t>
      </w:r>
      <w:r>
        <w:rPr>
          <w:rFonts w:ascii="Times New Roman" w:hAnsi="Times New Roman"/>
          <w:sz w:val="20"/>
        </w:rPr>
        <w:t xml:space="preserve"> shall not create any right in any employee or any other Person to any continued employment with the Company, the Surviving Corporation, Aspen or any of their respective Affiliates or compensation or benefits of any nature or kind whatsoever. </w:t>
      </w:r>
    </w:p>
    <w:p>
      <w:pPr>
        <w:pStyle w:val="TextBody"/>
        <w:bidi w:val="0"/>
        <w:spacing w:before="240" w:after="0"/>
        <w:jc w:val="left"/>
        <w:rPr>
          <w:rFonts w:ascii="Times New Roman" w:hAnsi="Times New Roman"/>
          <w:sz w:val="20"/>
        </w:rPr>
      </w:pPr>
      <w:bookmarkStart w:id="291" w:name="annxa770053_84"/>
      <w:bookmarkEnd w:id="291"/>
      <w:r>
        <w:rPr>
          <w:rFonts w:ascii="Times New Roman" w:hAnsi="Times New Roman"/>
          <w:sz w:val="20"/>
        </w:rPr>
        <w:t xml:space="preserve">6.7 </w:t>
      </w:r>
      <w:r>
        <w:rPr>
          <w:rFonts w:ascii="Times New Roman" w:hAnsi="Times New Roman"/>
          <w:sz w:val="20"/>
          <w:u w:val="single"/>
        </w:rPr>
        <w:t>Aspen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Aspen Options</w:t>
      </w:r>
      <w:r>
        <w:rPr>
          <w:rFonts w:ascii="Times New Roman" w:hAnsi="Times New Roman"/>
          <w:sz w:val="20"/>
        </w:rPr>
        <w:t xml:space="preserve">. Prior to the Closing, the Aspen Board shall have adopted appropriate resolutions and taken all other actions necessary and appropriate to provide that (i) the vesting and exercisability of each unexpired, unexercised and unvested In the Money Aspen Option outstanding as of immediately prior to the Effective Time (A) that is held by a current employee, director, or consultant of Aspen as of the date hereof shall be accelerated in full effective as of immediately prior to the Effective Time, and (B) each In the Money Aspen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and (ii) the vesting and exercisability of 50% of all unexpired, unexercised and unvested Aspen Options set forth on </w:t>
      </w:r>
      <w:r>
        <w:rPr>
          <w:rFonts w:ascii="Times New Roman" w:hAnsi="Times New Roman"/>
          <w:sz w:val="20"/>
          <w:u w:val="single"/>
        </w:rPr>
        <w:t>Section 6.7(a)</w:t>
      </w:r>
      <w:r>
        <w:rPr>
          <w:rFonts w:ascii="Times New Roman" w:hAnsi="Times New Roman"/>
          <w:sz w:val="20"/>
        </w:rPr>
        <w:t xml:space="preserve"> of the Aspen Disclosure Schedule and that remain outstanding as of immediately prior to the Effective Time (the </w:t>
      </w:r>
      <w:r>
        <w:rPr>
          <w:rFonts w:ascii="Times New Roman" w:hAnsi="Times New Roman"/>
          <w:sz w:val="20"/>
          <w:u w:val="single"/>
        </w:rPr>
        <w:t>Specified Options</w:t>
      </w:r>
      <w:r>
        <w:rPr>
          <w:rFonts w:ascii="Times New Roman" w:hAnsi="Times New Roman"/>
          <w:sz w:val="20"/>
        </w:rPr>
        <w:t xml:space="preserve">) (A) that is held by a current employee, director, or consultant of Aspen as of the date hereof shall be accelerated in full effective as of immediately prior to the Effective Time, and (B) each Specified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(for the avoidance of doubt, no Specified Options shall be included in the total number of shares of Aspen Common Stock outstanding for purposes of determining the Aspen Outstanding Shares). Except as otherwise provided by this </w:t>
      </w:r>
      <w:r>
        <w:rPr>
          <w:rFonts w:ascii="Times New Roman" w:hAnsi="Times New Roman"/>
          <w:sz w:val="20"/>
          <w:u w:val="single"/>
        </w:rPr>
        <w:t>Section 6.7(a)</w:t>
      </w:r>
      <w:r>
        <w:rPr>
          <w:rFonts w:ascii="Times New Roman" w:hAnsi="Times New Roman"/>
          <w:sz w:val="20"/>
        </w:rPr>
        <w:t xml:space="preserve">, each Aspen Option shall continue to be subject to the same terms and conditions after the Effective Time as were applicable under such Aspen Option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Aspen Restricted Stock Units</w:t>
      </w:r>
      <w:r>
        <w:rPr>
          <w:rFonts w:ascii="Times New Roman" w:hAnsi="Times New Roman"/>
          <w:sz w:val="20"/>
        </w:rPr>
        <w:t xml:space="preserve">. Prior to the Closing, the Aspen Board shall have adopted appropriate resolutions and taken all other actions necessary and appropriate to provide that (i) the vesting of each outstanding and unvested Aspen Restricted Stock Unit that vests solely on the basis of time shall be accelerated in full effective as of immediately prior to the Effective Time, contingent on the occurrence of the Effective Time, and (ii) for each outstanding and unsettled Aspen Restricted Stock Unit that vests solely on the basis of time (including any Aspen Restricted Stock Units accelerated under </w:t>
      </w:r>
      <w:r>
        <w:rPr>
          <w:rFonts w:ascii="Times New Roman" w:hAnsi="Times New Roman"/>
          <w:sz w:val="20"/>
          <w:u w:val="single"/>
        </w:rPr>
        <w:t>Section 6.7(b)(i)</w:t>
      </w:r>
      <w:r>
        <w:rPr>
          <w:rFonts w:ascii="Times New Roman" w:hAnsi="Times New Roman"/>
          <w:sz w:val="20"/>
        </w:rPr>
        <w:t xml:space="preserve"> above) the holder thereof shall receive, immediately prior to the Effective Time, a number of shares of Aspen Common Stock equal to the number of vested and unsettled shares underlying such Aspen Restricted Stock Units. Notwithstanding anything herein to the contrary, the tax withholding obligations for each holder receiving shares of Aspen Common Stock in accordance with the preceding sentence shall be satisfied by Aspen withholding from issuance that number of shares of Aspen Common Stock calculated by multiplying the legally-required withholding rate for such holder in connection with such issuance by the number of shares of Aspen Common Stock to be issued in accordance with the preceding sentence, and rounding up to the nearest whole share and remitting such withholding in cash to the appropriate taxing authorities. For the avoidance of doubt, any Aspen Restricted Stock Unit that vests in whole or in part based on the achievement of performance goals shall not be impacted by this </w:t>
      </w:r>
      <w:r>
        <w:rPr>
          <w:rFonts w:ascii="Times New Roman" w:hAnsi="Times New Roman"/>
          <w:sz w:val="20"/>
          <w:u w:val="single"/>
        </w:rPr>
        <w:t>Section  6.7(b)</w:t>
      </w:r>
      <w:r>
        <w:rPr>
          <w:rFonts w:ascii="Times New Roman" w:hAnsi="Times New Roman"/>
          <w:sz w:val="20"/>
        </w:rPr>
        <w:t xml:space="preserve"> and shall remain in effect in accordance with their terms. </w:t>
      </w:r>
    </w:p>
    <w:p>
      <w:pPr>
        <w:pStyle w:val="TextBody"/>
        <w:bidi w:val="0"/>
        <w:spacing w:before="240" w:after="0"/>
        <w:jc w:val="left"/>
        <w:rPr>
          <w:rFonts w:ascii="Times New Roman" w:hAnsi="Times New Roman"/>
          <w:sz w:val="20"/>
        </w:rPr>
      </w:pPr>
      <w:bookmarkStart w:id="292" w:name="annxa770053_85"/>
      <w:bookmarkEnd w:id="292"/>
      <w:r>
        <w:rPr>
          <w:rFonts w:ascii="Times New Roman" w:hAnsi="Times New Roman"/>
          <w:sz w:val="20"/>
        </w:rPr>
        <w:t xml:space="preserve">6.8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Effective Time through the sixth anniversary of the date on which the Effective Time occurs, each of Aspen and the Surviving Corporation shall indemnify and hold harmless each person who is now,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 has been at any time prior to the date hereof, or who becomes prior to the Effective Time, a director or officer of Aspen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incurred in connection with any claim, action, suit, proceeding or investigation (each a </w:t>
      </w:r>
      <w:r>
        <w:rPr>
          <w:rFonts w:ascii="Times New Roman" w:hAnsi="Times New Roman"/>
          <w:b/>
          <w:sz w:val="20"/>
        </w:rPr>
        <w:t>Proceeding</w:t>
      </w:r>
      <w:r>
        <w:rPr>
          <w:rFonts w:ascii="Times New Roman" w:hAnsi="Times New Roman"/>
          <w:sz w:val="20"/>
        </w:rPr>
        <w:t xml:space="preserve">), whether formal or informal, civil, criminal, administrative or investigative, arising out of or pertaining to the fact that the D&amp;O Indemnified Party is or was (i) a director or officer of Aspen or of the Company, respectively, or (ii) by reason of such D&amp;O Indemnified Partys service in connection with any other corporation or organization for which he or she serves or has served as a director, officer, employee, agent trustee or fiduciary at the request of the Company or Aspen, respectively (including in any capacity with respect to any employee benefit plan), whether asserted or claimed prior to, at or after the Effective Time, in each case, to the fullest extent permitted under the DGCL; </w:t>
      </w:r>
      <w:r>
        <w:rPr>
          <w:rFonts w:ascii="Times New Roman" w:hAnsi="Times New Roman"/>
          <w:sz w:val="20"/>
          <w:u w:val="single"/>
        </w:rPr>
        <w:t>provided</w:t>
      </w:r>
      <w:r>
        <w:rPr>
          <w:rFonts w:ascii="Times New Roman" w:hAnsi="Times New Roman"/>
          <w:sz w:val="20"/>
        </w:rPr>
        <w:t xml:space="preserve"> that all rights to being held harmless, indemnification and advancement of expenses in respect of any Proceeding asserted or made, and for which a D&amp;O Indemnified Party delivers a written notice to Aspen or the Surviving Corporation within such six (6) year period asserting a claim for such protections pursuant to this </w:t>
      </w:r>
      <w:r>
        <w:rPr>
          <w:rFonts w:ascii="Times New Roman" w:hAnsi="Times New Roman"/>
          <w:sz w:val="20"/>
          <w:u w:val="single"/>
        </w:rPr>
        <w:t>Section 6.8</w:t>
      </w:r>
      <w:r>
        <w:rPr>
          <w:rFonts w:ascii="Times New Roman" w:hAnsi="Times New Roman"/>
          <w:sz w:val="20"/>
        </w:rPr>
        <w:t xml:space="preserve"> shall continue until the final disposition of such Proceeding. Each D&amp;O Indemnified Party will be entitled to advancement of expenses incurred in the defense of any such Proceeding from each of Aspen and the Surviving Corporation, jointly and severally, upon receipt by Aspen or the Surviving Corporation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expenses are advanced provides an undertaking to Aspen, to the extent then required by the DGCL, to repay such advances if it is ultimately determined that such person is not entitled to indemnification (such undertaking shall be unsecured and made without reference to such D&amp;O Indemnified Partys ultimate entitlement to indemnification or ability to repay such advances (and no other form of undertaking shall be required)). Without otherwise limiting the D&amp;O Indemnified Parties rights with regards to counsel, following the Effective Time, the D&amp;O Indemnified Parties shall be entitled to continue to retain Goodwin Procter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the Organizational Documents of Aspen with respect to indemnification, advancement of expenses and exculpation of present and former directors and officers of Aspen that are presently set forth in the Organizational Documents of Aspen shall not be amended, modified or repealed for a period of six (6) years from the Effective Time in a manner that would adversely affect the rights thereunder of individuals who, at or prior to the Effective Time, were officers or directors of Aspen, unless such modification is required by applicable Law. The Organizational Documents of the Surviving Corporation shall contain, and Aspen shall cause the Organizational Documents of the Surviving Corporation to so contain, provisions no less favorable with respect to indemnification, advancement of expenses and exculpation of present and former directors and officers as those presently set forth in the Organizational Documents of Aspen.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Aspen shall fulfill and honor in all respects the obligations of Aspen to its D&amp;O Indemnified Parties as of immediately prior to the Closing pursuant to any indemnification provisions under Aspens Organizational Documents and pursuant to any indemnification agreements between Aspen and such D&amp;O Indemnified Parties, with respect to claims arising out of matters occurring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Effective Time, the Surviving Corporation shall maintain directors and officers liability insurance policies, with an effective date as of the Closing Date, on commercially reasonable terms and conditions and with coverage limits customary for U.S. public companies similarly situated to Aspen. In addition, Aspen shall purchase, prior to the Effective Time, six (6) year prepaid D&amp;O tail policies for the non-cancelable extension of the directors and officers liability coverage of Aspens existing directors and officers insurance policies for a claims reporting or discovery period of at least six (6) years from and after the Effective Time with respect to any claim related to any act, error or omission occurring at or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with terms, conditions, retentions and limits of liability that are no less favorable than the coverage provided under Aspens existing policies as of the date of this Agreement, except that Aspen will not commit or spend on such D&amp;O tail policies annual premiums in excess of 350% of the annual premiums paid by Aspen prior to the Effective Time for Aspens policies of directors and officers liability insurance and fiduciary liability insurance, and if such premiums for such D&amp;O tail policies would exceed 350% of a premium, then Aspen shall purchase such D&amp;O tail policies that provide the maximum coverage available at an annual premium equal to 350% of such annual premium. Aspen and the Surviving Corporation shall maintain such D&amp;O tail policies in full force and effect for their full term and continue to honor the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Effective Time, the Surviving Corporation shall pay all expenses, including reasonable attorneys fees, that are incurred by the persons referred to in this </w:t>
      </w:r>
      <w:r>
        <w:rPr>
          <w:rFonts w:ascii="Times New Roman" w:hAnsi="Times New Roman"/>
          <w:sz w:val="20"/>
          <w:u w:val="single"/>
        </w:rPr>
        <w:t>Section 6.8</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6.8</w:t>
      </w:r>
      <w:r>
        <w:rPr>
          <w:rFonts w:ascii="Times New Roman" w:hAnsi="Times New Roman"/>
          <w:sz w:val="20"/>
        </w:rPr>
        <w:t xml:space="preserve"> are intended to be in addition to the rights otherwise available to the current and former officers and directors of Aspen and the Company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Aspen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Aspen or the Surviving Corporation, as the case may be, shall succeed to the obligations set forth in this </w:t>
      </w:r>
      <w:r>
        <w:rPr>
          <w:rFonts w:ascii="Times New Roman" w:hAnsi="Times New Roman"/>
          <w:sz w:val="20"/>
          <w:u w:val="single"/>
        </w:rPr>
        <w:t>Section 6.8</w:t>
      </w:r>
      <w:r>
        <w:rPr>
          <w:rFonts w:ascii="Times New Roman" w:hAnsi="Times New Roman"/>
          <w:sz w:val="20"/>
        </w:rPr>
        <w:t xml:space="preserve">. Aspen shall cause the Surviving Corporation to perform all of the obligations of the Surviving Corporation under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93" w:name="annxa770053_86"/>
      <w:bookmarkEnd w:id="293"/>
      <w:r>
        <w:rPr>
          <w:rFonts w:ascii="Times New Roman" w:hAnsi="Times New Roman"/>
          <w:sz w:val="20"/>
        </w:rPr>
        <w:t xml:space="preserve">6.9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Aspens Current Report on Form 8-K announcing the execution and delivery of this Agreement.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Aspen may make any public statement in response to specific questions by the press, analysts, investors or those attending industry conferences or financial analyst conference calls, or internal employee communications, so long as in each case any such statements or internal employee communications are consistent with previous press releases, public disclosures or public statements made by the Company or Aspen in compliance with this </w:t>
      </w:r>
      <w:r>
        <w:rPr>
          <w:rFonts w:ascii="Times New Roman" w:hAnsi="Times New Roman"/>
          <w:sz w:val="20"/>
          <w:u w:val="single"/>
        </w:rPr>
        <w:t>Section 6.9</w:t>
      </w:r>
      <w:r>
        <w:rPr>
          <w:rFonts w:ascii="Times New Roman" w:hAnsi="Times New Roman"/>
          <w:sz w:val="20"/>
        </w:rPr>
        <w:t xml:space="preserve">. Notwithstanding the foregoing, Aspen and Merger Sub need not consult with the Company in connection with such portion of any press release, public statement or filing to be issued or made pursuant to </w:t>
      </w:r>
      <w:r>
        <w:rPr>
          <w:rFonts w:ascii="Times New Roman" w:hAnsi="Times New Roman"/>
          <w:sz w:val="20"/>
          <w:u w:val="single"/>
        </w:rPr>
        <w:t>Section 6.3</w:t>
      </w:r>
      <w:r>
        <w:rPr>
          <w:rFonts w:ascii="Times New Roman" w:hAnsi="Times New Roman"/>
          <w:sz w:val="20"/>
        </w:rPr>
        <w:t xml:space="preserve"> or relating thereto. </w:t>
      </w:r>
    </w:p>
    <w:p>
      <w:pPr>
        <w:pStyle w:val="TextBody"/>
        <w:bidi w:val="0"/>
        <w:spacing w:before="240" w:after="0"/>
        <w:jc w:val="left"/>
        <w:rPr>
          <w:rFonts w:ascii="Times New Roman" w:hAnsi="Times New Roman"/>
          <w:sz w:val="20"/>
        </w:rPr>
      </w:pPr>
      <w:bookmarkStart w:id="294" w:name="annxa770053_87"/>
      <w:bookmarkEnd w:id="294"/>
      <w:r>
        <w:rPr>
          <w:rFonts w:ascii="Times New Roman" w:hAnsi="Times New Roman"/>
          <w:sz w:val="20"/>
        </w:rPr>
        <w:t xml:space="preserve">6.10 </w:t>
      </w:r>
      <w:r>
        <w:rPr>
          <w:rFonts w:ascii="Times New Roman" w:hAnsi="Times New Roman"/>
          <w:sz w:val="20"/>
          <w:u w:val="single"/>
        </w:rPr>
        <w:t>Listing</w:t>
      </w:r>
      <w:r>
        <w:rPr>
          <w:rFonts w:ascii="Times New Roman" w:hAnsi="Times New Roman"/>
          <w:sz w:val="20"/>
        </w:rPr>
        <w:t xml:space="preserve">. At or prior to the Effective Time, Aspen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Aspen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Aspens certificate of incorporation effecting the Nasdaq Reverse Split, certified by the Secretary of State of the State of Delaware, to Nasdaq on the Closing Date; and (d)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extent required by Nasdaq Listing Rule 5110, assist the Company in preparing and filing an initial listing application for the Aspen Common Stock on Nasdaq (the </w:t>
      </w:r>
      <w:r>
        <w:rPr>
          <w:rFonts w:ascii="Times New Roman" w:hAnsi="Times New Roman"/>
          <w:b/>
          <w:sz w:val="20"/>
        </w:rPr>
        <w:t>Nasdaq Listing Application</w:t>
      </w:r>
      <w:r>
        <w:rPr>
          <w:rFonts w:ascii="Times New Roman" w:hAnsi="Times New Roman"/>
          <w:sz w:val="20"/>
        </w:rPr>
        <w:t xml:space="preserve">)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hAnsi="Times New Roman"/>
          <w:sz w:val="20"/>
          <w:u w:val="single"/>
        </w:rPr>
        <w:t>Section 6.10</w:t>
      </w:r>
      <w:r>
        <w:rPr>
          <w:rFonts w:ascii="Times New Roman" w:hAnsi="Times New Roman"/>
          <w:sz w:val="20"/>
        </w:rPr>
        <w:t xml:space="preserve">. All Nasdaq fees associated with any action contemplated by this </w:t>
      </w:r>
      <w:r>
        <w:rPr>
          <w:rFonts w:ascii="Times New Roman" w:hAnsi="Times New Roman"/>
          <w:sz w:val="20"/>
          <w:u w:val="single"/>
        </w:rPr>
        <w:t>Section 6.10</w:t>
      </w:r>
      <w:r>
        <w:rPr>
          <w:rFonts w:ascii="Times New Roman" w:hAnsi="Times New Roman"/>
          <w:sz w:val="20"/>
        </w:rPr>
        <w:t xml:space="preserve"> (the </w:t>
      </w:r>
      <w:r>
        <w:rPr>
          <w:rFonts w:ascii="Times New Roman" w:hAnsi="Times New Roman"/>
          <w:b/>
          <w:sz w:val="20"/>
        </w:rPr>
        <w:t>Nasdaq Fees</w:t>
      </w:r>
      <w:r>
        <w:rPr>
          <w:rFonts w:ascii="Times New Roman" w:hAnsi="Times New Roman"/>
          <w:sz w:val="20"/>
        </w:rPr>
        <w:t xml:space="preserve">) shall be shared equally by the Company and Aspen. </w:t>
      </w:r>
    </w:p>
    <w:p>
      <w:pPr>
        <w:pStyle w:val="TextBody"/>
        <w:bidi w:val="0"/>
        <w:spacing w:before="240" w:after="0"/>
        <w:jc w:val="left"/>
        <w:rPr>
          <w:rFonts w:ascii="Times New Roman" w:hAnsi="Times New Roman"/>
          <w:sz w:val="20"/>
        </w:rPr>
      </w:pPr>
      <w:bookmarkStart w:id="295" w:name="annxa770053_88"/>
      <w:bookmarkEnd w:id="295"/>
      <w:r>
        <w:rPr>
          <w:rFonts w:ascii="Times New Roman" w:hAnsi="Times New Roman"/>
          <w:sz w:val="20"/>
        </w:rPr>
        <w:t xml:space="preserve">6.11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Merger from qualifying for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Aspen shall promptly notify the Company if, at any time before the Effective Time, Aspen becomes aware of any fact or circumstance that would reasonably be expected to prevent, cause a failure of, or impede the Merger from qualifying for the Intended Tax Treatment. The Company shall promptly notify Aspen if, at any time before the Effective Time, the Company becomes aware of any fact or circumstance that would reasonably be expected to prevent, cause a failure of, or impede the Merger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(c) If, after good faith efforts by Aspen, in cooperation with the Company, to respond to any comments from the SEC requiring or requesting that an opinion with respect to the Intended Tax Treatment be prepared and submitted in connection with the Registration Statement and Proxy Statement (or any other filing required by applicable Law) or the SECs review thereof (</w:t>
      </w:r>
      <w:r>
        <w:rPr>
          <w:rFonts w:ascii="Times New Roman" w:hAnsi="Times New Roman"/>
          <w:b/>
          <w:sz w:val="20"/>
        </w:rPr>
        <w:t>Tax Opinion</w:t>
      </w:r>
      <w:r>
        <w:rPr>
          <w:rFonts w:ascii="Times New Roman" w:hAnsi="Times New Roman"/>
          <w:sz w:val="20"/>
        </w:rPr>
        <w:t>), the SEC continues to request or require that a Tax Opinion be prepared and submitted, (i) each of Aspen and the Company shall cause Goodwin Procter LLP (or such other nationally recognized law or accounting firm reasonably satisfactory to Aspen and the Company) and Cooley LLP (or such other nationally recognized law or accounting firm reasonably satisfactory to the Company and Aspen), respectively, to furnish such opinions (as so required or requested and subject to customary assumptions and limitations) and (ii) Aspen and the Company shall each deliver to Goodwin Procter LLP (or such other nationally recognized law or accounting firm reasonably satisfactory to Aspen and the Company) and Cooley LLP (or such other nationally recognized law or accounting firm reasonably satisfactory to the Company and Aspen) a Tax certificate, dated as of the date the Registration Statement and Proxy Statement (or such other filing if required by applicable Law) shall have been declared effective by the SEC and signed by an officer of Aspen or the Company, as applicable, containing customary representations and covenants reasonably acceptable to the Company and Aspen, as applicable, in each case, as reasonably necessary and appropriate to enable such advisors to render such opinion (the </w:t>
      </w:r>
      <w:r>
        <w:rPr>
          <w:rFonts w:ascii="Times New Roman" w:hAnsi="Times New Roman"/>
          <w:b/>
          <w:sz w:val="20"/>
        </w:rPr>
        <w:t>Tax Certificates</w:t>
      </w:r>
      <w:r>
        <w:rPr>
          <w:rFonts w:ascii="Times New Roman" w:hAnsi="Times New Roman"/>
          <w:sz w:val="20"/>
        </w:rPr>
        <w:t xml:space="preserve">). Each of Aspen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Aspen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Aspen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generality of </w:t>
      </w:r>
      <w:r>
        <w:rPr>
          <w:rFonts w:ascii="Times New Roman" w:hAnsi="Times New Roman"/>
          <w:sz w:val="20"/>
          <w:u w:val="single"/>
        </w:rPr>
        <w:t>Section 6.11(a)</w:t>
      </w:r>
      <w:r>
        <w:rPr>
          <w:rFonts w:ascii="Times New Roman" w:hAnsi="Times New Roman"/>
          <w:sz w:val="20"/>
        </w:rPr>
        <w:t>, if the Company or Aspen reasonably determines on advice of its counsel that there is a material risk that the Merger will not qualify for the Intended Tax Treatment, but would be reasonably expected to so qualify if a second-step merger of the Surviving Corporation into a limited liability company directly and wholly owned by Aspen that is disregarded as an entity for U.S. federal income tax purposes were consummated (such second-step merger, the </w:t>
      </w:r>
      <w:r>
        <w:rPr>
          <w:rFonts w:ascii="Times New Roman" w:hAnsi="Times New Roman"/>
          <w:b/>
          <w:sz w:val="20"/>
        </w:rPr>
        <w:t>Second Merger</w:t>
      </w:r>
      <w:r>
        <w:rPr>
          <w:rFonts w:ascii="Times New Roman" w:hAnsi="Times New Roman"/>
          <w:sz w:val="20"/>
        </w:rPr>
        <w:t xml:space="preserve">), then the Company and Aspen shall cause the Second Merger to be so consummated; provided, that if such Second Merger occurs, (i) the Merger and the Second Merger shall be treated as one integrated transaction for U.S. federal income tax purposes, (ii) the Second Merger shall be consummated in accordance with Delaware Law and as promptly as practicable following the Merger, and (iii) references to Aspen or the Surviving Corporation (in each case, after the effective time of the Second Merger) and all other provisions of this Agreement shall be interpreted </w:t>
      </w:r>
      <w:r>
        <w:rPr>
          <w:rFonts w:ascii="Times New Roman" w:hAnsi="Times New Roman"/>
          <w:i/>
          <w:sz w:val="20"/>
        </w:rPr>
        <w:t>mutatis mutandis</w:t>
      </w:r>
      <w:r>
        <w:rPr>
          <w:rFonts w:ascii="Times New Roman" w:hAnsi="Times New Roman"/>
          <w:sz w:val="20"/>
        </w:rPr>
        <w:t xml:space="preserve"> to take into account the change in structure of the business combination. For the avoidance of doubt, any such amendment described in this </w:t>
      </w:r>
      <w:r>
        <w:rPr>
          <w:rFonts w:ascii="Times New Roman" w:hAnsi="Times New Roman"/>
          <w:sz w:val="20"/>
          <w:u w:val="single"/>
        </w:rPr>
        <w:t>Section 6.11(e)</w:t>
      </w:r>
      <w:r>
        <w:rPr>
          <w:rFonts w:ascii="Times New Roman" w:hAnsi="Times New Roman"/>
          <w:sz w:val="20"/>
        </w:rPr>
        <w:t xml:space="preserve"> shall not alter or change the amount, nature or mix of the Merger Consideration. </w:t>
      </w:r>
    </w:p>
    <w:p>
      <w:pPr>
        <w:pStyle w:val="TextBody"/>
        <w:bidi w:val="0"/>
        <w:spacing w:before="240" w:after="0"/>
        <w:jc w:val="left"/>
        <w:rPr>
          <w:rFonts w:ascii="Times New Roman" w:hAnsi="Times New Roman"/>
          <w:sz w:val="20"/>
        </w:rPr>
      </w:pPr>
      <w:bookmarkStart w:id="296" w:name="annxa770053_89"/>
      <w:bookmarkEnd w:id="296"/>
      <w:r>
        <w:rPr>
          <w:rFonts w:ascii="Times New Roman" w:hAnsi="Times New Roman"/>
          <w:sz w:val="20"/>
        </w:rPr>
        <w:t xml:space="preserve">6.12 </w:t>
      </w:r>
      <w:r>
        <w:rPr>
          <w:rFonts w:ascii="Times New Roman" w:hAnsi="Times New Roman"/>
          <w:sz w:val="20"/>
          <w:u w:val="single"/>
        </w:rPr>
        <w:t>Legends</w:t>
      </w:r>
      <w:r>
        <w:rPr>
          <w:rFonts w:ascii="Times New Roman" w:hAnsi="Times New Roman"/>
          <w:sz w:val="20"/>
        </w:rPr>
        <w:t xml:space="preserve">. Aspen shall be entitled to place appropriate legends on the book entries and/or certificates evidencing any shares of Aspen Common Stock to be received in the Merger by equityholders of the Company who may be considered affiliates of Aspen for purposes of Rules 144 and 145 under the Securities Act reflecting the restrictions set forth in Rules 144 and 145 and to issue appropriate stop transfer instructions to the transfer agent for Aspen Common Stock. </w:t>
      </w:r>
    </w:p>
    <w:p>
      <w:pPr>
        <w:pStyle w:val="TextBody"/>
        <w:bidi w:val="0"/>
        <w:spacing w:before="240" w:after="0"/>
        <w:jc w:val="left"/>
        <w:rPr>
          <w:rFonts w:ascii="Times New Roman" w:hAnsi="Times New Roman"/>
          <w:sz w:val="20"/>
        </w:rPr>
      </w:pPr>
      <w:bookmarkStart w:id="297" w:name="annxa770053_90"/>
      <w:bookmarkEnd w:id="297"/>
      <w:r>
        <w:rPr>
          <w:rFonts w:ascii="Times New Roman" w:hAnsi="Times New Roman"/>
          <w:sz w:val="20"/>
        </w:rPr>
        <w:t xml:space="preserve">6.13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use commercially reasonable efforts and take all necessary action so that the Persons listed on </w:t>
      </w:r>
      <w:r>
        <w:rPr>
          <w:rFonts w:ascii="Times New Roman" w:hAnsi="Times New Roman"/>
          <w:sz w:val="20"/>
          <w:u w:val="single"/>
        </w:rPr>
        <w:t>Section 6.13</w:t>
      </w:r>
      <w:r>
        <w:rPr>
          <w:rFonts w:ascii="Times New Roman" w:hAnsi="Times New Roman"/>
          <w:sz w:val="20"/>
        </w:rPr>
        <w:t xml:space="preserve"> of the Aspen Disclosure Schedule are elected or appointed, as applicable, to the positions of officers or directors of Aspen and the Surviving Corporation, as set forth therein, to serve in such positions effective as of the Effective Time. If any Person listed on </w:t>
      </w:r>
      <w:r>
        <w:rPr>
          <w:rFonts w:ascii="Times New Roman" w:hAnsi="Times New Roman"/>
          <w:sz w:val="20"/>
          <w:u w:val="single"/>
        </w:rPr>
        <w:t>Section 6.13</w:t>
      </w:r>
      <w:r>
        <w:rPr>
          <w:rFonts w:ascii="Times New Roman" w:hAnsi="Times New Roman"/>
          <w:sz w:val="20"/>
        </w:rPr>
        <w:t xml:space="preserve"> of the Aspen Disclosure Schedule is unable or unwilling to serve as officer or director of Aspen or the Surviving Corporation, as set forth therein, the Party appointing such Person (as set forth on </w:t>
      </w:r>
      <w:r>
        <w:rPr>
          <w:rFonts w:ascii="Times New Roman" w:hAnsi="Times New Roman"/>
          <w:sz w:val="20"/>
          <w:u w:val="single"/>
        </w:rPr>
        <w:t>Section 6.13</w:t>
      </w:r>
      <w:r>
        <w:rPr>
          <w:rFonts w:ascii="Times New Roman" w:hAnsi="Times New Roman"/>
          <w:sz w:val="20"/>
        </w:rPr>
        <w:t xml:space="preserve"> of the Aspen Disclosure Schedule) shall designate a successor. The Parties shall use reasonable best efforts to have each of the Persons that will serve as directors and officers of the Aspen following the Closing to execute and deliver a Lock-Up Agreement prior to Closing. </w:t>
      </w:r>
    </w:p>
    <w:p>
      <w:pPr>
        <w:pStyle w:val="TextBody"/>
        <w:bidi w:val="0"/>
        <w:spacing w:before="240" w:after="0"/>
        <w:jc w:val="left"/>
        <w:rPr>
          <w:rFonts w:ascii="Times New Roman" w:hAnsi="Times New Roman"/>
          <w:sz w:val="20"/>
        </w:rPr>
      </w:pPr>
      <w:bookmarkStart w:id="298" w:name="annxa770053_91"/>
      <w:bookmarkEnd w:id="298"/>
      <w:r>
        <w:rPr>
          <w:rFonts w:ascii="Times New Roman" w:hAnsi="Times New Roman"/>
          <w:sz w:val="20"/>
        </w:rPr>
        <w:t xml:space="preserve">6.14 </w:t>
      </w:r>
      <w:r>
        <w:rPr>
          <w:rFonts w:ascii="Times New Roman" w:hAnsi="Times New Roman"/>
          <w:sz w:val="20"/>
          <w:u w:val="single"/>
        </w:rPr>
        <w:t>Termination of Certain Agreements and Rights</w:t>
      </w:r>
      <w:r>
        <w:rPr>
          <w:rFonts w:ascii="Times New Roman" w:hAnsi="Times New Roman"/>
          <w:sz w:val="20"/>
        </w:rPr>
        <w:t xml:space="preserve">. Except as set forth on </w:t>
      </w:r>
      <w:r>
        <w:rPr>
          <w:rFonts w:ascii="Times New Roman" w:hAnsi="Times New Roman"/>
          <w:sz w:val="20"/>
          <w:u w:val="single"/>
        </w:rPr>
        <w:t>Section 6.14</w:t>
      </w:r>
      <w:r>
        <w:rPr>
          <w:rFonts w:ascii="Times New Roman" w:hAnsi="Times New Roman"/>
          <w:sz w:val="20"/>
        </w:rPr>
        <w:t xml:space="preserve"> of the Aspen Disclosure Schedule, each of Aspen and the Company shall use commercially reasonable efforts to cause any stockholder agreements, voting agreements, registration rights agreements, co-sale agreements and any other similar Contracts between either Aspen or the Company and any holders of Aspen Common Stock or Company Capital Stock, respectively, including any such Contract granting any Person investor rights, rights of first refusal, registration rights or director registration rights, to be terminated immediately prior to the Effective Time, without any liability being imposed on the part of Aspen or the Surviving Corporation. </w:t>
      </w:r>
    </w:p>
    <w:p>
      <w:pPr>
        <w:pStyle w:val="TextBody"/>
        <w:bidi w:val="0"/>
        <w:spacing w:before="240" w:after="0"/>
        <w:jc w:val="left"/>
        <w:rPr>
          <w:rFonts w:ascii="Times New Roman" w:hAnsi="Times New Roman"/>
          <w:sz w:val="20"/>
        </w:rPr>
      </w:pPr>
      <w:bookmarkStart w:id="299" w:name="annxa770053_92"/>
      <w:bookmarkEnd w:id="299"/>
      <w:r>
        <w:rPr>
          <w:rFonts w:ascii="Times New Roman" w:hAnsi="Times New Roman"/>
          <w:sz w:val="20"/>
        </w:rPr>
        <w:t xml:space="preserve">6.15 </w:t>
      </w:r>
      <w:r>
        <w:rPr>
          <w:rFonts w:ascii="Times New Roman" w:hAnsi="Times New Roman"/>
          <w:sz w:val="20"/>
          <w:u w:val="single"/>
        </w:rPr>
        <w:t>Section 16 Matters</w:t>
      </w:r>
      <w:r>
        <w:rPr>
          <w:rFonts w:ascii="Times New Roman" w:hAnsi="Times New Roman"/>
          <w:sz w:val="20"/>
        </w:rPr>
        <w:t xml:space="preserve">. Prior to the Effective Time, Aspen shall take all such steps as may be required to cause any acquisitions of Aspen Common Stock and any options to purchase Aspen Common Stock in connection with the Contemplated Transactions, by each individual who is reasonably expected to become subject to the reporting requirements of Section 16(a) of the Exchange Act with respect to Aspen, to be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300" w:name="annxa770053_93"/>
      <w:bookmarkEnd w:id="300"/>
      <w:r>
        <w:rPr>
          <w:rFonts w:ascii="Times New Roman" w:hAnsi="Times New Roman"/>
          <w:sz w:val="20"/>
        </w:rPr>
        <w:t xml:space="preserve">6.16 </w:t>
      </w:r>
      <w:r>
        <w:rPr>
          <w:rFonts w:ascii="Times New Roman" w:hAnsi="Times New Roman"/>
          <w:sz w:val="20"/>
          <w:u w:val="single"/>
        </w:rPr>
        <w:t>Allocation Certificate</w:t>
      </w:r>
      <w:r>
        <w:rPr>
          <w:rFonts w:ascii="Times New Roman" w:hAnsi="Times New Roman"/>
          <w:sz w:val="20"/>
        </w:rPr>
        <w:t>. The Company will prepare and deliver to Aspen at least five (5) Business Days prior to the Closing Date a certificate signed by the Companys Chief Executive Officer in a form reasonably acceptable to Aspen setting forth (as of immediately prior to the Effective Time and after giving effect to the Company SAFEs Conversion and the Company Preferred Stock Conversion) (a) each holder of Company Capital Stock and Company Options, (b) such holders name and address, (c) the number and type of Company Capital Stock held as of immediately prior to the Effective Time for each such holder or, with respect to each Company Option, the grant date of such Company Option and the number of shares of Company Capital Stock subject to such Company Option, (d) the number of shares of Aspen Common Stock to be issued to such holder pursuant to this Agreement in respect of the Company Capital Stock held by such holder as of immediately prior to the Effective Time (after giving effect to the Company SAFEs Conversion and the Company Preferred Stock Conversion) or, with respect to each Company Option, the number of shares of Aspen Common Stock to be subject to the applicable Assumed Option immediately following the conversion of such Company Option into an Assumed Option in accordance with this Agreement, and (e) the name and address of each Concurrent Investor, the total investment to be made by such Concurrent Investor in the Concurrent Investment, the percentage of the Concurrent Investment Proceeds represented by such Concurrent Investors investment in the Concurrent Investment, and the number of shares of Aspen Common Stock to be issued to such Concurrent Investor pursuant to this Agreement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01" w:name="annxa770053_94"/>
      <w:bookmarkEnd w:id="301"/>
      <w:r>
        <w:rPr>
          <w:rFonts w:ascii="Times New Roman" w:hAnsi="Times New Roman"/>
          <w:sz w:val="20"/>
        </w:rPr>
        <w:t xml:space="preserve">6.17 </w:t>
      </w:r>
      <w:r>
        <w:rPr>
          <w:rFonts w:ascii="Times New Roman" w:hAnsi="Times New Roman"/>
          <w:sz w:val="20"/>
          <w:u w:val="single"/>
        </w:rPr>
        <w:t>Obligations of Merger Sub</w:t>
      </w:r>
      <w:r>
        <w:rPr>
          <w:rFonts w:ascii="Times New Roman" w:hAnsi="Times New Roman"/>
          <w:sz w:val="20"/>
        </w:rPr>
        <w:t xml:space="preserve">. Aspen will take all action necessary to cause Merger Sub to perform their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302" w:name="annxa770053_95"/>
      <w:bookmarkEnd w:id="302"/>
      <w:r>
        <w:rPr>
          <w:rFonts w:ascii="Times New Roman" w:hAnsi="Times New Roman"/>
          <w:sz w:val="20"/>
        </w:rPr>
        <w:t xml:space="preserve">6.18 </w:t>
      </w:r>
      <w:r>
        <w:rPr>
          <w:rFonts w:ascii="Times New Roman" w:hAnsi="Times New Roman"/>
          <w:sz w:val="20"/>
          <w:u w:val="single"/>
        </w:rPr>
        <w:t>Covenants Regarding Concurrent Investment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take, or cause to be taken, all actions and do, or cause to be done, all things necessary, proper or advisable to enforce its rights under each Concurrent Investment Agreement in the event that all conditions in such Concurrent Investment Agreement (other than conditions whose satisfaction is controlled by the Parties or any of their Affiliates and other than conditions that by their nature are to be satisfied at the Closing) have been satisfied, and to cause the applicable Concurrent Investors to pay (to the extent not already paid) the applicable portion of the Concurrent Investment Amount set forth in the applicable Concurrent Investment Agreement in accordance with its terms. Without limiting the generality of the foregoing, the Company shall give Aspen prompt (and, in any event, within one (1) Business Day) written notice: (A) of any request from an Concurrent Investor for any amendment to its Concurrent Investment Agreement (other than as a result of any assignments or transfers contemplated therein or otherwise permitted thereby); (B) of any breach or default (or any event or circumstance that, with or without notice, lapse of time or both, would reasonably be expected to give rise to any breach or default) by any Concurrent Investor under the applicable Concurrent Investment Agreement, to the extent known by the Company; and (C) of the receipt of any written notice or other written communication from any party to a Concurrent Investment Agreement with respect to any actual, potential, threatened or claimed expiration, lapse, withdrawal, breach, default, termination or repudiation by any Concurrent Investor under a Concurrent Investment Agreement or any related agreement. The Company shall deliver all notices they are required to deliver under the Concurrent Investment Agreements on a timely basis in order to cause the Subscription Agreement Concurrent Investors to consummate the Subscription Agreement Concurrent Investment immediately prior to the Effective Time and to cause the occurrence of the Company SAFEs Conversion immediately following the Company Preferred Stock Conversion and immediately prior to the Subscription Agreement Concurrent Investment and at the Specified Time.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initial execution of the Concurrent Investment Agreements, the Company shall not amend, modify or waive any provisions of a Concurrent Investment Agreement without the prior written consent of Aspen if such termination, amendment, modification, waiver or replacement (i) reduces the aggregate Concurrent Investment Amount or (ii) imposes new or additional conditions or otherwise expands, amends or modifies any of the conditions to the receipt of the Concurrent Investment, or otherwise expands, amends or modifies any other provision of the applicable Concurrent Investment Agreement, in a manner that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(x) delay or prevent the funding of the Concurrent Investment or the funding in full of the Concurrent Investment Amount (or satisfaction of the conditions to the Concurrent Investment) at or substantially simultaneously with the Closing or (y) adversely impact the ability of the Company to enforce its rights against other parties to the applicable Concurrent Investment Agreement. The Company shall promptly deliver to Aspen copies of any such termination, amendment, modification, waiver or replacement.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use commercially reasonable efforts to take such actions and cause the holders of Company Capital Stock to provide all documentation, including investor questionnaires in a manner that satisfies the requirements of Rule 506 of Regulation D under the Securities Act or Section 4(a)(2) under the Securities Act or Rule 902 of Regulation S, including certifications to Aspen: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Aspen Common Stock; and (iii) that unless the shares are registered for resale the Aspen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Section 5.2(b)(iii)(A) and (C), beginning on or after June 1, 2024, the Company shall be able to draw down on any Concurrent Investment, in no event exceeding $25,000,000 in the aggregate, for purposes of funding general operating expenses of the Company in the Ordinary Course of Business (for the avoidance of doubt in accordance with the Companys obligations pursuant to Section 5.2(b)). Any such shares of Company Common Stock issued upon conversion of such drawdown(s) shall be issued by the Company in accordance with Section 2.5(g) applied on a </w:t>
      </w:r>
      <w:r>
        <w:rPr>
          <w:rFonts w:ascii="Times New Roman" w:hAnsi="Times New Roman"/>
          <w:i/>
          <w:sz w:val="20"/>
        </w:rPr>
        <w:t>mutatis mutandis</w:t>
      </w:r>
      <w:r>
        <w:rPr>
          <w:rFonts w:ascii="Times New Roman" w:hAnsi="Times New Roman"/>
          <w:sz w:val="20"/>
        </w:rPr>
        <w:t xml:space="preserve"> basis. </w:t>
      </w:r>
    </w:p>
    <w:p>
      <w:pPr>
        <w:pStyle w:val="TextBody"/>
        <w:bidi w:val="0"/>
        <w:spacing w:before="240" w:after="0"/>
        <w:jc w:val="left"/>
        <w:rPr>
          <w:rFonts w:ascii="Times New Roman" w:hAnsi="Times New Roman"/>
          <w:sz w:val="20"/>
        </w:rPr>
      </w:pPr>
      <w:bookmarkStart w:id="303" w:name="annxa770053_96"/>
      <w:bookmarkEnd w:id="303"/>
      <w:r>
        <w:rPr>
          <w:rFonts w:ascii="Times New Roman" w:hAnsi="Times New Roman"/>
          <w:sz w:val="20"/>
        </w:rPr>
        <w:t xml:space="preserve">Section 7. </w:t>
      </w:r>
      <w:r>
        <w:rPr>
          <w:rFonts w:ascii="Times New Roman" w:hAnsi="Times New Roman"/>
          <w:sz w:val="20"/>
          <w:u w:val="single"/>
        </w:rPr>
        <w:t>Conditions Precedent to Obligations of Each Party</w:t>
      </w:r>
      <w:r>
        <w:rPr>
          <w:rFonts w:ascii="Times New Roman" w:hAnsi="Times New Roman"/>
          <w:sz w:val="20"/>
        </w:rPr>
        <w:t xml:space="preserve">.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240" w:after="0"/>
        <w:jc w:val="left"/>
        <w:rPr>
          <w:rFonts w:ascii="Times New Roman" w:hAnsi="Times New Roman"/>
          <w:sz w:val="20"/>
        </w:rPr>
      </w:pPr>
      <w:bookmarkStart w:id="304" w:name="annxa770053_97"/>
      <w:bookmarkEnd w:id="304"/>
      <w:r>
        <w:rPr>
          <w:rFonts w:ascii="Times New Roman" w:hAnsi="Times New Roman"/>
          <w:sz w:val="20"/>
        </w:rPr>
        <w:t xml:space="preserve">7.1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w:t>
      </w:r>
    </w:p>
    <w:p>
      <w:pPr>
        <w:pStyle w:val="TextBody"/>
        <w:bidi w:val="0"/>
        <w:spacing w:before="240" w:after="0"/>
        <w:jc w:val="left"/>
        <w:rPr>
          <w:rFonts w:ascii="Times New Roman" w:hAnsi="Times New Roman"/>
          <w:sz w:val="20"/>
        </w:rPr>
      </w:pPr>
      <w:bookmarkStart w:id="305" w:name="annxa770053_98"/>
      <w:bookmarkEnd w:id="305"/>
      <w:r>
        <w:rPr>
          <w:rFonts w:ascii="Times New Roman" w:hAnsi="Times New Roman"/>
          <w:sz w:val="20"/>
        </w:rPr>
        <w:t xml:space="preserve">7.2 </w:t>
      </w:r>
      <w:r>
        <w:rPr>
          <w:rFonts w:ascii="Times New Roman" w:hAnsi="Times New Roman"/>
          <w:sz w:val="20"/>
          <w:u w:val="single"/>
        </w:rPr>
        <w:t>No Restraints</w:t>
      </w:r>
      <w:r>
        <w:rPr>
          <w:rFonts w:ascii="Times New Roman" w:hAnsi="Times New Roman"/>
          <w:sz w:val="20"/>
        </w:rPr>
        <w:t xml:space="preserve">.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bookmarkStart w:id="306" w:name="annxa770053_99"/>
      <w:bookmarkEnd w:id="306"/>
      <w:r>
        <w:rPr>
          <w:rFonts w:ascii="Times New Roman" w:hAnsi="Times New Roman"/>
          <w:sz w:val="20"/>
        </w:rPr>
        <w:t xml:space="preserve">7.3 </w:t>
      </w:r>
      <w:r>
        <w:rPr>
          <w:rFonts w:ascii="Times New Roman" w:hAnsi="Times New Roman"/>
          <w:sz w:val="20"/>
          <w:u w:val="single"/>
        </w:rPr>
        <w:t>Stockholder Approval</w:t>
      </w:r>
      <w:r>
        <w:rPr>
          <w:rFonts w:ascii="Times New Roman" w:hAnsi="Times New Roman"/>
          <w:sz w:val="20"/>
        </w:rPr>
        <w:t xml:space="preserve">. (a) Aspen shall have obtained the Required Aspen Stockholder Vote with respect to the Specified Aspen Stockholder Matters and (b) the Company shall have obtained the Required Company Stockholder Vote. </w:t>
      </w:r>
    </w:p>
    <w:p>
      <w:pPr>
        <w:pStyle w:val="TextBody"/>
        <w:bidi w:val="0"/>
        <w:spacing w:before="240" w:after="0"/>
        <w:jc w:val="left"/>
        <w:rPr>
          <w:rFonts w:ascii="Times New Roman" w:hAnsi="Times New Roman"/>
          <w:sz w:val="20"/>
        </w:rPr>
      </w:pPr>
      <w:bookmarkStart w:id="307" w:name="annxa770053_100"/>
      <w:bookmarkEnd w:id="307"/>
      <w:r>
        <w:rPr>
          <w:rFonts w:ascii="Times New Roman" w:hAnsi="Times New Roman"/>
          <w:sz w:val="20"/>
        </w:rPr>
        <w:t xml:space="preserve">7.4 </w:t>
      </w:r>
      <w:r>
        <w:rPr>
          <w:rFonts w:ascii="Times New Roman" w:hAnsi="Times New Roman"/>
          <w:sz w:val="20"/>
          <w:u w:val="single"/>
        </w:rPr>
        <w:t>Listing</w:t>
      </w:r>
      <w:r>
        <w:rPr>
          <w:rFonts w:ascii="Times New Roman" w:hAnsi="Times New Roman"/>
          <w:sz w:val="20"/>
        </w:rPr>
        <w:t xml:space="preserve">. The approval of the listing of the additional shares of Aspen Common Stock on Nasdaq shall have been obtained and the shares of Aspen Common Stock to be issued in the Contemplated Transactions pursuant to this Agreement shall have been approved for listing (subject to official notice of issuance) on Nasdaq. </w:t>
      </w:r>
    </w:p>
    <w:p>
      <w:pPr>
        <w:pStyle w:val="TextBody"/>
        <w:bidi w:val="0"/>
        <w:spacing w:before="240" w:after="0"/>
        <w:jc w:val="left"/>
        <w:rPr>
          <w:rFonts w:ascii="Times New Roman" w:hAnsi="Times New Roman"/>
          <w:sz w:val="20"/>
        </w:rPr>
      </w:pPr>
      <w:bookmarkStart w:id="308" w:name="annxa770053_101"/>
      <w:bookmarkEnd w:id="308"/>
      <w:r>
        <w:rPr>
          <w:rFonts w:ascii="Times New Roman" w:hAnsi="Times New Roman"/>
          <w:sz w:val="20"/>
        </w:rPr>
        <w:t xml:space="preserve">7.5 </w:t>
      </w:r>
      <w:r>
        <w:rPr>
          <w:rFonts w:ascii="Times New Roman" w:hAnsi="Times New Roman"/>
          <w:sz w:val="20"/>
          <w:u w:val="single"/>
        </w:rPr>
        <w:t>Lock-Up Agreements</w:t>
      </w:r>
      <w:r>
        <w:rPr>
          <w:rFonts w:ascii="Times New Roman" w:hAnsi="Times New Roman"/>
          <w:sz w:val="20"/>
        </w:rPr>
        <w:t xml:space="preserve">. The Lock-Up Agreements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Concurrent Investment</w:t>
      </w:r>
      <w:r>
        <w:rPr>
          <w:rFonts w:ascii="Times New Roman" w:hAnsi="Times New Roman"/>
          <w:sz w:val="20"/>
        </w:rPr>
        <w:t xml:space="preserve">. Cash proceeds of not less than the Concurrent Investment Amount shall have been received by the Company, or will be received by the Company substantially simultaneously with the Closing, in connection with the consummation of the transactions contemplated by the Concurrent Investment Agreements; </w:t>
      </w:r>
      <w:r>
        <w:rPr>
          <w:rFonts w:ascii="Times New Roman" w:hAnsi="Times New Roman"/>
          <w:sz w:val="20"/>
          <w:u w:val="single"/>
        </w:rPr>
        <w:t>provided</w:t>
      </w:r>
      <w:r>
        <w:rPr>
          <w:rFonts w:ascii="Times New Roman" w:hAnsi="Times New Roman"/>
          <w:sz w:val="20"/>
        </w:rPr>
        <w:t xml:space="preserve"> that the condition in this </w:t>
      </w:r>
      <w:r>
        <w:rPr>
          <w:rFonts w:ascii="Times New Roman" w:hAnsi="Times New Roman"/>
          <w:sz w:val="20"/>
          <w:u w:val="single"/>
        </w:rPr>
        <w:t>Section 7.6</w:t>
      </w:r>
      <w:r>
        <w:rPr>
          <w:rFonts w:ascii="Times New Roman" w:hAnsi="Times New Roman"/>
          <w:sz w:val="20"/>
        </w:rPr>
        <w:t xml:space="preserve"> shall not be available to the Company if such cash proceeds in an amount not less than the Concurrent Investment Amount would have been received by the Company before or substantially simultaneously with the Closing, but for the breach or failure to perform by one or more Concurrent Investors that is a holder of Company Capital Stock or Company SAFEs as of the date hereof or an Affiliate thereof of the agreements or covenants required to be performed or complied with by such Concurrent Investor under the applicable Concurrent Investment Agreement. </w:t>
      </w:r>
    </w:p>
    <w:p>
      <w:pPr>
        <w:pStyle w:val="TextBody"/>
        <w:bidi w:val="0"/>
        <w:spacing w:before="240" w:after="0"/>
        <w:jc w:val="left"/>
        <w:rPr>
          <w:rFonts w:ascii="Times New Roman" w:hAnsi="Times New Roman"/>
          <w:sz w:val="20"/>
        </w:rPr>
      </w:pPr>
      <w:bookmarkStart w:id="309" w:name="annxa770053_102"/>
      <w:bookmarkEnd w:id="309"/>
      <w:r>
        <w:rPr>
          <w:rFonts w:ascii="Times New Roman" w:hAnsi="Times New Roman"/>
          <w:sz w:val="20"/>
        </w:rPr>
        <w:t xml:space="preserve">Section 8. </w:t>
      </w:r>
      <w:r>
        <w:rPr>
          <w:rFonts w:ascii="Times New Roman" w:hAnsi="Times New Roman"/>
          <w:sz w:val="20"/>
          <w:u w:val="single"/>
        </w:rPr>
        <w:t>Additional Conditions Precedent to Obligations of Aspen and Merger Sub</w:t>
      </w:r>
      <w:r>
        <w:rPr>
          <w:rFonts w:ascii="Times New Roman" w:hAnsi="Times New Roman"/>
          <w:sz w:val="20"/>
        </w:rPr>
        <w:t xml:space="preserve">. The obligations of Aspen and Merger Sub to effect the Merger and otherwise consummate the transactions to be consummated at the Closing are subject to the satisfaction or the written waiver by Aspen, at or prior to the Closing, of each of the following conditions: </w:t>
      </w:r>
    </w:p>
    <w:p>
      <w:pPr>
        <w:pStyle w:val="TextBody"/>
        <w:bidi w:val="0"/>
        <w:spacing w:before="240" w:after="0"/>
        <w:jc w:val="left"/>
        <w:rPr>
          <w:rFonts w:ascii="Times New Roman" w:hAnsi="Times New Roman"/>
          <w:sz w:val="20"/>
        </w:rPr>
      </w:pPr>
      <w:bookmarkStart w:id="310" w:name="annxa770053_103"/>
      <w:bookmarkEnd w:id="310"/>
      <w:r>
        <w:rPr>
          <w:rFonts w:ascii="Times New Roman" w:hAnsi="Times New Roman"/>
          <w:sz w:val="20"/>
        </w:rPr>
        <w:t xml:space="preserve">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hAnsi="Times New Roman"/>
          <w:i/>
          <w:sz w:val="20"/>
        </w:rPr>
        <w:t>de minimis</w:t>
      </w:r>
      <w:r>
        <w:rPr>
          <w:rFonts w:ascii="Times New Roman" w:hAnsi="Times New Roman"/>
          <w:sz w:val="20"/>
        </w:rPr>
        <w:t xml:space="preserve">,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bookmarkStart w:id="311" w:name="annxa770053_104"/>
      <w:bookmarkEnd w:id="311"/>
      <w:r>
        <w:rPr>
          <w:rFonts w:ascii="Times New Roman" w:hAnsi="Times New Roman"/>
          <w:sz w:val="20"/>
        </w:rPr>
        <w:t xml:space="preserve">8.2 </w:t>
      </w:r>
      <w:r>
        <w:rPr>
          <w:rFonts w:ascii="Times New Roman" w:hAnsi="Times New Roman"/>
          <w:sz w:val="20"/>
          <w:u w:val="single"/>
        </w:rPr>
        <w:t>Performance of Covenants</w:t>
      </w:r>
      <w:r>
        <w:rPr>
          <w:rFonts w:ascii="Times New Roman" w:hAnsi="Times New Roman"/>
          <w:sz w:val="20"/>
        </w:rPr>
        <w:t xml:space="preserve">. The Company shall not have breached or failed to perform in any material respect any agreements or covenants required to be performed or complied with by it under this Agreement at or prior to the Effective Time. </w:t>
      </w:r>
    </w:p>
    <w:p>
      <w:pPr>
        <w:pStyle w:val="TextBody"/>
        <w:bidi w:val="0"/>
        <w:spacing w:before="240" w:after="0"/>
        <w:jc w:val="left"/>
        <w:rPr>
          <w:rFonts w:ascii="Times New Roman" w:hAnsi="Times New Roman"/>
          <w:sz w:val="20"/>
        </w:rPr>
      </w:pPr>
      <w:bookmarkStart w:id="312" w:name="annxa770053_105"/>
      <w:bookmarkEnd w:id="312"/>
      <w:r>
        <w:rPr>
          <w:rFonts w:ascii="Times New Roman" w:hAnsi="Times New Roman"/>
          <w:sz w:val="20"/>
        </w:rPr>
        <w:t xml:space="preserve">8.3 </w:t>
      </w:r>
      <w:r>
        <w:rPr>
          <w:rFonts w:ascii="Times New Roman" w:hAnsi="Times New Roman"/>
          <w:sz w:val="20"/>
          <w:u w:val="single"/>
        </w:rPr>
        <w:t>Documents</w:t>
      </w:r>
      <w:r>
        <w:rPr>
          <w:rFonts w:ascii="Times New Roman" w:hAnsi="Times New Roman"/>
          <w:sz w:val="20"/>
        </w:rPr>
        <w:t xml:space="preserve">. Aspen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have been duly satisfied and (ii) that the information (other than emails and addresses) set forth in the Allocation Certificate delivered by the company in accordance with </w:t>
      </w:r>
      <w:r>
        <w:rPr>
          <w:rFonts w:ascii="Times New Roman" w:hAnsi="Times New Roman"/>
          <w:sz w:val="20"/>
          <w:u w:val="single"/>
        </w:rPr>
        <w:t>Section 6.16</w:t>
      </w:r>
      <w:r>
        <w:rPr>
          <w:rFonts w:ascii="Times New Roman" w:hAnsi="Times New Roman"/>
          <w:sz w:val="20"/>
        </w:rPr>
        <w:t xml:space="preserve"> is true and accurate in all respects as of the Closing Date; and </w:t>
      </w:r>
    </w:p>
    <w:p>
      <w:pPr>
        <w:pStyle w:val="TextBody"/>
        <w:bidi w:val="0"/>
        <w:spacing w:before="240" w:after="0"/>
        <w:jc w:val="left"/>
        <w:rPr>
          <w:rFonts w:ascii="Times New Roman" w:hAnsi="Times New Roman"/>
          <w:sz w:val="20"/>
        </w:rPr>
      </w:pPr>
      <w:r>
        <w:rPr>
          <w:rFonts w:ascii="Times New Roman" w:hAnsi="Times New Roman"/>
          <w:sz w:val="20"/>
        </w:rPr>
        <w:t xml:space="preserve">(b) the Allocation Certificate. </w:t>
      </w:r>
    </w:p>
    <w:p>
      <w:pPr>
        <w:pStyle w:val="TextBody"/>
        <w:bidi w:val="0"/>
        <w:spacing w:before="240" w:after="0"/>
        <w:jc w:val="left"/>
        <w:rPr>
          <w:rFonts w:ascii="Times New Roman" w:hAnsi="Times New Roman"/>
          <w:sz w:val="20"/>
        </w:rPr>
      </w:pPr>
      <w:bookmarkStart w:id="313" w:name="annxa770053_106"/>
      <w:bookmarkEnd w:id="313"/>
      <w:r>
        <w:rPr>
          <w:rFonts w:ascii="Times New Roman" w:hAnsi="Times New Roman"/>
          <w:sz w:val="20"/>
        </w:rPr>
        <w:t xml:space="preserve">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that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314" w:name="annxa770053_107"/>
      <w:bookmarkEnd w:id="314"/>
      <w:r>
        <w:rPr>
          <w:rFonts w:ascii="Times New Roman" w:hAnsi="Times New Roman"/>
          <w:sz w:val="20"/>
        </w:rPr>
        <w:t xml:space="preserve">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shall be in full force and effect. </w:t>
      </w:r>
    </w:p>
    <w:p>
      <w:pPr>
        <w:pStyle w:val="TextBody"/>
        <w:bidi w:val="0"/>
        <w:spacing w:before="240" w:after="0"/>
        <w:jc w:val="left"/>
        <w:rPr>
          <w:rFonts w:ascii="Times New Roman" w:hAnsi="Times New Roman"/>
          <w:sz w:val="20"/>
        </w:rPr>
      </w:pPr>
      <w:bookmarkStart w:id="315" w:name="annxa770053_108"/>
      <w:bookmarkEnd w:id="315"/>
      <w:r>
        <w:rPr>
          <w:rFonts w:ascii="Times New Roman" w:hAnsi="Times New Roman"/>
          <w:sz w:val="20"/>
        </w:rPr>
        <w:t xml:space="preserve">8.6 </w:t>
      </w:r>
      <w:r>
        <w:rPr>
          <w:rFonts w:ascii="Times New Roman" w:hAnsi="Times New Roman"/>
          <w:sz w:val="20"/>
          <w:u w:val="single"/>
        </w:rPr>
        <w:t>FIRPTA Certificate</w:t>
      </w:r>
      <w:r>
        <w:rPr>
          <w:rFonts w:ascii="Times New Roman" w:hAnsi="Times New Roman"/>
          <w:sz w:val="20"/>
        </w:rPr>
        <w:t xml:space="preserve">. Aspen shall have received from the Company a certificate and accompanying notice to the IRS (together with written authorization for Aspen to deliver such notice to the Internal Revenue Service on behalf of the Company after the Closing), in each case duly executed by an executive officer of the Company and meeting the requirements of Treasury Regulations Section 1.1445-2(c)(3) and in accordance with the requirements of Treasury Regulations Section 1.897-2(h) and in substantially the form attached hereto as </w:t>
      </w:r>
      <w:r>
        <w:rPr>
          <w:rFonts w:ascii="Times New Roman" w:hAnsi="Times New Roman"/>
          <w:b/>
          <w:sz w:val="20"/>
          <w:u w:val="single"/>
        </w:rPr>
        <w:t>Exhibit 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16" w:name="annxa770053_109"/>
      <w:bookmarkEnd w:id="316"/>
      <w:r>
        <w:rPr>
          <w:rFonts w:ascii="Times New Roman" w:hAnsi="Times New Roman"/>
          <w:sz w:val="20"/>
        </w:rPr>
        <w:t xml:space="preserve">8.7 </w:t>
      </w:r>
      <w:r>
        <w:rPr>
          <w:rFonts w:ascii="Times New Roman" w:hAnsi="Times New Roman"/>
          <w:sz w:val="20"/>
          <w:u w:val="single"/>
        </w:rPr>
        <w:t>Company Conversions</w:t>
      </w:r>
      <w:r>
        <w:rPr>
          <w:rFonts w:ascii="Times New Roman" w:hAnsi="Times New Roman"/>
          <w:sz w:val="20"/>
        </w:rPr>
        <w:t xml:space="preserve">. The Company SAFEs Conversion and the Company Preferred Stock Conversion shall have been duly effected. </w:t>
      </w:r>
    </w:p>
    <w:p>
      <w:pPr>
        <w:pStyle w:val="TextBody"/>
        <w:bidi w:val="0"/>
        <w:spacing w:before="240" w:after="0"/>
        <w:jc w:val="left"/>
        <w:rPr>
          <w:rFonts w:ascii="Times New Roman" w:hAnsi="Times New Roman"/>
          <w:sz w:val="20"/>
        </w:rPr>
      </w:pPr>
      <w:bookmarkStart w:id="317" w:name="annxa770053_110"/>
      <w:bookmarkEnd w:id="317"/>
      <w:r>
        <w:rPr>
          <w:rFonts w:ascii="Times New Roman" w:hAnsi="Times New Roman"/>
          <w:sz w:val="20"/>
        </w:rPr>
        <w:t xml:space="preserve">Section 9. </w:t>
      </w:r>
      <w:r>
        <w:rPr>
          <w:rFonts w:ascii="Times New Roman" w:hAnsi="Times New Roman"/>
          <w:sz w:val="20"/>
          <w:u w:val="single"/>
        </w:rPr>
        <w:t>Additional 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240" w:after="0"/>
        <w:jc w:val="left"/>
        <w:rPr>
          <w:rFonts w:ascii="Times New Roman" w:hAnsi="Times New Roman"/>
          <w:sz w:val="20"/>
        </w:rPr>
      </w:pPr>
      <w:bookmarkStart w:id="318" w:name="annxa770053_111"/>
      <w:bookmarkEnd w:id="318"/>
      <w:r>
        <w:rPr>
          <w:rFonts w:ascii="Times New Roman" w:hAnsi="Times New Roman"/>
          <w:sz w:val="20"/>
        </w:rPr>
        <w:t xml:space="preserve">9.1 </w:t>
      </w:r>
      <w:r>
        <w:rPr>
          <w:rFonts w:ascii="Times New Roman" w:hAnsi="Times New Roman"/>
          <w:sz w:val="20"/>
          <w:u w:val="single"/>
        </w:rPr>
        <w:t>Accuracy of Representations</w:t>
      </w:r>
      <w:r>
        <w:rPr>
          <w:rFonts w:ascii="Times New Roman" w:hAnsi="Times New Roman"/>
          <w:sz w:val="20"/>
        </w:rPr>
        <w:t xml:space="preserve">. Each of the Aspen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Aspen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hAnsi="Times New Roman"/>
          <w:i/>
          <w:sz w:val="20"/>
        </w:rPr>
        <w:t>de minimis</w:t>
      </w:r>
      <w:r>
        <w:rPr>
          <w:rFonts w:ascii="Times New Roman" w:hAnsi="Times New Roman"/>
          <w:sz w:val="20"/>
        </w:rPr>
        <w:t xml:space="preserve">,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Aspen and Merger Sub contained in this Agreement (other than the Aspen Fundamental Representations and the Aspen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an Aspen Material Adverse Effect (without giving effect to any references therein to any Aspen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Aspen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bookmarkStart w:id="319" w:name="annxa770053_112"/>
      <w:bookmarkEnd w:id="319"/>
      <w:r>
        <w:rPr>
          <w:rFonts w:ascii="Times New Roman" w:hAnsi="Times New Roman"/>
          <w:sz w:val="20"/>
        </w:rPr>
        <w:t xml:space="preserve">9.2 </w:t>
      </w:r>
      <w:r>
        <w:rPr>
          <w:rFonts w:ascii="Times New Roman" w:hAnsi="Times New Roman"/>
          <w:sz w:val="20"/>
          <w:u w:val="single"/>
        </w:rPr>
        <w:t>Performance of Covenants</w:t>
      </w:r>
      <w:r>
        <w:rPr>
          <w:rFonts w:ascii="Times New Roman" w:hAnsi="Times New Roman"/>
          <w:sz w:val="20"/>
        </w:rPr>
        <w:t xml:space="preserve">. Aspen and Merger Sub shall not have breached or failed to perform in any material respect any agreements or covenants required to be performed or complied with by either of them under this Agreement at or prior to the Effective Time. </w:t>
      </w:r>
    </w:p>
    <w:p>
      <w:pPr>
        <w:pStyle w:val="TextBody"/>
        <w:bidi w:val="0"/>
        <w:spacing w:before="240" w:after="0"/>
        <w:jc w:val="left"/>
        <w:rPr>
          <w:rFonts w:ascii="Times New Roman" w:hAnsi="Times New Roman"/>
          <w:sz w:val="20"/>
        </w:rPr>
      </w:pPr>
      <w:bookmarkStart w:id="320" w:name="annxa770053_113"/>
      <w:bookmarkEnd w:id="320"/>
      <w:r>
        <w:rPr>
          <w:rFonts w:ascii="Times New Roman" w:hAnsi="Times New Roman"/>
          <w:sz w:val="20"/>
        </w:rPr>
        <w:t xml:space="preserve">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an executive officer of Aspen certifying that the conditions set forth in </w:t>
      </w:r>
      <w:r>
        <w:rPr>
          <w:rFonts w:ascii="Times New Roman" w:hAnsi="Times New Roman"/>
          <w:sz w:val="20"/>
          <w:u w:val="single"/>
        </w:rPr>
        <w:t>Sections 9.1</w:t>
      </w:r>
      <w:r>
        <w:rPr>
          <w:rFonts w:ascii="Times New Roman" w:hAnsi="Times New Roman"/>
          <w:sz w:val="20"/>
        </w:rPr>
        <w:t xml:space="preserve">, </w:t>
      </w:r>
      <w:r>
        <w:rPr>
          <w:rFonts w:ascii="Times New Roman" w:hAnsi="Times New Roman"/>
          <w:sz w:val="20"/>
          <w:u w:val="single"/>
        </w:rPr>
        <w:t>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Aspen who are not to continue as officers or directors of Aspen pursuant to </w:t>
      </w:r>
      <w:r>
        <w:rPr>
          <w:rFonts w:ascii="Times New Roman" w:hAnsi="Times New Roman"/>
          <w:sz w:val="20"/>
          <w:u w:val="single"/>
        </w:rPr>
        <w:t>Section 6.13</w:t>
      </w:r>
      <w:r>
        <w:rPr>
          <w:rFonts w:ascii="Times New Roman" w:hAnsi="Times New Roman"/>
          <w:sz w:val="20"/>
        </w:rPr>
        <w:t xml:space="preserve"> 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Aspen Net Cash Schedule. </w:t>
      </w:r>
    </w:p>
    <w:p>
      <w:pPr>
        <w:pStyle w:val="TextBody"/>
        <w:bidi w:val="0"/>
        <w:spacing w:before="240" w:after="0"/>
        <w:jc w:val="left"/>
        <w:rPr>
          <w:rFonts w:ascii="Times New Roman" w:hAnsi="Times New Roman"/>
          <w:sz w:val="20"/>
        </w:rPr>
      </w:pPr>
      <w:bookmarkStart w:id="321" w:name="annxa770053_114"/>
      <w:bookmarkEnd w:id="321"/>
      <w:r>
        <w:rPr>
          <w:rFonts w:ascii="Times New Roman" w:hAnsi="Times New Roman"/>
          <w:sz w:val="20"/>
        </w:rPr>
        <w:t xml:space="preserve">9.4 </w:t>
      </w:r>
      <w:r>
        <w:rPr>
          <w:rFonts w:ascii="Times New Roman" w:hAnsi="Times New Roman"/>
          <w:sz w:val="20"/>
          <w:u w:val="single"/>
        </w:rPr>
        <w:t>No Aspen Material Adverse Effect</w:t>
      </w:r>
      <w:r>
        <w:rPr>
          <w:rFonts w:ascii="Times New Roman" w:hAnsi="Times New Roman"/>
          <w:sz w:val="20"/>
        </w:rPr>
        <w:t xml:space="preserve">. Since the date of this Agreement, there shall not have occurred any Aspen Material Adverse Effect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Aspen Net Cash</w:t>
      </w:r>
      <w:r>
        <w:rPr>
          <w:rFonts w:ascii="Times New Roman" w:hAnsi="Times New Roman"/>
          <w:sz w:val="20"/>
        </w:rPr>
        <w:t xml:space="preserve">. Aspen Net Cash shall not be less than $50,000,000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Nasdaq Listing</w:t>
      </w:r>
      <w:r>
        <w:rPr>
          <w:rFonts w:ascii="Times New Roman" w:hAnsi="Times New Roman"/>
          <w:sz w:val="20"/>
        </w:rPr>
        <w:t xml:space="preserve">. The Aspen Common Stock shall be listed on Nasdaq as of immediately prior to the Closing; </w:t>
      </w:r>
      <w:r>
        <w:rPr>
          <w:rFonts w:ascii="Times New Roman" w:hAnsi="Times New Roman"/>
          <w:sz w:val="20"/>
          <w:u w:val="single"/>
        </w:rPr>
        <w:t>provided</w:t>
      </w:r>
      <w:r>
        <w:rPr>
          <w:rFonts w:ascii="Times New Roman" w:hAnsi="Times New Roman"/>
          <w:sz w:val="20"/>
        </w:rPr>
        <w:t xml:space="preserve">, that the condition in this </w:t>
      </w:r>
      <w:r>
        <w:rPr>
          <w:rFonts w:ascii="Times New Roman" w:hAnsi="Times New Roman"/>
          <w:sz w:val="20"/>
          <w:u w:val="single"/>
        </w:rPr>
        <w:t>Section 9.6</w:t>
      </w:r>
      <w:r>
        <w:rPr>
          <w:rFonts w:ascii="Times New Roman" w:hAnsi="Times New Roman"/>
          <w:sz w:val="20"/>
        </w:rPr>
        <w:t xml:space="preserve"> shall not be available to the Company if the Company has refused or unreasonably delayed, withheld or conditioned its consent to actions by Aspen to maintain or regain, as applicable, the listing of Aspen Common Stock on Nasdaq. </w:t>
      </w:r>
    </w:p>
    <w:p>
      <w:pPr>
        <w:pStyle w:val="TextBody"/>
        <w:bidi w:val="0"/>
        <w:spacing w:before="240" w:after="0"/>
        <w:jc w:val="left"/>
        <w:rPr>
          <w:rFonts w:ascii="Times New Roman" w:hAnsi="Times New Roman"/>
          <w:sz w:val="20"/>
        </w:rPr>
      </w:pPr>
      <w:bookmarkStart w:id="322" w:name="annxa770053_115"/>
      <w:bookmarkEnd w:id="322"/>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23" w:name="annxa770053_116"/>
      <w:bookmarkEnd w:id="323"/>
      <w:r>
        <w:rPr>
          <w:rFonts w:ascii="Times New Roman" w:hAnsi="Times New Roman"/>
          <w:sz w:val="20"/>
        </w:rPr>
        <w:t xml:space="preserve">10.1 </w:t>
      </w:r>
      <w:r>
        <w:rPr>
          <w:rFonts w:ascii="Times New Roman" w:hAnsi="Times New Roman"/>
          <w:sz w:val="20"/>
          <w:u w:val="single"/>
        </w:rPr>
        <w:t>Termination</w:t>
      </w:r>
      <w:r>
        <w:rPr>
          <w:rFonts w:ascii="Times New Roman" w:hAnsi="Times New Roman"/>
          <w:sz w:val="20"/>
        </w:rPr>
        <w:t xml:space="preserve">. This Agreement may be terminated prior to the Effective Time (whether before or after adoption of this Agreement by the Companys stockholders and whether before or after approval of the Aspen Stockholder Matters by Aspens stockholders, unless otherwise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Aspen and the Company; </w:t>
      </w:r>
    </w:p>
    <w:p>
      <w:pPr>
        <w:pStyle w:val="TextBody"/>
        <w:bidi w:val="0"/>
        <w:spacing w:before="240" w:after="0"/>
        <w:jc w:val="left"/>
        <w:rPr>
          <w:rFonts w:ascii="Times New Roman" w:hAnsi="Times New Roman"/>
          <w:sz w:val="20"/>
        </w:rPr>
      </w:pPr>
      <w:r>
        <w:rPr>
          <w:rFonts w:ascii="Times New Roman" w:hAnsi="Times New Roman"/>
          <w:sz w:val="20"/>
        </w:rPr>
        <w:t>(b) by either Aspen or the Company if the Merger shall not have been consummated by October 31, 2024 (the </w:t>
      </w:r>
      <w:r>
        <w:rPr>
          <w:rFonts w:ascii="Times New Roman" w:hAnsi="Times New Roman"/>
          <w:b/>
          <w:sz w:val="20"/>
        </w:rPr>
        <w:t>End</w:t>
      </w:r>
      <w:r>
        <w:rPr>
          <w:rFonts w:ascii="Times New Roman" w:hAnsi="Times New Roman"/>
          <w:sz w:val="20"/>
        </w:rPr>
        <w:t> </w:t>
      </w:r>
      <w:r>
        <w:rPr>
          <w:rFonts w:ascii="Times New Roman" w:hAnsi="Times New Roman"/>
          <w:b/>
          <w:sz w:val="20"/>
        </w:rPr>
        <w:t>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the Company or Aspen if such Partys (or in the case of Aspen, Merger Sub) action or failure to act has been a principal cause of the failure of the Merger to occur on or before the End Date and such action or failure to act constitutes a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Aspen or the Company if a court or other Governmental Authority of competent jurisdiction shall have issued a final and nonappealable Order, or shall have taken any other action,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Aspen if the Required Company Stockholder Vote shall not have been obtained within four (4) Business Days after the Registration Statement has become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approval by irrevocable written consent from Company Stockholders representing no less than 88% of the voting power of the Company has been obtained, Aspen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Aspen or the Company if (i) the Aspen Stockholder Meeting (including any adjournments and postponements thereof) shall have been held and completed and Aspens stockholders shall have taken a final vote on the Specified Aspen Stockholder Matters and (ii) the Specified Aspen Stockholder Matters shall not have been approved at the Aspen Stockholder Meeting (or at any adjournment or postponement thereof) by the Required Aspen Stockholder Vote;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Specified Aspen Stockholder Matters by the Required Aspen Stockholder Vote) if an Aspen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the Company, upon a breach of any representation, warranty, covenant or agreement set forth in this Agreement by Aspen or Merger Sub or if any representation or warranty of Aspen or Merger Sub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 further</w:t>
      </w:r>
      <w:r>
        <w:rPr>
          <w:rFonts w:ascii="Times New Roman" w:hAnsi="Times New Roman"/>
          <w:sz w:val="20"/>
        </w:rPr>
        <w:t xml:space="preserve">, that if such inaccuracy in Aspens or Merger Subs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or breach by Aspen or Merger Sub of any representation, warranty, covenant or agreement is curable by Aspen or Merger Sub, then this Agreement shall not terminate pursuant to this </w:t>
      </w:r>
      <w:r>
        <w:rPr>
          <w:rFonts w:ascii="Times New Roman" w:hAnsi="Times New Roman"/>
          <w:sz w:val="20"/>
          <w:u w:val="single"/>
        </w:rPr>
        <w:t>Section 10.1(g)</w:t>
      </w:r>
      <w:r>
        <w:rPr>
          <w:rFonts w:ascii="Times New Roman" w:hAnsi="Times New Roman"/>
          <w:sz w:val="20"/>
        </w:rPr>
        <w:t xml:space="preserve"> as a result of such particular breach or inaccuracy until the earlier of (i) the expiration of a thirty-(30) day period commencing upon delivery of written notice from the Company to Aspen or Merger Sub of such breach or inaccuracy and its intention to terminate pursuant to this </w:t>
      </w:r>
      <w:r>
        <w:rPr>
          <w:rFonts w:ascii="Times New Roman" w:hAnsi="Times New Roman"/>
          <w:sz w:val="20"/>
          <w:u w:val="single"/>
        </w:rPr>
        <w:t>Section 10.1(g)</w:t>
      </w:r>
      <w:r>
        <w:rPr>
          <w:rFonts w:ascii="Times New Roman" w:hAnsi="Times New Roman"/>
          <w:sz w:val="20"/>
        </w:rPr>
        <w:t xml:space="preserve"> and (ii) Aspen or Merger Sub (as applicable) ceasing to exercise commercially reasonable efforts to cure such breach following delivery of written notice from the Company to Aspen or Merger Sub of such breach or inaccuracy, its intention to terminate pursuant to this </w:t>
      </w:r>
      <w:r>
        <w:rPr>
          <w:rFonts w:ascii="Times New Roman" w:hAnsi="Times New Roman"/>
          <w:sz w:val="20"/>
          <w:u w:val="single"/>
        </w:rPr>
        <w:t>Section 10.1(g)</w:t>
      </w:r>
      <w:r>
        <w:rPr>
          <w:rFonts w:ascii="Times New Roman" w:hAnsi="Times New Roman"/>
          <w:sz w:val="20"/>
        </w:rPr>
        <w:t xml:space="preserve">, and its enumeration of all of the specific commercially reasonable efforts that it believes ought to be taken to cure such breach (it being understood that this Agreement shall not terminate pursuant to this </w:t>
      </w:r>
      <w:r>
        <w:rPr>
          <w:rFonts w:ascii="Times New Roman" w:hAnsi="Times New Roman"/>
          <w:sz w:val="20"/>
          <w:u w:val="single"/>
        </w:rPr>
        <w:t>Section 10.1(g)</w:t>
      </w:r>
      <w:r>
        <w:rPr>
          <w:rFonts w:ascii="Times New Roman" w:hAnsi="Times New Roman"/>
          <w:sz w:val="20"/>
        </w:rPr>
        <w:t xml:space="preserve"> as a result of such particular breach or inaccuracy if such breach by Aspen or Merger Sub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(h) by Aspen,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Aspen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of any representation, warranty, covenant or agreement is curable by the Company then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until the earlier of (i) the expiration of a thirty-(30) day period commencing upon delivery of written notice from Aspen to the Company of such breach or inaccuracy and its intention to terminate pursuant to this </w:t>
      </w:r>
      <w:r>
        <w:rPr>
          <w:rFonts w:ascii="Times New Roman" w:hAnsi="Times New Roman"/>
          <w:sz w:val="20"/>
          <w:u w:val="single"/>
        </w:rPr>
        <w:t>Section 10.1(h)</w:t>
      </w:r>
      <w:r>
        <w:rPr>
          <w:rFonts w:ascii="Times New Roman" w:hAnsi="Times New Roman"/>
          <w:sz w:val="20"/>
        </w:rPr>
        <w:t xml:space="preserve"> and (ii) the Company ceasing to exercise commercially reasonable efforts to cure such breach following delivery of written notice from Aspen to the Company of such breach or inaccuracy, its intention to terminate pursuant to this </w:t>
      </w:r>
      <w:r>
        <w:rPr>
          <w:rFonts w:ascii="Times New Roman" w:hAnsi="Times New Roman"/>
          <w:sz w:val="20"/>
          <w:u w:val="single"/>
        </w:rPr>
        <w:t>Section 10.1(h)</w:t>
      </w:r>
      <w:r>
        <w:rPr>
          <w:rFonts w:ascii="Times New Roman" w:hAnsi="Times New Roman"/>
          <w:sz w:val="20"/>
        </w:rPr>
        <w:t xml:space="preserve">, and its enumeration of all of the specific commercially reasonable efforts that it believes ought to be taken to cure such breach (it being understood that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(i) by Aspen (at any time prior to the approval of the Specified Aspen Stockholder Matters by the Required Aspen Stockholder Vote) and following compliance with all of the requirements set forth in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upon the Aspen Board authorizing Aspen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Aspen shall concurrently pay to the Company the Company Termination Fee in accordance with </w:t>
      </w:r>
      <w:r>
        <w:rPr>
          <w:rFonts w:ascii="Times New Roman" w:hAnsi="Times New Roman"/>
          <w:sz w:val="20"/>
          <w:u w:val="single"/>
        </w:rPr>
        <w:t>Section 10.3(c)</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(j) by Aspen (at any time prior to the Required Company Stockholder Vote being obtained)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324" w:name="annxa770053_117"/>
      <w:bookmarkEnd w:id="324"/>
      <w:r>
        <w:rPr>
          <w:rFonts w:ascii="Times New Roman" w:hAnsi="Times New Roman"/>
          <w:sz w:val="20"/>
        </w:rPr>
        <w:t xml:space="preserve">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325" w:name="annxa770053_118"/>
      <w:bookmarkEnd w:id="325"/>
      <w:r>
        <w:rPr>
          <w:rFonts w:ascii="Times New Roman" w:hAnsi="Times New Roman"/>
          <w:sz w:val="20"/>
        </w:rPr>
        <w:t xml:space="preserve">10.3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6.10</w:t>
      </w:r>
      <w:r>
        <w:rPr>
          <w:rFonts w:ascii="Times New Roman" w:hAnsi="Times New Roman"/>
          <w:sz w:val="20"/>
        </w:rPr>
        <w:t xml:space="preserve">, all fees and expenses incurred in connection with this Agreement and the Contemplated Transactions shall be paid by the Party incurring such expenses, whether or not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(b) If (i) at any time after the date of this Agreement and prior to the Aspen Stockholder Meeting, an Acquisition Proposal with respect to Aspen shall have been publicly announced or disclosed or otherwise made known to the Aspen Board (and shall not have been withdrawn), (ii) this Agreement is terminated by Aspen or the Company pursuant to </w:t>
      </w:r>
      <w:r>
        <w:rPr>
          <w:rFonts w:ascii="Times New Roman" w:hAnsi="Times New Roman"/>
          <w:sz w:val="20"/>
          <w:u w:val="single"/>
        </w:rPr>
        <w:t>Section 10.1(e)</w:t>
      </w:r>
      <w:r>
        <w:rPr>
          <w:rFonts w:ascii="Times New Roman" w:hAnsi="Times New Roman"/>
          <w:sz w:val="20"/>
        </w:rPr>
        <w:t xml:space="preserve"> or by the Company pursuant to </w:t>
      </w:r>
      <w:r>
        <w:rPr>
          <w:rFonts w:ascii="Times New Roman" w:hAnsi="Times New Roman"/>
          <w:sz w:val="20"/>
          <w:u w:val="single"/>
        </w:rPr>
        <w:t>Section 10.1(g)</w:t>
      </w:r>
      <w:r>
        <w:rPr>
          <w:rFonts w:ascii="Times New Roman" w:hAnsi="Times New Roman"/>
          <w:sz w:val="20"/>
        </w:rPr>
        <w:t>, and (iii) within twelve (12) months after the date of such termination, Aspen enters into a definitive agreement with respect to any Acquisition Transaction or consummates any Acquisition Transaction (in each event with all references to 20% in the definition of Acquisition Transaction being treated as references to 50% for these purposes), then Aspen shall pay or cause to be paid to the Company, within ten (10) Business Days after such termination (or, if applicable, upon such entry into a definitive agreement or consummation of such Acquisition Transaction), a nonrefundable fee in an amount equal to $2,712,500 (the </w:t>
      </w:r>
      <w:r>
        <w:rPr>
          <w:rFonts w:ascii="Times New Roman" w:hAnsi="Times New Roman"/>
          <w:b/>
          <w:sz w:val="20"/>
        </w:rPr>
        <w:t>Aspen Termination Fee</w:t>
      </w:r>
      <w:r>
        <w:rPr>
          <w:rFonts w:ascii="Times New Roman" w:hAnsi="Times New Roman"/>
          <w:sz w:val="20"/>
        </w:rPr>
        <w:t xml:space="preserve">). For the avoidance of doubt, a liquidation or dissolution of Aspen shall in no event be deemed to constitute an Acquisition Transaction for purposes of this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this Agreement is terminated (i) by the Company or Aspen pursuant to </w:t>
      </w:r>
      <w:r>
        <w:rPr>
          <w:rFonts w:ascii="Times New Roman" w:hAnsi="Times New Roman"/>
          <w:sz w:val="20"/>
          <w:u w:val="single"/>
        </w:rPr>
        <w:t>Section 10.1(b)</w:t>
      </w:r>
      <w:r>
        <w:rPr>
          <w:rFonts w:ascii="Times New Roman" w:hAnsi="Times New Roman"/>
          <w:sz w:val="20"/>
        </w:rPr>
        <w:t xml:space="preserve"> (when at the time this Agreement is terminated, the Company had the right to terminate this Agreement pursuant to </w:t>
      </w:r>
      <w:r>
        <w:rPr>
          <w:rFonts w:ascii="Times New Roman" w:hAnsi="Times New Roman"/>
          <w:sz w:val="20"/>
          <w:u w:val="single"/>
        </w:rPr>
        <w:t>Section 10.1(f))</w:t>
      </w:r>
      <w:r>
        <w:rPr>
          <w:rFonts w:ascii="Times New Roman" w:hAnsi="Times New Roman"/>
          <w:sz w:val="20"/>
        </w:rPr>
        <w:t xml:space="preserve"> or (ii) by the Company pursuant to </w:t>
      </w:r>
      <w:r>
        <w:rPr>
          <w:rFonts w:ascii="Times New Roman" w:hAnsi="Times New Roman"/>
          <w:sz w:val="20"/>
          <w:u w:val="single"/>
        </w:rPr>
        <w:t>Section 10.1(f)</w:t>
      </w:r>
      <w:r>
        <w:rPr>
          <w:rFonts w:ascii="Times New Roman" w:hAnsi="Times New Roman"/>
          <w:sz w:val="20"/>
        </w:rPr>
        <w:t xml:space="preserve">, then Aspen shall pay or cause to be paid to the Company, concurrent with such termination, the Aspen Termination Fee or (ii) by Aspen pursuant to </w:t>
      </w:r>
      <w:r>
        <w:rPr>
          <w:rFonts w:ascii="Times New Roman" w:hAnsi="Times New Roman"/>
          <w:sz w:val="20"/>
          <w:u w:val="single"/>
        </w:rPr>
        <w:t>Section 10.1(i)</w:t>
      </w:r>
      <w:r>
        <w:rPr>
          <w:rFonts w:ascii="Times New Roman" w:hAnsi="Times New Roman"/>
          <w:sz w:val="20"/>
        </w:rPr>
        <w:t xml:space="preserve">, then Aspen shall pay or cause to be paid to the Company, concurrent with such termination, the Aspen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the Company pursuant to </w:t>
      </w:r>
      <w:r>
        <w:rPr>
          <w:rFonts w:ascii="Times New Roman" w:hAnsi="Times New Roman"/>
          <w:sz w:val="20"/>
          <w:u w:val="single"/>
        </w:rPr>
        <w:t>Section 10.1(e)</w:t>
      </w:r>
      <w:r>
        <w:rPr>
          <w:rFonts w:ascii="Times New Roman" w:hAnsi="Times New Roman"/>
          <w:sz w:val="20"/>
        </w:rPr>
        <w:t xml:space="preserve">, Aspen shall reimburse or cause to be reimbursed to the Company for all reasonable out-of-pocket fees and expenses incurred by the Company in connection with this Agreement and the Contemplated Transactions, up to a maximum of $650,000, by wire transfer of same-day funds within ten (10) Business Days following the date on which the Company submits to Aspen true and correct copies of reasonable documentation supporting such expenses. For the avoidance of doubt, the expense reimbursement pursuant to this </w:t>
      </w:r>
      <w:r>
        <w:rPr>
          <w:rFonts w:ascii="Times New Roman" w:hAnsi="Times New Roman"/>
          <w:sz w:val="20"/>
          <w:u w:val="single"/>
        </w:rPr>
        <w:t>Section 10.3(d)</w:t>
      </w:r>
      <w:r>
        <w:rPr>
          <w:rFonts w:ascii="Times New Roman" w:hAnsi="Times New Roman"/>
          <w:sz w:val="20"/>
        </w:rPr>
        <w:t xml:space="preserve">, to the extent paid, shall be credited against any Aspen Termination Fee that becomes payable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(e) If (i) at any time after the date of this Agreement and prior to the receipt of the Required Company Stockholder Vote, an Acquisition Proposal with respect to the Company shall have been publicly announced or disclosed or otherwise made known to the Company Board (and shall not have been withdrawn), (ii) this Agreement is terminated by Aspen pursuant to </w:t>
      </w:r>
      <w:r>
        <w:rPr>
          <w:rFonts w:ascii="Times New Roman" w:hAnsi="Times New Roman"/>
          <w:sz w:val="20"/>
          <w:u w:val="single"/>
        </w:rPr>
        <w:t>Section 10.1(h)</w:t>
      </w:r>
      <w:r>
        <w:rPr>
          <w:rFonts w:ascii="Times New Roman" w:hAnsi="Times New Roman"/>
          <w:sz w:val="20"/>
        </w:rPr>
        <w:t>, and (iii) within twelve (12) months after the date of such termination, the Company enters into a definitive agreement with respect to any Acquisition Transaction or consummates any Acquisition Transaction (in each event with all references to 20% in the definition of Acquisition Transaction being treated as references to 50% for these purposes), then the Company shall pay or cause to be paid to Aspen, within ten (10) Business Days after such termination (or, if applicable, upon such entry into a definitive agreement or consummation of such Acquisition Transaction), a nonrefundable fee in an amount equal to $4,900,000 (the </w:t>
      </w:r>
      <w:r>
        <w:rPr>
          <w:rFonts w:ascii="Times New Roman" w:hAnsi="Times New Roman"/>
          <w:b/>
          <w:sz w:val="20"/>
        </w:rPr>
        <w:t>Company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If this Agreement is terminated (i) by Aspen or the Company pursuant to </w:t>
      </w:r>
      <w:r>
        <w:rPr>
          <w:rFonts w:ascii="Times New Roman" w:hAnsi="Times New Roman"/>
          <w:sz w:val="20"/>
          <w:u w:val="single"/>
        </w:rPr>
        <w:t>Section 10.1(b)</w:t>
      </w:r>
      <w:r>
        <w:rPr>
          <w:rFonts w:ascii="Times New Roman" w:hAnsi="Times New Roman"/>
          <w:sz w:val="20"/>
        </w:rPr>
        <w:t xml:space="preserve"> (when at the time this Agreement is terminated, Aspen had the right to terminate this Agreement pursuant to </w:t>
      </w:r>
      <w:r>
        <w:rPr>
          <w:rFonts w:ascii="Times New Roman" w:hAnsi="Times New Roman"/>
          <w:sz w:val="20"/>
          <w:u w:val="single"/>
        </w:rPr>
        <w:t>Section 10.1(j))</w:t>
      </w:r>
      <w:r>
        <w:rPr>
          <w:rFonts w:ascii="Times New Roman" w:hAnsi="Times New Roman"/>
          <w:sz w:val="20"/>
        </w:rPr>
        <w:t xml:space="preserve">, (ii) by Aspen pursuant to </w:t>
      </w:r>
      <w:r>
        <w:rPr>
          <w:rFonts w:ascii="Times New Roman" w:hAnsi="Times New Roman"/>
          <w:sz w:val="20"/>
          <w:u w:val="single"/>
        </w:rPr>
        <w:t>Section 10.1(d)</w:t>
      </w:r>
      <w:r>
        <w:rPr>
          <w:rFonts w:ascii="Times New Roman" w:hAnsi="Times New Roman"/>
          <w:sz w:val="20"/>
        </w:rPr>
        <w:t xml:space="preserve"> or (iii) by Aspen pursuant to </w:t>
      </w:r>
      <w:r>
        <w:rPr>
          <w:rFonts w:ascii="Times New Roman" w:hAnsi="Times New Roman"/>
          <w:sz w:val="20"/>
          <w:u w:val="single"/>
        </w:rPr>
        <w:t>Section 10.1(j)</w:t>
      </w:r>
      <w:r>
        <w:rPr>
          <w:rFonts w:ascii="Times New Roman" w:hAnsi="Times New Roman"/>
          <w:sz w:val="20"/>
        </w:rPr>
        <w:t xml:space="preserve">, then the Company shall pay or cause to be paid to Aspen, by wire transfer of same-day funds within ten (10) Business Days after such termination, the Company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(g) If either Party fails to pay when due any amount payable by it under this </w:t>
      </w:r>
      <w:r>
        <w:rPr>
          <w:rFonts w:ascii="Times New Roman" w:hAnsi="Times New Roman"/>
          <w:sz w:val="20"/>
          <w:u w:val="single"/>
        </w:rPr>
        <w:t>Section 10.3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published in The Wall Street Journal) in effect on the date such overdue amount was originally required to be paid plus three (3) percent. </w:t>
      </w:r>
    </w:p>
    <w:p>
      <w:pPr>
        <w:pStyle w:val="TextBody"/>
        <w:bidi w:val="0"/>
        <w:spacing w:before="240" w:after="0"/>
        <w:jc w:val="left"/>
        <w:rPr>
          <w:rFonts w:ascii="Times New Roman" w:hAnsi="Times New Roman"/>
          <w:sz w:val="20"/>
        </w:rPr>
      </w:pPr>
      <w:r>
        <w:rPr>
          <w:rFonts w:ascii="Times New Roman" w:hAnsi="Times New Roman"/>
          <w:sz w:val="20"/>
        </w:rPr>
        <w:t xml:space="preserve">(h)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Aspen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w:t>
      </w:r>
      <w:r>
        <w:rPr>
          <w:rFonts w:ascii="Times New Roman" w:hAnsi="Times New Roman"/>
          <w:sz w:val="20"/>
          <w:u w:val="single"/>
        </w:rPr>
        <w:t xml:space="preserve"> 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10.3(h)</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For the avoidance of doubt, nothing in this </w:t>
      </w:r>
      <w:r>
        <w:rPr>
          <w:rFonts w:ascii="Times New Roman" w:hAnsi="Times New Roman"/>
          <w:sz w:val="20"/>
          <w:u w:val="single"/>
        </w:rPr>
        <w:t>Section 10.3(h)</w:t>
      </w:r>
      <w:r>
        <w:rPr>
          <w:rFonts w:ascii="Times New Roman" w:hAnsi="Times New Roman"/>
          <w:sz w:val="20"/>
        </w:rPr>
        <w:t xml:space="preserve"> shall limit the remedies of the Parties under the Confidentiality Agreement. Notwithstanding the foregoing or anything else to the contrary in this Agreement, nothing herein shall affect the rights of Aspen to seek full recovery and remedy, including specific performance, for any willful and material breach of the Company Stockholder Support Agreements. </w:t>
      </w:r>
    </w:p>
    <w:p>
      <w:pPr>
        <w:pStyle w:val="TextBody"/>
        <w:bidi w:val="0"/>
        <w:spacing w:before="240" w:after="0"/>
        <w:jc w:val="left"/>
        <w:rPr>
          <w:rFonts w:ascii="Times New Roman" w:hAnsi="Times New Roman"/>
          <w:sz w:val="20"/>
        </w:rPr>
      </w:pPr>
      <w:bookmarkStart w:id="326" w:name="annxa770053_119"/>
      <w:bookmarkEnd w:id="326"/>
      <w:r>
        <w:rPr>
          <w:rFonts w:ascii="Times New Roman" w:hAnsi="Times New Roman"/>
          <w:sz w:val="20"/>
        </w:rPr>
        <w:t xml:space="preserve">Section 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27" w:name="annxa770053_120"/>
      <w:bookmarkEnd w:id="327"/>
      <w:r>
        <w:rPr>
          <w:rFonts w:ascii="Times New Roman" w:hAnsi="Times New Roman"/>
          <w:sz w:val="20"/>
        </w:rPr>
        <w:t xml:space="preserve">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Aspen and Merger Sub contained in this Agreement or any certificate or instrument delivered pursuant to this Agreement shall terminate at the Effective Time, and only the covenants that by their terms survive the Effective Time and this </w:t>
      </w:r>
      <w:r>
        <w:rPr>
          <w:rFonts w:ascii="Times New Roman" w:hAnsi="Times New Roman"/>
          <w:sz w:val="20"/>
          <w:u w:val="single"/>
        </w:rPr>
        <w:t>Section 11</w:t>
      </w:r>
      <w:r>
        <w:rPr>
          <w:rFonts w:ascii="Times New Roman" w:hAnsi="Times New Roman"/>
          <w:sz w:val="20"/>
        </w:rPr>
        <w:t xml:space="preserve"> shall survive the Effective Time. </w:t>
      </w:r>
    </w:p>
    <w:p>
      <w:pPr>
        <w:pStyle w:val="TextBody"/>
        <w:bidi w:val="0"/>
        <w:spacing w:before="240" w:after="0"/>
        <w:jc w:val="left"/>
        <w:rPr>
          <w:rFonts w:ascii="Times New Roman" w:hAnsi="Times New Roman"/>
          <w:sz w:val="20"/>
        </w:rPr>
      </w:pPr>
      <w:bookmarkStart w:id="328" w:name="annxa770053_121"/>
      <w:bookmarkEnd w:id="328"/>
      <w:r>
        <w:rPr>
          <w:rFonts w:ascii="Times New Roman" w:hAnsi="Times New Roman"/>
          <w:sz w:val="20"/>
        </w:rPr>
        <w:t xml:space="preserve">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 and Aspen at any time (whether before or after the adoption and approval of this Agreement by the Companys stockholders or before or after obtaining the Required Aspen Stockholder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Aspen. </w:t>
      </w:r>
    </w:p>
    <w:p>
      <w:pPr>
        <w:pStyle w:val="TextBody"/>
        <w:bidi w:val="0"/>
        <w:spacing w:before="240" w:after="0"/>
        <w:jc w:val="left"/>
        <w:rPr>
          <w:rFonts w:ascii="Times New Roman" w:hAnsi="Times New Roman"/>
          <w:sz w:val="20"/>
        </w:rPr>
      </w:pPr>
      <w:bookmarkStart w:id="329" w:name="annxa770053_122"/>
      <w:bookmarkEnd w:id="329"/>
      <w:r>
        <w:rPr>
          <w:rFonts w:ascii="Times New Roman" w:hAnsi="Times New Roman"/>
          <w:sz w:val="20"/>
        </w:rPr>
        <w:t xml:space="preserve">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bookmarkStart w:id="330" w:name="annxa770053_123"/>
      <w:bookmarkEnd w:id="330"/>
      <w:r>
        <w:rPr>
          <w:rFonts w:ascii="Times New Roman" w:hAnsi="Times New Roman"/>
          <w:sz w:val="20"/>
        </w:rPr>
        <w:t xml:space="preserve">11.4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bookmarkStart w:id="331" w:name="annxa770053_124"/>
      <w:bookmarkEnd w:id="331"/>
      <w:r>
        <w:rPr>
          <w:rFonts w:ascii="Times New Roman" w:hAnsi="Times New Roman"/>
          <w:sz w:val="20"/>
        </w:rPr>
        <w:t xml:space="preserve">11.5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bookmarkStart w:id="332" w:name="annxa770053_125"/>
      <w:bookmarkEnd w:id="332"/>
      <w:r>
        <w:rPr>
          <w:rFonts w:ascii="Times New Roman" w:hAnsi="Times New Roman"/>
          <w:sz w:val="20"/>
        </w:rPr>
        <w:t xml:space="preserve">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bookmarkStart w:id="333" w:name="annxa770053_126"/>
      <w:bookmarkEnd w:id="333"/>
      <w:r>
        <w:rPr>
          <w:rFonts w:ascii="Times New Roman" w:hAnsi="Times New Roman"/>
          <w:sz w:val="20"/>
        </w:rPr>
        <w:t xml:space="preserve">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Aspen or Merger Sub: </w:t>
      </w:r>
    </w:p>
    <w:p>
      <w:pPr>
        <w:pStyle w:val="TextBody"/>
        <w:bidi w:val="0"/>
        <w:spacing w:before="360" w:after="0"/>
        <w:jc w:val="left"/>
        <w:rPr>
          <w:rFonts w:ascii="Times New Roman" w:hAnsi="Times New Roman"/>
          <w:sz w:val="20"/>
        </w:rPr>
      </w:pPr>
      <w:r>
        <w:rPr>
          <w:rFonts w:ascii="Times New Roman" w:hAnsi="Times New Roman"/>
          <w:sz w:val="20"/>
        </w:rPr>
        <w:t xml:space="preserve">Erik Ostrowski </w:t>
      </w:r>
    </w:p>
    <w:p>
      <w:pPr>
        <w:pStyle w:val="TextBody"/>
        <w:bidi w:val="0"/>
        <w:spacing w:before="0" w:after="0"/>
        <w:jc w:val="left"/>
        <w:rPr>
          <w:rFonts w:ascii="Times New Roman" w:hAnsi="Times New Roman"/>
          <w:sz w:val="20"/>
        </w:rPr>
      </w:pPr>
      <w:r>
        <w:rPr>
          <w:rFonts w:ascii="Times New Roman" w:hAnsi="Times New Roman"/>
          <w:sz w:val="20"/>
        </w:rPr>
        <w:t xml:space="preserve">President and Interim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Email: erik.ostrowski@avrobio.com, generalcounsel@avrobio.com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Mitch Bloom; Rob Masella; James Ding; Adam Johnson </w:t>
      </w:r>
    </w:p>
    <w:p>
      <w:pPr>
        <w:pStyle w:val="TextBody"/>
        <w:bidi w:val="0"/>
        <w:spacing w:before="0" w:after="0"/>
        <w:jc w:val="left"/>
        <w:rPr>
          <w:rFonts w:ascii="Times New Roman" w:hAnsi="Times New Roman"/>
          <w:sz w:val="20"/>
        </w:rPr>
      </w:pPr>
      <w:r>
        <w:rPr>
          <w:rFonts w:ascii="Times New Roman" w:hAnsi="Times New Roman"/>
          <w:sz w:val="20"/>
        </w:rPr>
        <w:t xml:space="preserve">Email: mbloom@goodwinlaw.com; rmasella@goodwinlaw.com; jding@goodwinlaw.com; </w:t>
      </w:r>
    </w:p>
    <w:p>
      <w:pPr>
        <w:pStyle w:val="TextBody"/>
        <w:bidi w:val="0"/>
        <w:spacing w:before="0" w:after="0"/>
        <w:jc w:val="left"/>
        <w:rPr>
          <w:rFonts w:ascii="Times New Roman" w:hAnsi="Times New Roman"/>
          <w:sz w:val="20"/>
        </w:rPr>
      </w:pPr>
      <w:r>
        <w:rPr>
          <w:rFonts w:ascii="Times New Roman" w:hAnsi="Times New Roman"/>
          <w:sz w:val="20"/>
        </w:rPr>
        <w:t xml:space="preserve">adamjohnson@goodwinlaw.com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rFonts w:ascii="Times New Roman" w:hAnsi="Times New Roman"/>
          <w:sz w:val="20"/>
        </w:rPr>
      </w:pPr>
      <w:r>
        <w:rPr>
          <w:rFonts w:ascii="Times New Roman" w:hAnsi="Times New Roman"/>
          <w:sz w:val="20"/>
        </w:rPr>
        <w:t xml:space="preserve">Attention: Alise Reicin,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areicin@tectonictx.com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   Miguel Vega; Marc Recht; Michael Rohr </w:t>
      </w:r>
    </w:p>
    <w:p>
      <w:pPr>
        <w:pStyle w:val="TextBody"/>
        <w:bidi w:val="0"/>
        <w:spacing w:before="0" w:after="0"/>
        <w:jc w:val="left"/>
        <w:rPr>
          <w:rFonts w:ascii="Times New Roman" w:hAnsi="Times New Roman"/>
          <w:sz w:val="20"/>
        </w:rPr>
      </w:pPr>
      <w:r>
        <w:rPr>
          <w:rFonts w:ascii="Times New Roman" w:hAnsi="Times New Roman"/>
          <w:sz w:val="20"/>
        </w:rPr>
        <w:t xml:space="preserve">E-mail:     mvega@cooley.com; mrecht@cooley.com; mrohr@cooley.com </w:t>
      </w:r>
    </w:p>
    <w:p>
      <w:pPr>
        <w:pStyle w:val="TextBody"/>
        <w:bidi w:val="0"/>
        <w:spacing w:before="120" w:after="0"/>
        <w:jc w:val="left"/>
        <w:rPr>
          <w:rFonts w:ascii="Times New Roman" w:hAnsi="Times New Roman"/>
          <w:sz w:val="20"/>
        </w:rPr>
      </w:pPr>
      <w:bookmarkStart w:id="334" w:name="annxa770053_127"/>
      <w:bookmarkEnd w:id="334"/>
      <w:r>
        <w:rPr>
          <w:rFonts w:ascii="Times New Roman" w:hAnsi="Times New Roman"/>
          <w:sz w:val="20"/>
        </w:rPr>
        <w:t xml:space="preserve">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bookmarkStart w:id="335" w:name="annxa770053_128"/>
      <w:bookmarkEnd w:id="335"/>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bookmarkStart w:id="336" w:name="annxa770053_129"/>
      <w:bookmarkEnd w:id="336"/>
      <w:r>
        <w:rPr>
          <w:rFonts w:ascii="Times New Roman" w:hAnsi="Times New Roman"/>
          <w:sz w:val="20"/>
        </w:rPr>
        <w:t xml:space="preserve">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bookmarkStart w:id="337" w:name="annxa770053_130"/>
      <w:bookmarkEnd w:id="337"/>
      <w:r>
        <w:rPr>
          <w:rFonts w:ascii="Times New Roman" w:hAnsi="Times New Roman"/>
          <w:sz w:val="20"/>
        </w:rPr>
        <w:t xml:space="preserve">11.11 No </w:t>
      </w:r>
      <w:r>
        <w:rPr>
          <w:rFonts w:ascii="Times New Roman" w:hAnsi="Times New Roman"/>
          <w:sz w:val="20"/>
          <w:u w:val="single"/>
        </w:rPr>
        <w:t>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6.8</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12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32"/>
        <w:gridCol w:w="104"/>
        <w:gridCol w:w="2846"/>
      </w:tblGrid>
      <w:tr>
        <w:trPr/>
        <w:tc>
          <w:tcPr>
            <w:tcW w:w="1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AVROBIO, I</w:t>
            </w:r>
            <w:r>
              <w:rPr>
                <w:b/>
                <w:sz w:val="20"/>
              </w:rPr>
              <w:t>NC</w:t>
            </w:r>
            <w:r>
              <w:rPr>
                <w:b/>
              </w:rPr>
              <w:t>.</w:t>
            </w:r>
          </w:p>
        </w:tc>
      </w:tr>
      <w:tr>
        <w:trPr>
          <w:trHeight w:val="240" w:hRule="atLeast"/>
        </w:trPr>
        <w:tc>
          <w:tcPr>
            <w:tcW w:w="1132"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2846" w:type="dxa"/>
            <w:tcBorders/>
          </w:tcPr>
          <w:p>
            <w:pPr>
              <w:pStyle w:val="TableContents"/>
              <w:pBdr>
                <w:bottom w:val="single" w:sz="2" w:space="1" w:color="000000"/>
              </w:pBdr>
              <w:bidi w:val="0"/>
              <w:spacing w:before="0" w:after="20"/>
              <w:jc w:val="left"/>
              <w:rPr/>
            </w:pPr>
            <w:r>
              <w:rPr/>
              <w:t> </w:t>
            </w:r>
          </w:p>
        </w:tc>
      </w:tr>
      <w:tr>
        <w:trPr>
          <w:trHeight w:val="120" w:hRule="atLeast"/>
        </w:trPr>
        <w:tc>
          <w:tcPr>
            <w:tcW w:w="1132"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tcPr>
          <w:p>
            <w:pPr>
              <w:pStyle w:val="TableContents"/>
              <w:bidi w:val="0"/>
              <w:spacing w:before="0" w:after="283"/>
              <w:jc w:val="left"/>
              <w:rPr/>
            </w:pPr>
            <w:r>
              <w:rPr/>
              <w:t>Name:</w:t>
            </w:r>
          </w:p>
        </w:tc>
        <w:tc>
          <w:tcPr>
            <w:tcW w:w="104" w:type="dxa"/>
            <w:tcBorders/>
            <w:vAlign w:val="bottom"/>
          </w:tcPr>
          <w:p>
            <w:pPr>
              <w:pStyle w:val="TableContents"/>
              <w:bidi w:val="0"/>
              <w:spacing w:before="0" w:after="283"/>
              <w:jc w:val="left"/>
              <w:rPr/>
            </w:pPr>
            <w:r>
              <w:rPr/>
              <w:t> </w:t>
            </w:r>
          </w:p>
        </w:tc>
        <w:tc>
          <w:tcPr>
            <w:tcW w:w="2846" w:type="dxa"/>
            <w:tcBorders/>
          </w:tcPr>
          <w:p>
            <w:pPr>
              <w:pStyle w:val="TableContents"/>
              <w:pBdr>
                <w:bottom w:val="single" w:sz="2" w:space="1" w:color="000000"/>
              </w:pBdr>
              <w:bidi w:val="0"/>
              <w:spacing w:before="0" w:after="20"/>
              <w:jc w:val="left"/>
              <w:rPr/>
            </w:pPr>
            <w:r>
              <w:rPr/>
              <w:t> </w:t>
            </w:r>
          </w:p>
        </w:tc>
      </w:tr>
      <w:tr>
        <w:trPr>
          <w:trHeight w:val="120" w:hRule="atLeast"/>
        </w:trPr>
        <w:tc>
          <w:tcPr>
            <w:tcW w:w="1132"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tcPr>
          <w:p>
            <w:pPr>
              <w:pStyle w:val="TableContents"/>
              <w:bidi w:val="0"/>
              <w:spacing w:before="0" w:after="283"/>
              <w:jc w:val="left"/>
              <w:rPr/>
            </w:pPr>
            <w:r>
              <w:rPr/>
              <w:t>Title:</w:t>
            </w:r>
          </w:p>
        </w:tc>
        <w:tc>
          <w:tcPr>
            <w:tcW w:w="104" w:type="dxa"/>
            <w:tcBorders/>
            <w:vAlign w:val="bottom"/>
          </w:tcPr>
          <w:p>
            <w:pPr>
              <w:pStyle w:val="TableContents"/>
              <w:bidi w:val="0"/>
              <w:spacing w:before="0" w:after="283"/>
              <w:jc w:val="left"/>
              <w:rPr/>
            </w:pPr>
            <w:r>
              <w:rPr/>
              <w:t> </w:t>
            </w:r>
          </w:p>
        </w:tc>
        <w:tc>
          <w:tcPr>
            <w:tcW w:w="2846"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w:t>
            </w:r>
            <w:r>
              <w:rPr>
                <w:b/>
                <w:sz w:val="20"/>
              </w:rPr>
              <w:t>LPINE</w:t>
            </w:r>
            <w:r>
              <w:rPr>
                <w:b/>
              </w:rPr>
              <w:t xml:space="preserve"> M</w:t>
            </w:r>
            <w:r>
              <w:rPr>
                <w:b/>
                <w:sz w:val="20"/>
              </w:rPr>
              <w:t>ERGER</w:t>
            </w:r>
            <w:r>
              <w:rPr>
                <w:b/>
              </w:rPr>
              <w:t xml:space="preserve"> S</w:t>
            </w:r>
            <w:r>
              <w:rPr>
                <w:b/>
                <w:sz w:val="20"/>
              </w:rPr>
              <w:t>UBSIDIARY</w:t>
            </w:r>
            <w:r>
              <w:rPr>
                <w:b/>
              </w:rPr>
              <w:t>, I</w:t>
            </w:r>
            <w:r>
              <w:rPr>
                <w:b/>
                <w:sz w:val="20"/>
              </w:rPr>
              <w:t>NC</w:t>
            </w:r>
            <w:r>
              <w:rPr>
                <w:b/>
              </w:rPr>
              <w:t>.</w:t>
            </w:r>
          </w:p>
        </w:tc>
      </w:tr>
      <w:tr>
        <w:trPr>
          <w:trHeight w:val="240" w:hRule="atLeast"/>
        </w:trPr>
        <w:tc>
          <w:tcPr>
            <w:tcW w:w="1132"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2846" w:type="dxa"/>
            <w:tcBorders/>
          </w:tcPr>
          <w:p>
            <w:pPr>
              <w:pStyle w:val="TableContents"/>
              <w:pBdr>
                <w:bottom w:val="single" w:sz="2" w:space="1" w:color="000000"/>
              </w:pBdr>
              <w:bidi w:val="0"/>
              <w:spacing w:before="0" w:after="20"/>
              <w:jc w:val="left"/>
              <w:rPr/>
            </w:pPr>
            <w:r>
              <w:rPr/>
              <w:t> </w:t>
            </w:r>
          </w:p>
        </w:tc>
      </w:tr>
      <w:tr>
        <w:trPr>
          <w:trHeight w:val="120" w:hRule="atLeast"/>
        </w:trPr>
        <w:tc>
          <w:tcPr>
            <w:tcW w:w="1132"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tcPr>
          <w:p>
            <w:pPr>
              <w:pStyle w:val="TableContents"/>
              <w:bidi w:val="0"/>
              <w:spacing w:before="0" w:after="283"/>
              <w:jc w:val="left"/>
              <w:rPr/>
            </w:pPr>
            <w:r>
              <w:rPr/>
              <w:t>Name:</w:t>
            </w:r>
          </w:p>
        </w:tc>
        <w:tc>
          <w:tcPr>
            <w:tcW w:w="104" w:type="dxa"/>
            <w:tcBorders/>
            <w:vAlign w:val="bottom"/>
          </w:tcPr>
          <w:p>
            <w:pPr>
              <w:pStyle w:val="TableContents"/>
              <w:bidi w:val="0"/>
              <w:spacing w:before="0" w:after="283"/>
              <w:jc w:val="left"/>
              <w:rPr/>
            </w:pPr>
            <w:r>
              <w:rPr/>
              <w:t> </w:t>
            </w:r>
          </w:p>
        </w:tc>
        <w:tc>
          <w:tcPr>
            <w:tcW w:w="2846" w:type="dxa"/>
            <w:tcBorders/>
          </w:tcPr>
          <w:p>
            <w:pPr>
              <w:pStyle w:val="TableContents"/>
              <w:pBdr>
                <w:bottom w:val="single" w:sz="2" w:space="1" w:color="000000"/>
              </w:pBdr>
              <w:bidi w:val="0"/>
              <w:spacing w:before="0" w:after="20"/>
              <w:jc w:val="left"/>
              <w:rPr/>
            </w:pPr>
            <w:r>
              <w:rPr/>
              <w:t> </w:t>
            </w:r>
          </w:p>
        </w:tc>
      </w:tr>
      <w:tr>
        <w:trPr>
          <w:trHeight w:val="120" w:hRule="atLeast"/>
        </w:trPr>
        <w:tc>
          <w:tcPr>
            <w:tcW w:w="1132"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tcPr>
          <w:p>
            <w:pPr>
              <w:pStyle w:val="TableContents"/>
              <w:bidi w:val="0"/>
              <w:spacing w:before="0" w:after="283"/>
              <w:jc w:val="left"/>
              <w:rPr/>
            </w:pPr>
            <w:r>
              <w:rPr/>
              <w:t>Title:</w:t>
            </w:r>
          </w:p>
        </w:tc>
        <w:tc>
          <w:tcPr>
            <w:tcW w:w="104" w:type="dxa"/>
            <w:tcBorders/>
            <w:vAlign w:val="bottom"/>
          </w:tcPr>
          <w:p>
            <w:pPr>
              <w:pStyle w:val="TableContents"/>
              <w:bidi w:val="0"/>
              <w:spacing w:before="0" w:after="283"/>
              <w:jc w:val="left"/>
              <w:rPr/>
            </w:pPr>
            <w:r>
              <w:rPr/>
              <w:t> </w:t>
            </w:r>
          </w:p>
        </w:tc>
        <w:tc>
          <w:tcPr>
            <w:tcW w:w="284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55"/>
        <w:gridCol w:w="131"/>
        <w:gridCol w:w="2596"/>
      </w:tblGrid>
      <w:tr>
        <w:trPr/>
        <w:tc>
          <w:tcPr>
            <w:tcW w:w="13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w:t>
            </w:r>
            <w:r>
              <w:rPr>
                <w:b/>
                <w:sz w:val="20"/>
              </w:rPr>
              <w:t>ECTONIC</w:t>
            </w:r>
            <w:r>
              <w:rPr>
                <w:b/>
              </w:rPr>
              <w:t xml:space="preserve"> T</w:t>
            </w:r>
            <w:r>
              <w:rPr>
                <w:b/>
                <w:sz w:val="20"/>
              </w:rPr>
              <w:t>HERAPEUTIC</w:t>
            </w:r>
            <w:r>
              <w:rPr>
                <w:b/>
              </w:rPr>
              <w:t>, I</w:t>
            </w:r>
            <w:r>
              <w:rPr>
                <w:b/>
                <w:sz w:val="20"/>
              </w:rPr>
              <w:t>NC</w:t>
            </w:r>
            <w:r>
              <w:rPr>
                <w:b/>
              </w:rPr>
              <w:t>.</w:t>
            </w:r>
          </w:p>
        </w:tc>
      </w:tr>
      <w:tr>
        <w:trPr>
          <w:trHeight w:val="240" w:hRule="atLeast"/>
        </w:trPr>
        <w:tc>
          <w:tcPr>
            <w:tcW w:w="1355" w:type="dxa"/>
            <w:tcBorders/>
            <w:vAlign w:val="center"/>
          </w:tcPr>
          <w:p>
            <w:pPr>
              <w:pStyle w:val="TableContents"/>
              <w:bidi w:val="0"/>
              <w:spacing w:before="0" w:after="283"/>
              <w:jc w:val="left"/>
              <w:rPr>
                <w:sz w:val="4"/>
                <w:szCs w:val="4"/>
              </w:rPr>
            </w:pPr>
            <w:r>
              <w:rPr>
                <w:sz w:val="4"/>
                <w:szCs w:val="4"/>
              </w:rPr>
            </w:r>
          </w:p>
        </w:tc>
        <w:tc>
          <w:tcPr>
            <w:tcW w:w="2727"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2596" w:type="dxa"/>
            <w:tcBorders/>
          </w:tcPr>
          <w:p>
            <w:pPr>
              <w:pStyle w:val="TableContents"/>
              <w:pBdr>
                <w:bottom w:val="single" w:sz="2" w:space="1" w:color="000000"/>
              </w:pBdr>
              <w:bidi w:val="0"/>
              <w:spacing w:before="0" w:after="20"/>
              <w:jc w:val="left"/>
              <w:rPr/>
            </w:pPr>
            <w:r>
              <w:rPr/>
              <w:t> </w:t>
            </w:r>
          </w:p>
        </w:tc>
      </w:tr>
      <w:tr>
        <w:trPr>
          <w:trHeight w:val="120" w:hRule="atLeast"/>
        </w:trPr>
        <w:tc>
          <w:tcPr>
            <w:tcW w:w="1355" w:type="dxa"/>
            <w:tcBorders/>
            <w:vAlign w:val="center"/>
          </w:tcPr>
          <w:p>
            <w:pPr>
              <w:pStyle w:val="TableContents"/>
              <w:bidi w:val="0"/>
              <w:spacing w:before="0" w:after="283"/>
              <w:jc w:val="left"/>
              <w:rPr>
                <w:sz w:val="4"/>
                <w:szCs w:val="4"/>
              </w:rPr>
            </w:pPr>
            <w:r>
              <w:rPr>
                <w:sz w:val="4"/>
                <w:szCs w:val="4"/>
              </w:rPr>
            </w:r>
          </w:p>
        </w:tc>
        <w:tc>
          <w:tcPr>
            <w:tcW w:w="2727"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283"/>
              <w:jc w:val="left"/>
              <w:rPr/>
            </w:pPr>
            <w:r>
              <w:rPr/>
              <w:t>Name:</w:t>
            </w:r>
          </w:p>
        </w:tc>
        <w:tc>
          <w:tcPr>
            <w:tcW w:w="131" w:type="dxa"/>
            <w:tcBorders/>
            <w:vAlign w:val="bottom"/>
          </w:tcPr>
          <w:p>
            <w:pPr>
              <w:pStyle w:val="TableContents"/>
              <w:bidi w:val="0"/>
              <w:spacing w:before="0" w:after="283"/>
              <w:jc w:val="left"/>
              <w:rPr/>
            </w:pPr>
            <w:r>
              <w:rPr/>
              <w:t> </w:t>
            </w:r>
          </w:p>
        </w:tc>
        <w:tc>
          <w:tcPr>
            <w:tcW w:w="2596" w:type="dxa"/>
            <w:tcBorders/>
          </w:tcPr>
          <w:p>
            <w:pPr>
              <w:pStyle w:val="TableContents"/>
              <w:pBdr>
                <w:bottom w:val="single" w:sz="2" w:space="1" w:color="000000"/>
              </w:pBdr>
              <w:bidi w:val="0"/>
              <w:spacing w:before="0" w:after="20"/>
              <w:jc w:val="left"/>
              <w:rPr/>
            </w:pPr>
            <w:r>
              <w:rPr/>
              <w:t> </w:t>
            </w:r>
          </w:p>
        </w:tc>
      </w:tr>
      <w:tr>
        <w:trPr>
          <w:trHeight w:val="120" w:hRule="atLeast"/>
        </w:trPr>
        <w:tc>
          <w:tcPr>
            <w:tcW w:w="1355" w:type="dxa"/>
            <w:tcBorders/>
            <w:vAlign w:val="center"/>
          </w:tcPr>
          <w:p>
            <w:pPr>
              <w:pStyle w:val="TableContents"/>
              <w:bidi w:val="0"/>
              <w:spacing w:before="0" w:after="283"/>
              <w:jc w:val="left"/>
              <w:rPr>
                <w:sz w:val="4"/>
                <w:szCs w:val="4"/>
              </w:rPr>
            </w:pPr>
            <w:r>
              <w:rPr>
                <w:sz w:val="4"/>
                <w:szCs w:val="4"/>
              </w:rPr>
            </w:r>
          </w:p>
        </w:tc>
        <w:tc>
          <w:tcPr>
            <w:tcW w:w="2727"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283"/>
              <w:jc w:val="left"/>
              <w:rPr/>
            </w:pPr>
            <w:r>
              <w:rPr/>
              <w:t>Title:</w:t>
            </w:r>
          </w:p>
        </w:tc>
        <w:tc>
          <w:tcPr>
            <w:tcW w:w="131" w:type="dxa"/>
            <w:tcBorders/>
            <w:vAlign w:val="bottom"/>
          </w:tcPr>
          <w:p>
            <w:pPr>
              <w:pStyle w:val="TableContents"/>
              <w:bidi w:val="0"/>
              <w:spacing w:before="0" w:after="283"/>
              <w:jc w:val="left"/>
              <w:rPr/>
            </w:pPr>
            <w:r>
              <w:rPr/>
              <w:t> </w:t>
            </w:r>
          </w:p>
        </w:tc>
        <w:tc>
          <w:tcPr>
            <w:tcW w:w="259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8" w:name="toc770053_202"/>
      <w:bookmarkEnd w:id="338"/>
      <w:r>
        <w:rPr>
          <w:rFonts w:ascii="Times New Roman" w:hAnsi="Times New Roman"/>
          <w:b/>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[LETTERHEAD OF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Attn: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Dear 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AVROBIO, Inc. (AVROBIO) intends to enter into an Agreement and Plan of Merger and Reorganization (the Agreement) among AVROBIO, Alpine Merger Subsidiary, Inc., a wholly owned subsidiary of AVROBIO (Merger Sub), and Tectonic Therapeutic, Inc. (Tectonic), pursuant to which, among other things, (i) Merger Sub will merge (the Merger) with Tectonic, (ii) Tectonic will survive the Merger as a wholly owned subsidiary of AVROBIO, and (iii) AVROBIO will issue, for each share of common stock, par value $0.0001 per share (Tectonic Common Stock), of Tectonic outstanding and for each share of preferred stock, par value $0.0001 per share (Tectonic Preferred Stock and, together with the Tectonic Common Stock, the Tectonic Capital Stock), of Tectonic outstanding, a number (the Exchange Ratio) of shares of common stock, par value $0.0001 per share (AVROBIO Common Stock), of AVROBIO based on (a) an ascribed aggregate equity value for AVROBIO of $77,500,000, subject to adjustment as provided by the Agreement (as to which adjustment we express no view or opinion), (b) an ascribed aggregate equity value for Tectonic of $140,000,000, (c) proceeds raised in the Concurrent Investment (as defined below) as provided by the Agreement (as to which we express no view or opinion), (d) the number of shares of AVROBIO Common Stock outstanding on a fully diluted, as-converted basis (but excluding out-of-the money options or performance-based RSU awards for which the performance condition has not been met) and, if applicable, giving effect to the Reverse Split (as defined below), and (e) the number of shares of Tectonic Common Stock outstanding on a fully diluted, as-converted basis, after giving effect to the Concurrent Investment. We also understand that certain investors have entered into simple agreements for future equity with Tectonic in the aggregate principal amount of $34,125,000 (the Tectonic SAFEs and, the investment contemplated thereby, the Tectonic SAFE Concurrent Investment). In addition, we understand that prior to the Merger, (i) the Tectonic SAFEs will be converted into shares of Tectonic Common Stock (the Tectonic SAFEs Conversion), (ii) certain investors (including certain current Tectonic shareholders) will purchase (the Subscription Agreement Concurrent Investment and, together with the Tectonic SAFE Concurrent Investment, the Concurrent Investment) from Tectonic newly issued shares of Tectonic Common Stock pursuant to subscription agreements to be entered into by Tectonic and such investors, which together with the proceeds of the Tectonic SAFE Concurrent Investment, will result in aggregate gross proceeds of $130,725,000, (iii) AVROBIO will declare a distribution (the Closing Distribution) to holders of AVROBIO Common Stock of record as of immediately prior to the Merger of the right to receive one contingent value right (each, a CVR) for each outstanding share of AVROBIO Common Stock held by such stockholders, each representing the right to receive contingent payments upon the occurrence of certain events set forth in, and subject to and in accordance with the terms and conditions of, a Contingent Value Rights Agreement (the CVR Agreement) to be entered into by AVROBIO and the rights agent party thereto, (iv) AVROBIO will effect a reverse split of the outstanding shares of AVROBIO Common Stock (the Reverse Split), and (v) AVROBIO may sell, license or otherwise monetize its legacy business (any such transaction, an AVROBIO Pre-Closing Transaction and, collectively with the Concurrent Investment, the Closing Distribution and, to the extent effected, the Reverse Split, the Related Transactions and the Related Transactions, together with the Merger,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(the Board) of AVROBIO has requested that Houlihan Lokey Capital, Inc. (Houlihan Lokey) provide an opinion (the Opinion) to the Board as to whether, as of the date hereof, the Exchange Ratio provided for in the Merger pursuant to the Agreement, after giving effect to the Related Transactions, is fair, from a financial point of view, to AVROBIO.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made such reviews, analyses and inquiries as we have deemed necessary and appropriate under the circumstances. Among other things,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January 29, 2024, of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relating to AVROBIO and Tectonic that we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relating to the historical, current and future operations, financial condition and prospects of AVROBIO and Tectonic made available to us by AVROBIO and Tectonic, including (i) a liquidation analysis of AVROBIO prepared by management of AVROBIO (the AVROBIO Liquidation Analysis) and (ii) information regarding the nature of, and indications to be addressed by, Tectonics potential products, the current status and expected future timing of clinical development of Tectonics products, and projected cash expenditures for the development of such products (collectively, the Tectonic Development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spoken with certain members of the managements of AVROBIO and Tectonic regarding the respective businesses, operations, financial condition and prospects of AVROBIO and Tectonic, the Transaction and 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clinical development stage and therapeutic area of focus of Tectonic with that of companies with publicly traded equity securities that we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for informational purposes, considered the publicly available financial terms of certain transactions that we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current and historical market prices and trading volume for certain of AVROBIOs publicly traded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inquiries and considered such other information and factors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AVROBIO has advised us, and we have with your consent relied upon and assumed, that the AVROBIO Liquidation Analysis has been reasonably prepared in good faith on bases reflecting the best currently available estimates and judgments of such management as to (i) the expected realizable value for AVROBIOs assets, assuming an orderly liquidation of such assets, and (ii) the remaining amounts estimated to be available upon completion of such liquidation for distribution to AVROBIOs equity holders. In addition, with your consent, we have relied upon and assumed that the Tectonic Development Information has been reasonably prepared in good faith on bases reflecting the best currently available estimates and judgments of Tectonic management as to the nature of, and indications to be addressed by, Tectonics potential products and the expected timing and cash expenditures associated with the development of Tectonics potential products. We express no view or opinion with respect to the AVROBIO Liquidation Analysis, the Tectonic Development Information or the respective assumptions on which they are based. At your direction, we have assumed that the Liquidation Analysis and the Tectonic Development Information provide a reasonable basis on which to evaluate AVROBIO, Tectonic and the Transaction and we have, at your direction, used and relied upon the Liquidation Analysis and the Tectonic Development Information for purposes of our analysis and this Opinion. In this regard you have advised us, and at your direction we have relied upon and assumed, that (i) AVROBIO has terminated all company-sponsored treatment-related and company-sponsored long-term follow-up clinical studies relating to its AVR-RD-02,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Gaucher disease type 1, program, and company-sponsored long term follow-up studies relating to its AVR-RD-01, or Fabry disease, program, (ii) AVROBIO has terminated its agreements with the University of Manchester for the license and development of a gene therapy for MPSII, or Hunter syndrome, and discontinued its AVR-RD-05, or Hunter syndrome gene therapy program, (iii) AVROBIO sold its cystinosis gene therapy program to Novartis Pharma AG and Novartis Pharmaceuticals Corporation, (iv) as a result, AVROBIO has three gene therapy product candidates, none of which is currently in active clinical development, (v) since inception, AVROBIO has not generated any product revenue and has financed its operations primarily through the private placement of securities and through public offerings of common stock, (vi) AVRIOBIO has suffered significant recurring losses from operations, (vii) in the absence of the Transaction or an alternative strategic transaction, AVROBIO would likely dissolve and liquidate, and (viii) the values AVROBIO receives for its assets in liquidation could be significantly lower than the values reflected in AVROBIOs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reaching our conclusions hereunder, with your consent, we did not rely upon (i) a discounted cash flow analysis of AVROBIO or Tectonic, because, as you have advised us and directed us to assume, other than the projected cash expenditures for Tectonic included in the Tectonic Development Information, no current, reliable projections with respect to the future financial performance of AVROBIO or Tectonic are available, (ii) we did not rely upon a review of the publicly available financial terms of other transactions, because we did not identify a sufficient number of relevant transactions in which we deemed the acquired companies to be sufficiently similar to AVROBIO or Tectonic and (iii) with respect to AVROBIO, we did not rely upon a review of companies with publicly traded equity securities that we deemed relevant, because we did not identify a sufficient number of relevant companies we deemed to be sufficiently similar to AVROBIO. We have relied upon and assumed, without independent verification, that there has been no change in the businesses, assets, liabilities, financial condition, results of operations, cash flows or prospects of AVROBIO or Tectonic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We have also relied upon and assumed, without independent verification, the assessments of the managements of AVROBIO and Tectonic as to AVROBIOs and Tectonics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we have assumed at your direction that there will be no developments with respect to any such matters that would affect our analyses or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Transaction will be satisfied without waiver thereof, and (d) the Transaction will be consummated in a timely manner in accordance with the terms described in the Agreement and such other related documents and instruments, without any amendments or modifications. We have also assumed, with your consent, that the Merger will qualify as a reorganization under Section 368(a) of the Internal Revenue Code of 1986, as amended. We have relied upon and assumed, without independent verification, that (i) the Transaction will be consummated in a manner that complies in all respects with all applicable foreign, federal, state and local statutes, rules and regulations, and (ii) all governmental, regulatory, and other consents and approvals necessary for the consummation of the Transaction will be obtained and that no delay, limitations, restrictions or conditions will be imposed or amendments, modifications or waivers made that would result in the disposition of any assets of AVROBIO or Tectonic, or otherwise have an effect on the Transaction, AVROBIO or Tectonic or any expected benefits of the Transaction that would be material to our analyses or this Opinion. We have also relied upon and assumed, without independent verification, at your direction, that any adjustments to the Exchange Ratio pursuant to the Agreement or otherwise will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to our analyses or this Opinion. In addition, we have relied upon and assumed, without independent verification, that the final form of the Agreement will not differ in any respect from the draft of the Agreement identified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connection with this Opinion, we have not been requested to make, and have not made, any physical inspection or independent appraisal or evaluation of any of the assets, properties or liabilities (fixed, contingent, derivative, off-balance-sheet or otherwise) of AVROBIO, Tectonic or any other party, nor were we provided with any such appraisal or evaluation (other than the AVROBIO Liquidation Analysis provided by AVROBIO management). We did not estimate, and express no opinion regarding, the liquidation value of any entity or business. We have undertaken no independent analysis of any potential or actual litigation, regulatory action, possible unasserted claims or other contingent liabilities, to which AVROBIO or Tectonic is or may be a party or is or may be subject, or of any governmental investigation of any possible unasserted claims or other contingent liabilities to which AVROBIO or Tectonic is or may be a party or is or may be subject. </w:t>
      </w:r>
    </w:p>
    <w:p>
      <w:pPr>
        <w:pStyle w:val="TextBody"/>
        <w:bidi w:val="0"/>
        <w:spacing w:before="240" w:after="0"/>
        <w:jc w:val="left"/>
        <w:rPr>
          <w:rFonts w:ascii="Times New Roman" w:hAnsi="Times New Roman"/>
          <w:sz w:val="20"/>
        </w:rPr>
      </w:pPr>
      <w:r>
        <w:rPr>
          <w:rFonts w:ascii="Times New Roman" w:hAnsi="Times New Roman"/>
          <w:sz w:val="20"/>
        </w:rPr>
        <w:t xml:space="preserve">We have not been requested to, and did not, (a) initiate or participate in any discussions or negotiations with, or solicit any indications of interest from, third parties with respect to the Transaction, the securities, assets, businesses or operations of AVROBIO, Tectonic or any other party, or any alternatives to the Transaction, (b) identify, introduce to the Board, AVROBIO or any other party, or screen for creditworthiness, any prospective investors, lenders or other participants in the Transaction, (c) negotiate the terms of the Transaction, or (d) advise the Board, AVROBIO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We are not expressing any opinion as to what the value of the AVROBIO Common Stock actually will be when issued in the Transaction pursuant to the Agreement or the price or range of prices at which AVROBIO Common Stock or Tectonic Capital Stock may be purchased or sold, or otherwise be transferable,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for the use of the Board (in its capacity as such) in connection with its evaluation of the Transaction and may not be used for any other purpose without our prior written consent. This Opinion is not intended to be, and does not constitute, a recommendation to the Board, AVROBIO, any security holder or any other party as to how to act or vote with respect to any matter relating to the Transaction or otherwise, including, without limitation, whether any party should participate in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AVROBIO, Tectonic, or any other party that may be involved in the Transaction and their respective affiliates or security holders or any currency or commodity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and certain of its affiliates may provide investment banking, financial advisory and/or other financial or consulting services to AVROBIO, Tectonic, other participants in the Transaction or certain of their respective affiliates or security holders in the future, for which Houlihan Lokey and its affiliates may receive compensation. In addition, during the past two years, Houlihan Lokey provided financial advisory services to a group of five engaging clients, of which an affiliate of a security holder of Tectonic was a member, for which Houlihan Lokey received compensation.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AVROBIO, Tectonic, other participants in the Transaction or certain of their respective affiliates or security holders, for which advice and services Houlihan Lokey and its affiliates have received and may receive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receive a fee for rendering this Opinion, no portion of which is contingent upon the successful completion of the Transaction. In addition, AVROBIO has agreed to reimburse certain of our expenses and to indemnify us and certain related parties for certain potential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been requested to opine as to, and this Opinion does not express an opinion as to or otherwise address, among other things: (i) the underlying business decision of the Board, AVROBIO, its security holders or any other party to proceed with or effect the Transaction, (ii) the terms of any arrangements, understandings, agreements or documents related to, or the form, structure or any other portion or aspect of, the Transaction or otherwise (other than the Exchange Ratio to the extent expressly specified herein), including, without limitation, the support agreements or the lock-up agreements to be entered into in connection with the Transaction, the CVRs, the CVR Agreement or any Related Transaction, (iii) the fairness of any portion or aspect of the Transaction to the holders of any class of securities, creditors or other constituencies of AVROBIO or Tectonic, or to any other party (including, without limitation, the potential dilutive or other effects of the Transaction), (iv) the relative merits of the Transaction as compared to any alternative business strategies or transactions that might be available for AVROBIO, Tectonic or any other party, (v) the fairness of any portion or aspect of the Transaction to any one class or group of AVROBIOs, Tectonics or any other partys security holders or other constituents vis-à-vis any other class or group of AVROBIOs, Tectonics or such other partys security holders or other constituents (including, without limitation, the allocation of any consideration amongst or within such classes or groups of security holders or other constituents), (vi) the appropriate capital structure of AVROBIO or Tectonic, whether AVROBIO or Tectonic should be issuing debt or equity securities or a combination of both in the Transaction, or the form, structure or any aspect or terms of any debt or equity financing for, or in connection with, the Transaction (including, without limitation, the Concurrent Investment) or the likelihood of obtaining such financing, (vii) the acquisition by any party or group of a controlling interest in AVROBIO, (viii) whether or not AVROBIO, Tectonic, their respective security holders or any other party is receiving or paying reasonably equivalent value in the Transaction, (ix) the solvency, creditworthiness or fair value of AVROBIO, Tectonic or any other participant in the Transaction, or any of their respective assets, under any applicable laws relating to bankruptcy, insolvency, fraudulent conveyance or similar matters, or (x) the fairness, financial or otherwise, of the amount, nature or any other aspect of any compensation to or consideration payable to or received by any officers, directors or employees of any party to the Transaction, any class of such persons or any other party, relative to the Exchange Ratio or otherwise. This Opinion does not address the financial or other implications and effects of the Transaction (including, without limitation, any financing associated therewith) on AVROBIO, any security holders, creditors or other constituencies of AVROBIO, or any other party. Furthermore, we are not expressing any opinion, counsel or interpretation regarding matters that require legal, regulatory, environmental,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AVROBIO and their respective advisors, as to all legal, regulatory, environmental, accounting, insurance, tax and other similar matters with respect to AVROBIO, Tectonic and the Transaction or otherwise. The issuance of this Opinion was approved by a committee authorized to approve opinions of this nature.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in reliance thereon, it is our opinion that, as of the date hereof, the Exchange Ratio provided for in the Merger pursuant to the Agreement, after giving effect to the Related Transactions, is fair, from a financial point of view, to AVROBIO.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CAPITAL,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9" w:name="toc770053_203"/>
      <w:bookmarkEnd w:id="339"/>
      <w:r>
        <w:rPr>
          <w:rFonts w:ascii="Times New Roman" w:hAnsi="Times New Roman"/>
          <w:b/>
          <w:sz w:val="20"/>
        </w:rPr>
        <w:t xml:space="preserve">Annex C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ASPEN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January 30, 2024, by and among Tectonic Therapeutic, Inc., a Delaware corporation (the </w:t>
      </w:r>
      <w:r>
        <w:rPr>
          <w:rFonts w:ascii="Times New Roman" w:hAnsi="Times New Roman"/>
          <w:sz w:val="20"/>
          <w:u w:val="single"/>
        </w:rPr>
        <w:t>Company</w:t>
      </w:r>
      <w:r>
        <w:rPr>
          <w:rFonts w:ascii="Times New Roman" w:hAnsi="Times New Roman"/>
          <w:sz w:val="20"/>
        </w:rPr>
        <w:t>), AVROBIO, Inc., a Delaware corporation (</w:t>
      </w:r>
      <w:r>
        <w:rPr>
          <w:rFonts w:ascii="Times New Roman" w:hAnsi="Times New Roman"/>
          <w:sz w:val="20"/>
          <w:u w:val="single"/>
        </w:rPr>
        <w:t>Aspen</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xml:space="preserve">) of Aspen.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Aspen, the Company and Alpine Merger Subsidiary, Inc., a Delaware corporation and a wholly owned subsidiary of Aspen (the </w:t>
      </w:r>
      <w:r>
        <w:rPr>
          <w:rFonts w:ascii="Times New Roman" w:hAnsi="Times New Roman"/>
          <w:sz w:val="20"/>
          <w:u w:val="single"/>
        </w:rPr>
        <w:t>Merger Sub</w:t>
      </w:r>
      <w:r>
        <w:rPr>
          <w:rFonts w:ascii="Times New Roman" w:hAnsi="Times New Roman"/>
          <w:sz w:val="20"/>
        </w:rPr>
        <w:t>), have entered into an Agreement and Plan of Merger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merger as the surviving corporation and a wholly owned subsidiary of Aspen (the </w:t>
      </w:r>
      <w:r>
        <w:rPr>
          <w:rFonts w:ascii="Times New Roman" w:hAnsi="Times New Roman"/>
          <w:sz w:val="20"/>
          <w:u w:val="single"/>
        </w:rPr>
        <w:t>Merger</w:t>
      </w:r>
      <w:r>
        <w:rPr>
          <w:rFonts w:ascii="Times New Roman" w:hAnsi="Times New Roman"/>
          <w:sz w:val="20"/>
        </w:rPr>
        <w:t xml:space="preserv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Aspen Common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an inducement to the willingness of the Company to enter into the Merger Agreement, the Company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Aspen Stockholder Matters</w:t>
      </w:r>
      <w:r>
        <w:rPr>
          <w:rFonts w:ascii="Times New Roman" w:hAnsi="Times New Roman"/>
          <w:sz w:val="20"/>
        </w:rPr>
        <w:t xml:space="preserve"> means (A) the approval of the issuance of shares of Aspen Common Stock to the stockholders of the Company pursuant to the terms of this Agreement, (B) the approval of an amendment to the Aspen Charter to effect the Nasdaq Reverse Split, (C) the approval of the Equity Plan Proposals, and (D) the approval of an amendment to the Aspen Charter to provide for the exculpation of officers.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Shares</w:t>
      </w:r>
      <w:r>
        <w:rPr>
          <w:rFonts w:ascii="Times New Roman" w:hAnsi="Times New Roman"/>
          <w:sz w:val="20"/>
        </w:rPr>
        <w:t xml:space="preserve"> means (i) all shares of Aspen Common Stock owned, beneficially or of record, by the Stockholder as of the date hereof, and (ii) all additional shares of Aspen Common Stock acquired by the Stockholder, beneficially or of record, during the period commencing with the execution and delivery of this Agreement and expiring on the Closing Date.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Aspen Stockholder Matters and against any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else herein to the contrary, the Stockholder may, at any time, Transfer Shares (i) by will or other testamentary document or by intestacy, (ii) to any investment fund or other entity controlled or managed by the Stockholder, (iii) to any member of the Stockholders immediate family, (iv) to any trust for the direct or indirect benefit of the Stockholder or the immediate family of the Stockholder or otherwise for estate planning purposes, (v) pursuant to a qualified domestic order, (vi) to any charitable organization, (vii) by effecting a net exercise of an Aspen Option or a net settlement of an Aspen Restricted Stock Unit in which Aspen holds back shares of Aspen Common Stock otherwise issuable (but not the sale of already-owned shares of Aspen Common Stock) either to pay the exercise price upon the exercise of an Aspen Option or settlement of an Aspen Restricted Stock Unit or to satisfy the Stockholders tax withholding obligation upon the exercise of an Aspen Option or settlement of an Aspen Restricted Stock Unit, in each case as permitted pursuant to the terms of any Aspen Employee Plan and (viii) with respect to any Stockholder that is an entity, to any Affiliate of such Stockholder or to one or more partners or members of such Stockholder; </w:t>
      </w:r>
      <w:r>
        <w:rPr>
          <w:rFonts w:ascii="Times New Roman" w:hAnsi="Times New Roman"/>
          <w:sz w:val="20"/>
          <w:u w:val="single"/>
        </w:rPr>
        <w:t>provided</w:t>
      </w:r>
      <w:r>
        <w:rPr>
          <w:rFonts w:ascii="Times New Roman" w:hAnsi="Times New Roman"/>
          <w:sz w:val="20"/>
        </w:rPr>
        <w:t xml:space="preserve">, that (x) such Transferred Shares shall continue to be bound by this Agreement and (y) the applicable transferee shall have executed and delivered to Aspen and the Company a support agreement substantially identical to this Agreement upon consummation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Until the Expiration Date, at any meeting of the stockholders of Aspen, however called, and at every adjournment or postponement thereof, and on every action or approval by written consent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stockholders of Aspen with respect to the Aspen Stockholder Matters, the Stockholder shall be present (in person or by proxy) and vote, or exercise its right to consent with respect to, all Shares held by the Stockholder (A) in favor of the Aspen Stockholder Matters, (B) against any Acquisition Proposal, and (C) in favor of an adjournment of the meeting of the stockholders of Aspen, if necessary, to solicit additional proxies if there are not sufficient votes in favor of the Aspen Stockholder Matters.</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Aspen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Notwithstanding anything in this Agreement to the contrary, the Stockholder is entering into this Agreement solely in the Stockholders capacity as a record holder and beneficial owner, as applicable, of its Shares and not in the Stockholders capacity as a director or officer of Aspen,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Aspen or pursuant to any applicable written consent of the stockholders of Aspen, the Stockholder shall be deemed to have irrevocably granted to, and appointed, Aspen, and any individual designated in writing by Aspen, and each of them individually, as his, her or its proxy and attorney-in-fact (with full power of substitution), for and in its name, place and stead, to vote his, her or its Shares in any action by written consent of Aspen stockholders or at any meeting of the Aspen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Aspen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From and after the date hereof until the Expiration Date, the Stockholder will not, and will not permit any entity under such Stockholders control to, take any action that Aspen is prohibited from taking pursuant to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Aspen and the Company to publish and disclose in all documents and schedules filed with the SEC, and any press release or 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Aspen Board, breaches any fiduciary duty of the Aspen Board or any member thereof; </w:t>
      </w:r>
      <w:r>
        <w:rPr>
          <w:rFonts w:ascii="Times New Roman" w:hAnsi="Times New Roman"/>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Aspen.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(i) The Stockholder is the beneficial or record owner of the shares of Aspen Common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or any lock-up agreement entered into by and between the Stockholder, the Company and Aspen); and (ii) the Stockholder does not beneficially own any securities of Aspen other than the shares of Aspen Common Stock and rights to purchase shares Aspen Common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Stockholder that is an entity, the Stockholder is duly organized, validly existing and in good standing under the laws of the jurisdiction of its formation and is qualified to conduct its business in those jurisdictions necessary to perform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(g)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11</w:t>
      </w:r>
      <w:r>
        <w:rPr>
          <w:rFonts w:ascii="Times New Roman" w:hAnsi="Times New Roman"/>
          <w:sz w:val="20"/>
        </w:rPr>
        <w:t xml:space="preserve"> shall survive the termination of this Agreement, and (ii) the termination of this Agreement shall not relieve any party hereto from any liability for fraud or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Further Assurances</w:t>
      </w:r>
      <w:r>
        <w:rPr>
          <w:rFonts w:ascii="Times New Roman" w:hAnsi="Times New Roman"/>
          <w:sz w:val="20"/>
        </w:rPr>
        <w:t xml:space="preserve">.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hAnsi="Times New Roman"/>
          <w:sz w:val="20"/>
          <w:u w:val="single"/>
        </w:rPr>
        <w:t>Section 12(c)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12(k)</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hAnsi="Times New Roman"/>
          <w:sz w:val="20"/>
          <w:u w:val="single"/>
        </w:rPr>
        <w:t>Section 12(d)</w:t>
      </w:r>
      <w:r>
        <w:rPr>
          <w:rFonts w:ascii="Times New Roman" w:hAnsi="Times New Roman"/>
          <w:sz w:val="20"/>
        </w:rPr>
        <w:t xml:space="preserve"> is void.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 Party Rights</w:t>
      </w:r>
      <w:r>
        <w:rPr>
          <w:rFonts w:ascii="Times New Roman" w:hAnsi="Times New Roman"/>
          <w:sz w:val="20"/>
        </w:rPr>
        <w:t xml:space="preserve">. This Agreement is not intended to, and shall not, confer upon any other person any rights or remedies hereunder other than the parties hereto to the extent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hAnsi="Times New Roman"/>
          <w:sz w:val="20"/>
          <w:u w:val="single"/>
        </w:rPr>
        <w:t>Section 12(i)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96"/>
        <w:gridCol w:w="110"/>
        <w:gridCol w:w="3176"/>
      </w:tblGrid>
      <w:tr>
        <w:trPr/>
        <w:tc>
          <w:tcPr>
            <w:tcW w:w="79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1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COMPANY:</w:t>
            </w:r>
          </w:p>
        </w:tc>
      </w:tr>
      <w:tr>
        <w:trPr/>
        <w:tc>
          <w:tcPr>
            <w:tcW w:w="4082" w:type="dxa"/>
            <w:gridSpan w:val="3"/>
            <w:tcBorders/>
          </w:tcPr>
          <w:p>
            <w:pPr>
              <w:pStyle w:val="TableContents"/>
              <w:bidi w:val="0"/>
              <w:spacing w:before="0" w:after="283"/>
              <w:jc w:val="left"/>
              <w:rPr/>
            </w:pPr>
            <w:r>
              <w:rPr/>
              <w:t>Tectonic Therapeutic, Inc.</w:t>
            </w:r>
          </w:p>
        </w:tc>
      </w:tr>
      <w:tr>
        <w:trPr>
          <w:trHeight w:val="240" w:hRule="atLeast"/>
        </w:trPr>
        <w:tc>
          <w:tcPr>
            <w:tcW w:w="796" w:type="dxa"/>
            <w:tcBorders/>
            <w:vAlign w:val="center"/>
          </w:tcPr>
          <w:p>
            <w:pPr>
              <w:pStyle w:val="TableContents"/>
              <w:bidi w:val="0"/>
              <w:spacing w:before="0" w:after="283"/>
              <w:jc w:val="left"/>
              <w:rPr>
                <w:sz w:val="4"/>
                <w:szCs w:val="4"/>
              </w:rPr>
            </w:pPr>
            <w:r>
              <w:rPr>
                <w:sz w:val="4"/>
                <w:szCs w:val="4"/>
              </w:rPr>
            </w:r>
          </w:p>
        </w:tc>
        <w:tc>
          <w:tcPr>
            <w:tcW w:w="3286" w:type="dxa"/>
            <w:gridSpan w:val="2"/>
            <w:tcBorders/>
            <w:vAlign w:val="center"/>
          </w:tcPr>
          <w:p>
            <w:pPr>
              <w:pStyle w:val="TableContents"/>
              <w:bidi w:val="0"/>
              <w:spacing w:before="0" w:after="283"/>
              <w:jc w:val="left"/>
              <w:rPr>
                <w:sz w:val="4"/>
                <w:szCs w:val="4"/>
              </w:rPr>
            </w:pPr>
            <w:r>
              <w:rPr>
                <w:sz w:val="4"/>
                <w:szCs w:val="4"/>
              </w:rPr>
            </w:r>
          </w:p>
        </w:tc>
      </w:tr>
      <w:tr>
        <w:trPr/>
        <w:tc>
          <w:tcPr>
            <w:tcW w:w="796"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317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ASPEN:</w:t>
            </w:r>
          </w:p>
        </w:tc>
      </w:tr>
      <w:tr>
        <w:trPr/>
        <w:tc>
          <w:tcPr>
            <w:tcW w:w="4082" w:type="dxa"/>
            <w:gridSpan w:val="3"/>
            <w:tcBorders/>
          </w:tcPr>
          <w:p>
            <w:pPr>
              <w:pStyle w:val="TableContents"/>
              <w:bidi w:val="0"/>
              <w:spacing w:before="0" w:after="283"/>
              <w:jc w:val="left"/>
              <w:rPr/>
            </w:pPr>
            <w:r>
              <w:rPr/>
              <w:t>AVROBIO, Inc.</w:t>
            </w:r>
          </w:p>
        </w:tc>
      </w:tr>
      <w:tr>
        <w:trPr>
          <w:trHeight w:val="240" w:hRule="atLeast"/>
        </w:trPr>
        <w:tc>
          <w:tcPr>
            <w:tcW w:w="796" w:type="dxa"/>
            <w:tcBorders/>
            <w:vAlign w:val="center"/>
          </w:tcPr>
          <w:p>
            <w:pPr>
              <w:pStyle w:val="TableContents"/>
              <w:bidi w:val="0"/>
              <w:spacing w:before="0" w:after="283"/>
              <w:jc w:val="left"/>
              <w:rPr>
                <w:sz w:val="4"/>
                <w:szCs w:val="4"/>
              </w:rPr>
            </w:pPr>
            <w:r>
              <w:rPr>
                <w:sz w:val="4"/>
                <w:szCs w:val="4"/>
              </w:rPr>
            </w:r>
          </w:p>
        </w:tc>
        <w:tc>
          <w:tcPr>
            <w:tcW w:w="3286" w:type="dxa"/>
            <w:gridSpan w:val="2"/>
            <w:tcBorders/>
            <w:vAlign w:val="center"/>
          </w:tcPr>
          <w:p>
            <w:pPr>
              <w:pStyle w:val="TableContents"/>
              <w:bidi w:val="0"/>
              <w:spacing w:before="0" w:after="283"/>
              <w:jc w:val="left"/>
              <w:rPr>
                <w:sz w:val="4"/>
                <w:szCs w:val="4"/>
              </w:rPr>
            </w:pPr>
            <w:r>
              <w:rPr>
                <w:sz w:val="4"/>
                <w:szCs w:val="4"/>
              </w:rPr>
            </w:r>
          </w:p>
        </w:tc>
      </w:tr>
      <w:tr>
        <w:trPr/>
        <w:tc>
          <w:tcPr>
            <w:tcW w:w="796"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317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Email: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40" w:name="toc770053_204"/>
      <w:bookmarkEnd w:id="340"/>
      <w:r>
        <w:rPr>
          <w:rFonts w:ascii="Times New Roman" w:hAnsi="Times New Roman"/>
          <w:b/>
          <w:sz w:val="20"/>
        </w:rPr>
        <w:t xml:space="preserve">Annex D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January 30, 2024, by and among Tectonic Therapeutic, Inc., a Delaware corporation (the </w:t>
      </w:r>
      <w:r>
        <w:rPr>
          <w:rFonts w:ascii="Times New Roman" w:hAnsi="Times New Roman"/>
          <w:sz w:val="20"/>
          <w:u w:val="single"/>
        </w:rPr>
        <w:t>Company</w:t>
      </w:r>
      <w:r>
        <w:rPr>
          <w:rFonts w:ascii="Times New Roman" w:hAnsi="Times New Roman"/>
          <w:sz w:val="20"/>
        </w:rPr>
        <w:t>), AVROBIO, Inc., a Delaware corporation (</w:t>
      </w:r>
      <w:r>
        <w:rPr>
          <w:rFonts w:ascii="Times New Roman" w:hAnsi="Times New Roman"/>
          <w:sz w:val="20"/>
          <w:u w:val="single"/>
        </w:rPr>
        <w:t>Aspen</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xml:space="preserve">) of the Company.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Aspen, the Company and Alpine Merger Subsidiary, Inc., a Delaware corporation and a wholly owned subsidiary of Aspen (the </w:t>
      </w:r>
      <w:r>
        <w:rPr>
          <w:rFonts w:ascii="Times New Roman" w:hAnsi="Times New Roman"/>
          <w:sz w:val="20"/>
          <w:u w:val="single"/>
        </w:rPr>
        <w:t>Merger Sub</w:t>
      </w:r>
      <w:r>
        <w:rPr>
          <w:rFonts w:ascii="Times New Roman" w:hAnsi="Times New Roman"/>
          <w:sz w:val="20"/>
        </w:rPr>
        <w:t>), have entered into an Agreement and Plan of Merger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merger as the surviving corporation and a wholly owned subsidiary of Aspen (the </w:t>
      </w:r>
      <w:r>
        <w:rPr>
          <w:rFonts w:ascii="Times New Roman" w:hAnsi="Times New Roman"/>
          <w:sz w:val="20"/>
          <w:u w:val="single"/>
        </w:rPr>
        <w:t>Merger</w:t>
      </w:r>
      <w:r>
        <w:rPr>
          <w:rFonts w:ascii="Times New Roman" w:hAnsi="Times New Roman"/>
          <w:sz w:val="20"/>
        </w:rPr>
        <w:t xml:space="preserv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and Company Convertible Notes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an inducement to the willingness of Aspen to enter into the Merger Agreement, Aspen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Aspen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the Voting Agreement of the Company, dated as of March 31, 2021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else herein to the contrary, the Stockholder may, at any time, Transfer Shares (i) by will or other testamentary document or by intestacy, (ii) to any investment fund or other entity controlled or managed by the Stockholder or the investment adviser of a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(vi) pursuant to a qualified domestic order, (vii) to any charitable organization, or (viii) by effecting a net exercise of a Company Option or a net settlement of a Company Restricted Stock Unit in which the Company holds back shares of Company Common Stock otherwise issuable (but not the sale of already-owned shares of Company Common Stock) either to pay the exercise price upon the exercise of a Company Option or settlement of a Company Restricted Stock Unit or to satisfy the Stockholders tax withholding obligation upon the exercise of a Company Option or settlement of a Company Restricted Stock Unit, in each case as permitted pursuant to the terms of any Company Employee Plan and (ix) with respect to any Stockholder that is an entity, to any Affiliate of such Stockholder or to one or more partners or members of such Stockholder; </w:t>
      </w:r>
      <w:r>
        <w:rPr>
          <w:rFonts w:ascii="Times New Roman" w:hAnsi="Times New Roman"/>
          <w:sz w:val="20"/>
          <w:u w:val="single"/>
        </w:rPr>
        <w:t>provided</w:t>
      </w:r>
      <w:r>
        <w:rPr>
          <w:rFonts w:ascii="Times New Roman" w:hAnsi="Times New Roman"/>
          <w:sz w:val="20"/>
        </w:rPr>
        <w:t xml:space="preserve">, that in the cases of clauses (i)-(vi), (x) such Transferred Shares shall continue to be bound by this Agreement and (y) the applicable direct transferee (if any) of such Transferred Shares shall have executed and delivered to Aspen and the Company a support agreement substantially identical to this Agreement upon consummation of the Transfer or (vii)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 to consent with respect to, all Shares held by the Stockholder (A) to adopt and approve the Merger Agreement, (B) to approve the Contemplated Transactions, (C) to approve an amendment to the Company certificate of incorporation to effect the Company Authorized Share Increase, (D) to the extent the Stockholder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 Further, to the extent the Stockholder holds any Company SAFEs, the Stockholder hereby understands that such Company SAFEs shall convert into shares of Company Common Stock in accordance with Section 2.5(g) of the Merger Agreement at the same price per share at which the shares of Company Common Stock is sold pursuant to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Notwithstanding anything in this Agreement to the contrary, the Stockholder is entering into this Agreement solely in the Stockholders capacity as the beneficial owner of its Shares and not in the Stockholders capacity as a director or officer of the Company,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the Company,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From and after the date hereof until the Expiration Date, the Stockholder will not, and will not permit any entity under such Stockholders control to, take any action that the Company is prohibited from taking pursuant to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Aspen and the Company to publish and disclose in all documents and schedules filed with the SEC, and any press release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the Company Board has (or may be alleged to have) to the Company or to the other Company stockholders; </w:t>
      </w:r>
      <w:r>
        <w:rPr>
          <w:rFonts w:ascii="Times New Roman" w:hAnsi="Times New Roman"/>
          <w:sz w:val="20"/>
          <w:u w:val="single"/>
        </w:rPr>
        <w:t>provided</w:t>
      </w:r>
      <w:r>
        <w:rPr>
          <w:rFonts w:ascii="Times New Roman" w:hAnsi="Times New Roman"/>
          <w:sz w:val="20"/>
        </w:rPr>
        <w:t xml:space="preserve">,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Stockholder is the beneficial owner of the shares of Company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free and clear of any and all Encumbrances (except for any Encumbrance that may be imposed pursuant to this Agreement, the Voting Agreement, the Investors Rights Agreement of the Company, dated as of March 31, 2021 (the </w:t>
      </w:r>
      <w:r>
        <w:rPr>
          <w:rFonts w:ascii="Times New Roman" w:hAnsi="Times New Roman"/>
          <w:sz w:val="20"/>
          <w:u w:val="single"/>
        </w:rPr>
        <w:t>Investors Rights Agreement</w:t>
      </w:r>
      <w:r>
        <w:rPr>
          <w:rFonts w:ascii="Times New Roman" w:hAnsi="Times New Roman"/>
          <w:sz w:val="20"/>
        </w:rPr>
        <w:t xml:space="preserve">), or any lock-up agreement entered into by and between the Stockholder, the Company and Aspen); and (ii) the Stockholder does not beneficially own any securities of the Company other than the shares of Company Capital Stock and rights to purchase shares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Stockholder that is an entity, the Stockholder is duly organized, validly existing and in good standing under the laws of the jurisdiction of its formation and is qualified to conduct its business in those jurisdictions necessary to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 </w:t>
      </w:r>
    </w:p>
    <w:p>
      <w:pPr>
        <w:pStyle w:val="TextBody"/>
        <w:bidi w:val="0"/>
        <w:spacing w:before="120" w:after="0"/>
        <w:jc w:val="left"/>
        <w:rPr>
          <w:rFonts w:ascii="Times New Roman" w:hAnsi="Times New Roman"/>
          <w:sz w:val="20"/>
        </w:rPr>
      </w:pPr>
      <w:r>
        <w:rPr>
          <w:rFonts w:ascii="Times New Roman" w:hAnsi="Times New Roman"/>
          <w:sz w:val="20"/>
        </w:rPr>
        <w:t xml:space="preserve">(g)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Certain Agreements</w:t>
      </w:r>
      <w:r>
        <w:rPr>
          <w:rFonts w:ascii="Times New Roman" w:hAnsi="Times New Roman"/>
          <w:sz w:val="20"/>
        </w:rPr>
        <w:t xml:space="preserve">. Each Stockholder, by this Agreement, and with respect to such Stockholders Shares, severally and not jointly, hereby agrees to terminate, subject to the occurrence of, and effective immediately prior to, the Effective Time, each of (a) the agreements set forth on Appendix B hereto and (b) any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time this Agreement is terminated upon the written agreement of the Stockholder, the Company and Aspen and (c) the Effective Time (the </w:t>
      </w:r>
      <w:r>
        <w:rPr>
          <w:rFonts w:ascii="Times New Roman" w:hAnsi="Times New Roman"/>
          <w:b/>
          <w:i/>
          <w:sz w:val="20"/>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13</w:t>
      </w:r>
      <w:r>
        <w:rPr>
          <w:rFonts w:ascii="Times New Roman" w:hAnsi="Times New Roman"/>
          <w:sz w:val="20"/>
        </w:rPr>
        <w:t xml:space="preserv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survive the termination of this Agreement, and (ii) the termination of this Agreement shall not relieve any party hereto from any liability for fraud or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Further Assurances</w:t>
      </w:r>
      <w:r>
        <w:rPr>
          <w:rFonts w:ascii="Times New Roman" w:hAnsi="Times New Roman"/>
          <w:sz w:val="20"/>
        </w:rPr>
        <w:t xml:space="preserve">.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hAnsi="Times New Roman"/>
          <w:sz w:val="20"/>
          <w:u w:val="single"/>
        </w:rPr>
        <w:t>Section 13(c)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13(k)</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hAnsi="Times New Roman"/>
          <w:sz w:val="20"/>
          <w:u w:val="single"/>
        </w:rPr>
        <w:t>Section 13(d)</w:t>
      </w:r>
      <w:r>
        <w:rPr>
          <w:rFonts w:ascii="Times New Roman" w:hAnsi="Times New Roman"/>
          <w:sz w:val="20"/>
        </w:rPr>
        <w:t xml:space="preserve"> is void.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 Party Rights</w:t>
      </w:r>
      <w:r>
        <w:rPr>
          <w:rFonts w:ascii="Times New Roman" w:hAnsi="Times New Roman"/>
          <w:sz w:val="20"/>
        </w:rPr>
        <w:t xml:space="preserve">. This Agreement is not intended to, and shall not, confer upon any other person any rights or remedies hereunder other than the parties hereto to the extent expressly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3.5 of the Investors Rights Agreement.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hAnsi="Times New Roman"/>
          <w:sz w:val="20"/>
          <w:u w:val="single"/>
        </w:rPr>
        <w:t>Section 13(i)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No Ownership Interest. Nothing contained in this Agreement shall be deemed to vest in the Company any direct or indirect ownership or incidence of ownership of or with respect to the Shares. All rights, ownership and economic benefits of and relating to the Shares shall remain vested in and below to the Stockholder, and the Company shall have no authority to direct the Stockholder in the voting or disposition of any Shares, expect as specifically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(l) Non-Survival of Representations and Warranties. None of the representations and warranties in this Agreement shall survive the Effective Time.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COMPANY: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Tectonic Therapeutic,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ASPEN: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AVROBIO,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Agreement, dated as of March 31, 2021, by and among Tectonic Therapeutic, Inc., the Stockholder, and the other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 of First Refusal and Co-Sale Agreement, dated as of March 31, 2021, by and among Tectonic Therapeutic, Inc., the Stockholder, and the other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Rights Agreement, dated as of March 31, 2021, by and among Tectonic Therapeutic, Inc., the Stockholder, and the other parties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41" w:name="toc770053_205"/>
      <w:bookmarkEnd w:id="341"/>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AVROBIO, Inc., a Delaware corporation (</w:t>
      </w:r>
      <w:r>
        <w:rPr>
          <w:rFonts w:ascii="Times New Roman" w:hAnsi="Times New Roman"/>
          <w:sz w:val="20"/>
          <w:u w:val="single"/>
        </w:rPr>
        <w:t>Aspen</w:t>
      </w:r>
      <w:r>
        <w:rPr>
          <w:rFonts w:ascii="Times New Roman" w:hAnsi="Times New Roman"/>
          <w:sz w:val="20"/>
        </w:rPr>
        <w:t>), is entering into an Agreement and Plan of Merger, dated as of January 30, 2024 (as the same may be amended from time to time, the </w:t>
      </w:r>
      <w:r>
        <w:rPr>
          <w:rFonts w:ascii="Times New Roman" w:hAnsi="Times New Roman"/>
          <w:sz w:val="20"/>
          <w:u w:val="single"/>
        </w:rPr>
        <w:t>Merger Agreement</w:t>
      </w:r>
      <w:r>
        <w:rPr>
          <w:rFonts w:ascii="Times New Roman" w:hAnsi="Times New Roman"/>
          <w:sz w:val="20"/>
        </w:rPr>
        <w:t>) with Alpine Merger Subsidiary, Inc., a Delaware corporation and a wholly owned subsidiary of Aspen, and Tectonic Therapeutic,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Aspen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Aspen,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common stock, $0.0001 par value per share, of Aspen (</w:t>
      </w:r>
      <w:r>
        <w:rPr>
          <w:rFonts w:ascii="Times New Roman" w:hAnsi="Times New Roman"/>
          <w:sz w:val="20"/>
          <w:u w:val="single"/>
        </w:rPr>
        <w:t>Aspen Common Stock</w:t>
      </w:r>
      <w:r>
        <w:rPr>
          <w:rFonts w:ascii="Times New Roman" w:hAnsi="Times New Roman"/>
          <w:sz w:val="20"/>
        </w:rPr>
        <w:t>) or any securities convertible into or exercisable or exchangeable for shares of Aspen Common Stock (including without limitation, (a) shares of Aspen Common Stock or such other securities of Aspen that may be deemed to be owned of record or beneficially (including holding as a custodian) by the undersigned in accordance with the rules and regulations of the SEC, (b) securities of Aspen which may be issued upon exercise of an option to purchase shares of Aspen Common Stock or warrant to purchase shares of Aspen Common Stock or settlement of a restricted stock unit or restricted stock award and (c) Aspen Common Stock or such other securities to be issued to the undersigned in connection with the Merger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Aspen Common Stock or other securities, in cash or otherwise; </w:t>
      </w:r>
    </w:p>
    <w:p>
      <w:pPr>
        <w:pStyle w:val="TextBody"/>
        <w:bidi w:val="0"/>
        <w:spacing w:before="12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Aspen Common Stock or any security convertible into or exercisable or exchangeable for shares of Aspen Common Stock (other than such rights set forth in the Merger Agreement or the Subscription Agreement); or </w:t>
      </w:r>
    </w:p>
    <w:p>
      <w:pPr>
        <w:pStyle w:val="TextBody"/>
        <w:bidi w:val="0"/>
        <w:spacing w:before="120" w:after="0"/>
        <w:jc w:val="left"/>
        <w:rPr>
          <w:rFonts w:ascii="Times New Roman" w:hAnsi="Times New Roman"/>
          <w:sz w:val="20"/>
        </w:rPr>
      </w:pPr>
      <w:r>
        <w:rPr>
          <w:rFonts w:ascii="Times New Roman" w:hAnsi="Times New Roman"/>
          <w:sz w:val="20"/>
        </w:rPr>
        <w:t xml:space="preserve">(4) publicly disclose the intention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120" w:after="0"/>
        <w:jc w:val="left"/>
        <w:rPr>
          <w:rFonts w:ascii="Times New Roman" w:hAnsi="Times New Roman"/>
          <w:sz w:val="20"/>
        </w:rPr>
      </w:pPr>
      <w:r>
        <w:rPr>
          <w:rFonts w:ascii="Times New Roman" w:hAnsi="Times New Roman"/>
          <w:sz w:val="20"/>
        </w:rPr>
        <w:t xml:space="preserve">(1) (A) to any person related to the undersigned (or related to an ultimate beneficial owner of the undersigned) by blood or adoption who is an immediate family member of the undersigned, or by marriage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domestic partnership (a </w:t>
      </w:r>
      <w:r>
        <w:rPr>
          <w:rFonts w:ascii="Times New Roman" w:hAnsi="Times New Roman"/>
          <w:sz w:val="20"/>
          <w:u w:val="single"/>
        </w:rPr>
        <w:t>Family Member</w:t>
      </w:r>
      <w:r>
        <w:rPr>
          <w:rFonts w:ascii="Times New Roman" w:hAnsi="Times New Roman"/>
          <w:sz w:val="20"/>
        </w:rPr>
        <w:t xml:space="preserve">), or to a trust formed for the direct or indirect benefit of the undersigned or any of the undersigneds Family Members, (B) to the undersigneds estate, following the death of the undersigned, by will, intestacy or other operation of Law, (C) as a bona fide gift to a charitable organization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p>
      <w:pPr>
        <w:pStyle w:val="TextBody"/>
        <w:bidi w:val="0"/>
        <w:spacing w:before="24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 partnership, limited liability company or other business entity</w:t>
      </w:r>
      <w:r>
        <w:rPr>
          <w:rFonts w:ascii="Times New Roman" w:hAnsi="Times New Roman"/>
          <w:sz w:val="20"/>
        </w:rPr>
        <w:t>, (A) to another corporation, partnership, limited liability company or other business entity that is a direct or indirect affiliate (as defined under Rule 12b-2 of the Securities Exchange Act of 1934, as amended (the </w:t>
      </w:r>
      <w:r>
        <w:rPr>
          <w:rFonts w:ascii="Times New Roman" w:hAnsi="Times New Roman"/>
          <w:sz w:val="20"/>
          <w:u w:val="single"/>
        </w:rPr>
        <w:t>Exchange Act</w:t>
      </w:r>
      <w:r>
        <w:rPr>
          <w:rFonts w:ascii="Times New Roman" w:hAnsi="Times New Roman"/>
          <w:sz w:val="20"/>
        </w:rPr>
        <w:t xml:space="preserve">)) of the undersigned, including investment funds or other business entities that control or manage, are under common control or management with, or are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to a charitable organization or a charitable contribution or otherwise to a trust or other entity for the direct or indirect benefit of a Family Member of a beneficial owner (as defined in Rule 13d-3 of the Exchange Act) of the Undersigneds Shares or (D) transfers or dispositions not involving a change in beneficial ownership; or </w:t>
      </w:r>
    </w:p>
    <w:p>
      <w:pPr>
        <w:pStyle w:val="TextBody"/>
        <w:bidi w:val="0"/>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1(A), 1(E) or 2(A)) and each donee, heir, beneficiary or other transferee or distributee shall sign and deliver to Aspen a lock-up agreement in substantially the form of this Lock-Up Agreement with respect to the shares of Aspen Common Stock or such other securities that have been so transferred or distributed; </w:t>
      </w:r>
    </w:p>
    <w:p>
      <w:pPr>
        <w:pStyle w:val="TextBody"/>
        <w:bidi w:val="0"/>
        <w:spacing w:before="120" w:after="0"/>
        <w:jc w:val="left"/>
        <w:rPr>
          <w:rFonts w:ascii="Times New Roman" w:hAnsi="Times New Roman"/>
          <w:sz w:val="20"/>
        </w:rPr>
      </w:pPr>
      <w:r>
        <w:rPr>
          <w:rFonts w:ascii="Times New Roman" w:hAnsi="Times New Roman"/>
          <w:sz w:val="20"/>
        </w:rPr>
        <w:t xml:space="preserve">(b) the exercise of an option to purchase shares of Aspen Common Stock (including a net or cashless exercise of an option to purchase shares of Aspen Common Stock), and any related transfer of shares of Aspen Common Stock to Aspen for the purpose of paying the exercise price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Aspen Common Stock issued in connection with such exercise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 transfers to Aspen in connection with the net settlement of any restricted stock unit or other equity award that represents the right to receive in the future shares of Aspen Common Stock, settled in shares of Aspen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Aspen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establishment of a trading plan pursuant to Rule 10b5-1 under the Exchange Act for the transfer of shares of Aspen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Aspen Common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 transfers or sales by the undersigned of shares of Aspen Common Stock purchased by the undersigned on the open market or in a public offering by Aspen, in each case following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transfers pursuant to a bona-fide third party tender offer, merger, consolidation or other similar transaction made to all holders of Aspens capital stock involving a change of control of Aspen (including entering into any lock-up, voting or similar agreement pursuant to which the undersigned may agree to transfer, sell, tender or otherwise dispose of shares of Aspen Common Stock (or any security convertible into or exercisable for Aspen Common Stock), or vote any shares of Aspen Common Stock in favor of any such transaction or taking any other action in connection with any such transaction),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transfers by the undersigned of shares of Aspen Common Stock to Aspen in connection with the termination of employment or other termination of the undersigned and pursuant to agreements in effect as of the Effective Time whereby Aspen has the option to repurchase such shares or securities; </w:t>
      </w:r>
    </w:p>
    <w:p>
      <w:pPr>
        <w:pStyle w:val="TextBody"/>
        <w:bidi w:val="0"/>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(i) transfers or sales by the undersigned of shares of Aspen Common Stock issued pursuant to the Merger Agreement in respect of shares of the Company purchased from the Company in the Concurrent Investment immediately prior to the Specified Time; or </w:t>
      </w:r>
    </w:p>
    <w:p>
      <w:pPr>
        <w:pStyle w:val="TextBody"/>
        <w:bidi w:val="0"/>
        <w:spacing w:before="120" w:after="0"/>
        <w:jc w:val="left"/>
        <w:rPr>
          <w:rFonts w:ascii="Times New Roman" w:hAnsi="Times New Roman"/>
          <w:sz w:val="20"/>
        </w:rPr>
      </w:pPr>
      <w:r>
        <w:rPr>
          <w:rFonts w:ascii="Times New Roman" w:hAnsi="Times New Roman"/>
          <w:sz w:val="20"/>
        </w:rPr>
        <w:t xml:space="preserve">(j) sales or other transfers with the prior written consent of Aspen.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as the case may be) under Section 16 of the Exchange Act or other public announcement shall be made voluntarily reporting a reduction in beneficial ownership of shares of Aspen Common Stock or in beneficial ownership of any securities convertible into or exercisable or exchangeable for Aspen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Aspen Common Stock in connection with such transfer or distribution, shall be required under applicable federal and state securities laws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Aspens voting securities if, after such transfer, Aspens stockholders as of immediately prior to such transfer do not hold a majority of the outstanding voting securities of Aspen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Aspen. In furtherance of the foregoing, the undersigned agrees that Aspen and any duly appointed transfer agent for the registration or transfer of the securities described herein are hereby authorized to decline to make any transfer of securities if such transfer would constitute a violation or breach of this Lock-Up Agreement. Aspen may cause the legend set forth below, or a legend substantially equivalent thereto, to be placed upon any certificate(s) or other documents, ledgers or instruments evidencing the undersigneds ownership of Aspen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Lock-Up Agreement represents a contractual agreement between the parties hereto, and to the extent any term of this Lock-Up Agreement (as amended, supplemented, restated or otherwise modified from time to time) directly conflicts with the terms of Aspens bylaws, as amended, the terms of this Lock-Up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terminate automatically, and the undersigned shall automatically be released from all restrictions and obligations under this Lock-Up Agreement upon the earlier of the (i) the expiration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Restricted Period and (ii) if the Merger Agreement is terminated for any reason, upon the date of such termination. The undersigned understands that Aspen and the Company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herein, any and all remedies herein expressly conferred upon Aspen and the Company will be deemed cumulative with and not exclusive of any other remedy conferred hereby, or by Law or equity, and the exercise by Aspen and/or the Company of any one remedy will not preclude the exercise of any other remedy. The undersigned agrees that irreparable damage for which monetary damages, even if available, would not be an adequate remedy, would occur to Aspen and the Company in the event that any provision of this Lock-Up Agreement was not performed in accordance with its specific terms (including failing to take such actions as are required of it hereunder to consummate this Agreement) or were otherwise breached. It is accordingly agreed that Aspen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Aspen and the Company are entitled at Law or in equity, and the undersigned waives any bond, surety or other security that might be required of Aspen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Aspens securities that are subject to a substantially similar agreement entered into by such holder, other than the undersigned, is permitted by Aspen to sell or otherwise transfer or dispose of shares of Aspen Common Stock for value other than as permitted by this or a substantially similar agreement entered into by such holder (whether in one or multiple releases or waivers), the same percentage of shares of Aspen Common Stock held by the undersigned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Aspen to an equity holder or equity holders to sell or otherwise transfer or dispose of all or a portion of such equity holders shares of Aspen Common Stock that, when combined with all such other such permissions and early releases granted to such equity holder, represents an amount which exceeds 1% of the number of shares of Aspen Common Stock originally subject to a substantially similar agreement. In the event of any Pro-Rata Release, Aspen shall promptly (and in any event within three (3) business days of such release) inform the undersigned of the terms of such Pro-Rata Release.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Aspen shall reasonably cooperate with the undersigned to facilitate the timely preparation and delivery of certificates representing the Undersigned Shares without the restrictive legend above or the withdrawal of any stop transfer instructions by virtue of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counterparts, each of which shall be deemed an original and all of which shall constitute one and the same instrument. The exchange of a fully executed Lock-Up Agreement (in counterparts or otherwise) by all parties by electronic transmission in PDF format shall be sufficient to bind the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4797"/>
        <w:gridCol w:w="102"/>
        <w:gridCol w:w="412"/>
        <w:gridCol w:w="102"/>
        <w:gridCol w:w="4792"/>
      </w:tblGrid>
      <w:tr>
        <w:trPr/>
        <w:tc>
          <w:tcPr>
            <w:tcW w:w="479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2" w:type="dxa"/>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306" w:type="dxa"/>
            <w:gridSpan w:val="3"/>
            <w:tcBorders/>
          </w:tcPr>
          <w:p>
            <w:pPr>
              <w:pStyle w:val="TableContents"/>
              <w:bidi w:val="0"/>
              <w:spacing w:before="0" w:after="283"/>
              <w:jc w:val="left"/>
              <w:rPr/>
            </w:pPr>
            <w:r>
              <w:rPr/>
              <w:t>Very truly yours,</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408" w:type="dxa"/>
            <w:gridSpan w:val="4"/>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right"/>
              <w:rPr/>
            </w:pPr>
            <w:r>
              <w:rPr/>
              <w:t>Print Name of Stockholder:</w:t>
            </w:r>
          </w:p>
        </w:tc>
        <w:tc>
          <w:tcPr>
            <w:tcW w:w="102" w:type="dxa"/>
            <w:tcBorders/>
            <w:vAlign w:val="bottom"/>
          </w:tcPr>
          <w:p>
            <w:pPr>
              <w:pStyle w:val="TableContents"/>
              <w:bidi w:val="0"/>
              <w:spacing w:before="0" w:after="283"/>
              <w:jc w:val="left"/>
              <w:rPr/>
            </w:pPr>
            <w:r>
              <w:rPr/>
              <w:t> </w:t>
            </w:r>
          </w:p>
        </w:tc>
        <w:tc>
          <w:tcPr>
            <w:tcW w:w="5306" w:type="dxa"/>
            <w:gridSpan w:val="3"/>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306" w:type="dxa"/>
            <w:gridSpan w:val="3"/>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306" w:type="dxa"/>
            <w:gridSpan w:val="3"/>
            <w:tcBorders/>
          </w:tcPr>
          <w:p>
            <w:pPr>
              <w:pStyle w:val="TableContents"/>
              <w:bidi w:val="0"/>
              <w:spacing w:before="0" w:after="283"/>
              <w:jc w:val="left"/>
              <w:rPr/>
            </w:pPr>
            <w:r>
              <w:rPr/>
              <w:t>Signature (for individuals):</w:t>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306" w:type="dxa"/>
            <w:gridSpan w:val="3"/>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306" w:type="dxa"/>
            <w:gridSpan w:val="3"/>
            <w:tcBorders/>
          </w:tcPr>
          <w:p>
            <w:pPr>
              <w:pStyle w:val="TableContents"/>
              <w:bidi w:val="0"/>
              <w:spacing w:before="0" w:after="283"/>
              <w:jc w:val="left"/>
              <w:rPr/>
            </w:pPr>
            <w:r>
              <w:rPr/>
              <w:t>Signature (for entities):</w:t>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2" w:type="dxa"/>
            <w:tcBorders/>
          </w:tcPr>
          <w:p>
            <w:pPr>
              <w:pStyle w:val="TableContents"/>
              <w:bidi w:val="0"/>
              <w:spacing w:before="0" w:after="283"/>
              <w:jc w:val="left"/>
              <w:rPr/>
            </w:pPr>
            <w:r>
              <w:rPr/>
              <w:t>By: </w:t>
            </w:r>
          </w:p>
        </w:tc>
        <w:tc>
          <w:tcPr>
            <w:tcW w:w="102" w:type="dxa"/>
            <w:tcBorders/>
            <w:vAlign w:val="bottom"/>
          </w:tcPr>
          <w:p>
            <w:pPr>
              <w:pStyle w:val="TableContents"/>
              <w:bidi w:val="0"/>
              <w:spacing w:before="0" w:after="283"/>
              <w:jc w:val="left"/>
              <w:rPr/>
            </w:pPr>
            <w:r>
              <w:rPr/>
              <w:t> </w:t>
            </w:r>
          </w:p>
        </w:tc>
        <w:tc>
          <w:tcPr>
            <w:tcW w:w="4792" w:type="dxa"/>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2" w:type="dxa"/>
            <w:tcBorders/>
          </w:tcPr>
          <w:p>
            <w:pPr>
              <w:pStyle w:val="TableContents"/>
              <w:bidi w:val="0"/>
              <w:spacing w:before="0" w:after="283"/>
              <w:jc w:val="left"/>
              <w:rPr/>
            </w:pPr>
            <w:r>
              <w:rPr/>
              <w:t>Name:</w:t>
            </w:r>
          </w:p>
        </w:tc>
      </w:tr>
      <w:tr>
        <w:trPr/>
        <w:tc>
          <w:tcPr>
            <w:tcW w:w="479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left"/>
        <w:tblInd w:w="0" w:type="dxa"/>
        <w:tblLayout w:type="fixed"/>
        <w:tblCellMar>
          <w:top w:w="0" w:type="dxa"/>
          <w:left w:w="0" w:type="dxa"/>
          <w:bottom w:w="0" w:type="dxa"/>
          <w:right w:w="0" w:type="dxa"/>
        </w:tblCellMar>
      </w:tblPr>
      <w:tblGrid>
        <w:gridCol w:w="699"/>
        <w:gridCol w:w="60"/>
        <w:gridCol w:w="3323"/>
      </w:tblGrid>
      <w:tr>
        <w:trPr/>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AVROBIO,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pBdr>
                <w:bottom w:val="single" w:sz="2" w:space="1" w:color="000000"/>
              </w:pBdr>
              <w:bidi w:val="0"/>
              <w:spacing w:before="0" w:after="20"/>
              <w:jc w:val="left"/>
              <w:rPr/>
            </w:pPr>
            <w:r>
              <w:rPr/>
              <w:t> </w:t>
            </w:r>
          </w:p>
        </w:tc>
      </w:tr>
      <w:tr>
        <w:trPr/>
        <w:tc>
          <w:tcPr>
            <w:tcW w:w="69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Erik Ostrowski</w:t>
            </w:r>
          </w:p>
        </w:tc>
      </w:tr>
      <w:tr>
        <w:trPr/>
        <w:tc>
          <w:tcPr>
            <w:tcW w:w="69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Interim CEO, CFO</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Tectonic Therapeutic,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pBdr>
                <w:bottom w:val="single" w:sz="2" w:space="1" w:color="000000"/>
              </w:pBdr>
              <w:bidi w:val="0"/>
              <w:spacing w:before="0" w:after="20"/>
              <w:jc w:val="left"/>
              <w:rPr/>
            </w:pPr>
            <w:r>
              <w:rPr/>
              <w:t> </w:t>
            </w:r>
          </w:p>
        </w:tc>
      </w:tr>
      <w:tr>
        <w:trPr/>
        <w:tc>
          <w:tcPr>
            <w:tcW w:w="69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42" w:name="toc770053_206"/>
      <w:bookmarkEnd w:id="342"/>
      <w:r>
        <w:rPr>
          <w:rFonts w:ascii="Times New Roman" w:hAnsi="Times New Roman"/>
          <w:b/>
          <w:sz w:val="20"/>
        </w:rPr>
        <w:t xml:space="preserve">Annex F </w:t>
      </w:r>
    </w:p>
    <w:p>
      <w:pPr>
        <w:pStyle w:val="TextBody"/>
        <w:bidi w:val="0"/>
        <w:spacing w:before="240" w:after="0"/>
        <w:jc w:val="right"/>
        <w:rPr>
          <w:rFonts w:ascii="Times New Roman" w:hAnsi="Times New Roman"/>
          <w:b/>
          <w:i/>
          <w:sz w:val="20"/>
        </w:rPr>
      </w:pPr>
      <w:r>
        <w:rPr>
          <w:rFonts w:ascii="Times New Roman" w:hAnsi="Times New Roman"/>
          <w:b/>
          <w:i/>
          <w:sz w:val="20"/>
        </w:rPr>
        <w:t xml:space="preserve">FINAL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CONTINGENT VALUE RIGHTS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[_____], 2024, is entered into by and among AVROBIO, Inc., a Delaware corporation (the </w:t>
      </w:r>
      <w:r>
        <w:rPr>
          <w:rFonts w:ascii="Times New Roman" w:hAnsi="Times New Roman"/>
          <w:b/>
          <w:sz w:val="20"/>
        </w:rPr>
        <w:t>Company</w:t>
      </w:r>
      <w:r>
        <w:rPr>
          <w:rFonts w:ascii="Times New Roman" w:hAnsi="Times New Roman"/>
          <w:sz w:val="20"/>
        </w:rPr>
        <w:t>) and [_____], a [_____] corporation (</w:t>
      </w:r>
      <w:r>
        <w:rPr>
          <w:rFonts w:ascii="Times New Roman" w:hAnsi="Times New Roman"/>
          <w:b/>
          <w:sz w:val="20"/>
        </w:rPr>
        <w:t>Rights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Alpine Merger Subsidiary, Inc., a Delaware corporation and wholly-owned subsidiary of the Company (</w:t>
      </w:r>
      <w:r>
        <w:rPr>
          <w:rFonts w:ascii="Times New Roman" w:hAnsi="Times New Roman"/>
          <w:b/>
          <w:sz w:val="20"/>
        </w:rPr>
        <w:t>Merger Sub</w:t>
      </w:r>
      <w:r>
        <w:rPr>
          <w:rFonts w:ascii="Times New Roman" w:hAnsi="Times New Roman"/>
          <w:sz w:val="20"/>
        </w:rPr>
        <w:t>), and Tectonic Therapeutic, Inc., a Delaware corporation (</w:t>
      </w:r>
      <w:r>
        <w:rPr>
          <w:rFonts w:ascii="Times New Roman" w:hAnsi="Times New Roman"/>
          <w:b/>
          <w:sz w:val="20"/>
        </w:rPr>
        <w:t>Tyrol</w:t>
      </w:r>
      <w:r>
        <w:rPr>
          <w:rFonts w:ascii="Times New Roman" w:hAnsi="Times New Roman"/>
          <w:sz w:val="20"/>
        </w:rPr>
        <w:t>), have entered into an Agreement and Plan of Merger and Reorganization, dated as of January 30, 2024 (the </w:t>
      </w:r>
      <w:r>
        <w:rPr>
          <w:rFonts w:ascii="Times New Roman" w:hAnsi="Times New Roman"/>
          <w:b/>
          <w:sz w:val="20"/>
        </w:rPr>
        <w:t>Merger Agreement</w:t>
      </w:r>
      <w:r>
        <w:rPr>
          <w:rFonts w:ascii="Times New Roman" w:hAnsi="Times New Roman"/>
          <w:sz w:val="20"/>
        </w:rPr>
        <w:t xml:space="preserve">), pursuant to which Merger Sub will merge with and into Tyrol, with Tyrol surviving the Merger as a wholly-owned subsidiary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provide to the Holders (as defined herein) contingent value rights as hereinafter described;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have done all things reasonably necessary to make the contingent value rights, when issued pursuant to the Merger Agreement and hereunder, the valid obligations of the Company and to make this Agreement a valid and binding agreement of the Company,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Acting Holders</w:t>
      </w:r>
      <w:r>
        <w:rPr>
          <w:rFonts w:ascii="Times New Roman" w:hAnsi="Times New Roman"/>
          <w:sz w:val="20"/>
        </w:rPr>
        <w:t xml:space="preserve"> means, at the time of determination, the Holders of more than 30% of the outstanding CVRs, as reflected on the CVR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Assignee</w:t>
      </w:r>
      <w:r>
        <w:rPr>
          <w:rFonts w:ascii="Times New Roman" w:hAnsi="Times New Roman"/>
          <w:sz w:val="20"/>
        </w:rPr>
        <w:t xml:space="preserve"> has the meaning set forth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Calendar Quarter</w:t>
      </w:r>
      <w:r>
        <w:rPr>
          <w:rFonts w:ascii="Times New Roman" w:hAnsi="Times New Roman"/>
          <w:sz w:val="20"/>
        </w:rPr>
        <w:t xml:space="preserve"> means the successive periods of three (3) consecutive calendar months ending on March 31, June 30, September 30 or December 31, for so long as this Agreement is in effect; </w:t>
      </w:r>
      <w:r>
        <w:rPr>
          <w:rFonts w:ascii="Times New Roman" w:hAnsi="Times New Roman"/>
          <w:i/>
          <w:sz w:val="20"/>
        </w:rPr>
        <w:t>provided</w:t>
      </w:r>
      <w:r>
        <w:rPr>
          <w:rFonts w:ascii="Times New Roman" w:hAnsi="Times New Roman"/>
          <w:sz w:val="20"/>
        </w:rPr>
        <w:t xml:space="preserve">, however that (a) the first Calendar Quarter shall commence on the date of this Agreement and shall end on the first such occurrence of a March 31, June 30, September 30 or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Commercially Reasonable Efforts</w:t>
      </w:r>
      <w:r>
        <w:rPr>
          <w:rFonts w:ascii="Times New Roman" w:hAnsi="Times New Roman"/>
          <w:sz w:val="20"/>
        </w:rPr>
        <w:t xml:space="preserve"> means with respect to the disposition of the Company Pre-Closing Assets, carrying out those obligations and tasks in good faith following receipt of a bona fide indication of interest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proposal from a third party (verbal (provided that any such verbal offer must be subsequently delivered in writing, which the Company shall request) or written) (</w:t>
      </w:r>
      <w:r>
        <w:rPr>
          <w:rFonts w:ascii="Times New Roman" w:hAnsi="Times New Roman"/>
          <w:b/>
          <w:sz w:val="20"/>
        </w:rPr>
        <w:t>Inbound Interest</w:t>
      </w:r>
      <w:r>
        <w:rPr>
          <w:rFonts w:ascii="Times New Roman" w:hAnsi="Times New Roman"/>
          <w:sz w:val="20"/>
        </w:rPr>
        <w:t xml:space="preserve">) delivered or otherwise made known to an executive officer or business development officer of the Company, taking into account all commercial and other relevant factors that the Company, exercising good faith, would normally take into account with respect to a disposition of assets; provided that Commercially Reasonable Efforts shall not require the Company to initiate any bona fide sale process or other proactive efforts to identify potential counterparties with respect to any Company Pre-Closing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Common Stock</w:t>
      </w:r>
      <w:r>
        <w:rPr>
          <w:rFonts w:ascii="Times New Roman" w:hAnsi="Times New Roman"/>
          <w:sz w:val="20"/>
        </w:rPr>
        <w:t xml:space="preserve"> means the common stock, $0.0001 par value,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Pre-Closing Assets</w:t>
      </w:r>
      <w:r>
        <w:rPr>
          <w:rFonts w:ascii="Times New Roman" w:hAnsi="Times New Roman"/>
          <w:sz w:val="20"/>
        </w:rPr>
        <w:t xml:space="preserve"> means those assets of the Company, to the extent existing as of immediately prior to the Closing, relating to (a) the Companys plato manufacturing platform, (b) the Companys AVR-RD-01 (Fabry), AVR-RD-02 (Gaucher), and/or AVR-RD-03 (Pompe) research and development programs, and (c) the Companys Intellectual Property set forth in Section 4.12(a) of the Aspen Disclosure Schedule.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w:t>
      </w:r>
      <w:r>
        <w:rPr>
          <w:rFonts w:ascii="Times New Roman" w:hAnsi="Times New Roman"/>
          <w:sz w:val="20"/>
        </w:rPr>
        <w:t xml:space="preserve"> means a contingent contractual right of Holders to receive CVR Payments pursuant to the Merger Agreement and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Payment</w:t>
      </w:r>
      <w:r>
        <w:rPr>
          <w:rFonts w:ascii="Times New Roman" w:hAnsi="Times New Roman"/>
          <w:sz w:val="20"/>
        </w:rPr>
        <w:t xml:space="preserve"> means a cash payment equal to eighty percent (80%) of the Net Proceeds received by the Company in a given Calendar Quarter during the CVR Term, with the remaining twenty percent (20%) being retained by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Payment Amount</w:t>
      </w:r>
      <w:r>
        <w:rPr>
          <w:rFonts w:ascii="Times New Roman" w:hAnsi="Times New Roman"/>
          <w:sz w:val="20"/>
        </w:rPr>
        <w:t xml:space="preserve"> means with respect to each CVR Payment and each Holder, an amount equal to such CVR Payment divided by the total number of CVRs and then multiplied by the total number of CVRs held by such Holder as reflected on the CVR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Payment Period</w:t>
      </w:r>
      <w:r>
        <w:rPr>
          <w:rFonts w:ascii="Times New Roman" w:hAnsi="Times New Roman"/>
          <w:sz w:val="20"/>
        </w:rPr>
        <w:t xml:space="preserve"> means a period equal to a Calendar Quarter ending at any time after the effective date of a Disposition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Payment Statement</w:t>
      </w:r>
      <w:r>
        <w:rPr>
          <w:rFonts w:ascii="Times New Roman" w:hAnsi="Times New Roman"/>
          <w:sz w:val="20"/>
        </w:rPr>
        <w:t xml:space="preserve"> means, for a given CVR Payment Period during the CVR Term, a written statement of the Company, signed on behalf of the Company, setting forth in reasonable detail the calculation of the applicable CVR Payment for such CVR Payment Period. </w:t>
      </w:r>
    </w:p>
    <w:p>
      <w:pPr>
        <w:pStyle w:val="TextBody"/>
        <w:bidi w:val="0"/>
        <w:spacing w:before="240" w:after="0"/>
        <w:jc w:val="left"/>
        <w:rPr>
          <w:rFonts w:ascii="Times New Roman" w:hAnsi="Times New Roman"/>
          <w:sz w:val="20"/>
        </w:rPr>
      </w:pPr>
      <w:r>
        <w:rPr>
          <w:rFonts w:ascii="Times New Roman" w:hAnsi="Times New Roman"/>
          <w:b/>
          <w:sz w:val="20"/>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Term</w:t>
      </w:r>
      <w:r>
        <w:rPr>
          <w:rFonts w:ascii="Times New Roman" w:hAnsi="Times New Roman"/>
          <w:sz w:val="20"/>
        </w:rPr>
        <w:t xml:space="preserve"> means the period beginning on the Closing and ending upon the tenth (10th) anniversary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Disposition</w:t>
      </w:r>
      <w:r>
        <w:rPr>
          <w:rFonts w:ascii="Times New Roman" w:hAnsi="Times New Roman"/>
          <w:sz w:val="20"/>
        </w:rPr>
        <w:t> or </w:t>
      </w:r>
      <w:r>
        <w:rPr>
          <w:rFonts w:ascii="Times New Roman" w:hAnsi="Times New Roman"/>
          <w:b/>
          <w:sz w:val="20"/>
        </w:rPr>
        <w:t>Dispose</w:t>
      </w:r>
      <w:r>
        <w:rPr>
          <w:rFonts w:ascii="Times New Roman" w:hAnsi="Times New Roman"/>
          <w:sz w:val="20"/>
        </w:rPr>
        <w:t xml:space="preserve"> means the direct or indirect sale, license, assignment, transfer, conveyance, grant of any option or other disposition of any Company Pre-Closing Asset by the Company or its Affiliates (including any such sale or disposition of equity securities in any Subsidiary established by the Company or its Affiliates to hold any right, title or interest in or to any Company Pre-Closing Asset), in each case, during the Disposition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Disposition Agreement</w:t>
      </w:r>
      <w:r>
        <w:rPr>
          <w:rFonts w:ascii="Times New Roman" w:hAnsi="Times New Roman"/>
          <w:sz w:val="20"/>
        </w:rPr>
        <w:t xml:space="preserve"> means a definitive written agreement providing for a transaction or series of transactions between the Company or its Affiliates and any Person who is not an Affiliate of the Company regarding a Disposition of the Company Pre-Closing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Disposition Period</w:t>
      </w:r>
      <w:r>
        <w:rPr>
          <w:rFonts w:ascii="Times New Roman" w:hAnsi="Times New Roman"/>
          <w:sz w:val="20"/>
        </w:rPr>
        <w:t xml:space="preserve"> means the period beginning on the execution date of the Merger Agreement and ending on the date that is eighteen (18) months after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DTC</w:t>
      </w:r>
      <w:r>
        <w:rPr>
          <w:rFonts w:ascii="Times New Roman" w:hAnsi="Times New Roman"/>
          <w:sz w:val="20"/>
        </w:rPr>
        <w:t xml:space="preserve"> means The Depository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Gross Proceeds</w:t>
      </w:r>
      <w:r>
        <w:rPr>
          <w:rFonts w:ascii="Times New Roman" w:hAnsi="Times New Roman"/>
          <w:sz w:val="20"/>
        </w:rPr>
        <w:t xml:space="preserve"> means, without duplication, the sum of all cash consideration and the value of any marketable consideration actually received by the Company or any of its Affiliates during the CVR Term with respect to a Disposition, solely as such consideration relates to a Company Pre-Closing Asset. The value of any marketable securities (whether debt or equity) or other non-cash property constituting Gross Proceeds shall be determined as follows: (i) if a value was ascribed to any such securities or property in connection with such Disposition, such value so ascribed or (ii) if no value was ascribed, then (A) the value of securities for which there is an established public market shall be equal to the volume weighted average of their closing market prices for the thirty (30) trading days ending the day prior to the date of payment to, or receipt by the Company or its relevant Affiliate, and (B) the value of securities that have no established public market and the value of consideration that consists of other non-cash property, shall be the fair market value thereof as of the date of payment to, or receipt by, the Company or its relevant Affiliate.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Loss</w:t>
      </w:r>
      <w:r>
        <w:rPr>
          <w:rFonts w:ascii="Times New Roman" w:hAnsi="Times New Roman"/>
          <w:sz w:val="20"/>
        </w:rPr>
        <w:t xml:space="preserve"> has the meaning set forth in </w:t>
      </w:r>
      <w:r>
        <w:rPr>
          <w:rFonts w:ascii="Times New Roman" w:hAnsi="Times New Roman"/>
          <w:sz w:val="20"/>
          <w:u w:val="single"/>
        </w:rPr>
        <w:t>Section 3.2(g)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Net Proceeds</w:t>
      </w:r>
      <w:r>
        <w:rPr>
          <w:rFonts w:ascii="Times New Roman" w:hAnsi="Times New Roman"/>
          <w:sz w:val="20"/>
        </w:rPr>
        <w:t xml:space="preserve"> means, for any CVR Payment Period, Gross Proceeds minus Permitted Deductions, all as calculated, to the extent in accordance with GAAP, in a manner consistent with the Companys accounting practices in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Notice</w:t>
      </w:r>
      <w:r>
        <w:rPr>
          <w:rFonts w:ascii="Times New Roman" w:hAnsi="Times New Roman"/>
          <w:sz w:val="20"/>
        </w:rPr>
        <w:t xml:space="preserve"> has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Permitted Deductions</w:t>
      </w:r>
      <w:r>
        <w:rPr>
          <w:rFonts w:ascii="Times New Roman" w:hAnsi="Times New Roman"/>
          <w:sz w:val="20"/>
        </w:rPr>
        <w:t xml:space="preserve"> means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transfer, stamp or sales taxes) imposed on Gross Proceeds and payable by Tyrol, the Company or any of their respective Affiliates (regardless of whether the due date for such Taxes arises during or after the Disposition Period) and, without duplication, any income or other similar Taxes payable by Tyrol, the Company or any of their respective Affiliates that would not have been incurred by Tyrol, the Company or any of their respective Affiliates but for the Gross Proceeds; provided that, for purposes of calculating income Taxes incurred by Tyrol, the Company or any of their respective Affiliates in respect of the Gross Proceeds, any such income Taxes shall be computed (i) assuming that the only items of gross income of Tyrol, the Company and their subsidiaries are the applicable items of Gross Proceeds (for the avoidance of doubt, assuming that such items of Gross Proceeds are taxable in the hands of Tyrol, the Company or their subsidiaries, as applicable, no later than the taxable year that includes the corresponding CVR Payment Amount), (ii) assuming that the only items of expenses, losses, credits or other deductions of Tyrol, the Company and their subsidiaries are those items of expense, loss, credit and deduction (including net operating loss carryforwards or other Tax attributes) of the Company or its Affiliates existing as of immediately prior to the Closing for U.S. federal income tax purposes and applicable state and local income tax purposes that are actually usable by Tyrol, the Company or their subsidiaries, as applicable, in the tax year of receipt of the applicable items of Gross Proceeds, to the extent such net operating loss carryforwards and other items are permitted by Law to be, and are, taken as a deduction in such taxable year (for the sake of clarity, (1) taking into account any limits on the usability of such attributes, including under Section 382 of the Code as determined by the Companys tax advisers, including, but not limited to, as a result of the transactions contemplated by the Merger Agreement and (2) excluding any net operating losses or other Tax attributes generated by Tyrol, the Company or any of their respective Affiliates after the Closing, including by reason of any acquisition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(iii) all such items of Gross Proceeds are taxed in the hands of Tyrol, the Company or their subsidiaries, as applicable, at the highest applicable marginal income or other similar U.S. federal, state, local and non-U.S. tax rate; </w:t>
      </w:r>
    </w:p>
    <w:p>
      <w:pPr>
        <w:pStyle w:val="TextBody"/>
        <w:bidi w:val="0"/>
        <w:spacing w:before="120" w:after="0"/>
        <w:jc w:val="left"/>
        <w:rPr>
          <w:rFonts w:ascii="Times New Roman" w:hAnsi="Times New Roman"/>
          <w:sz w:val="20"/>
        </w:rPr>
      </w:pPr>
      <w:r>
        <w:rPr>
          <w:rFonts w:ascii="Times New Roman" w:hAnsi="Times New Roman"/>
          <w:sz w:val="20"/>
        </w:rPr>
        <w:t xml:space="preserve">(b) any reasonable and documented out-of-pocket costs and expenses incurred by the Company or any of its Affiliates in respect to its performance of this Agreement following the Closing, including any costs related to the prosecution, maintenance or enforcement by the Company or any of its Subsidiaries of intellectual property rights (but excluding any costs related to a breach of this Agreement, including costs incurred in litigation in respect of the same); </w:t>
      </w:r>
    </w:p>
    <w:p>
      <w:pPr>
        <w:pStyle w:val="TextBody"/>
        <w:bidi w:val="0"/>
        <w:spacing w:before="120" w:after="0"/>
        <w:jc w:val="left"/>
        <w:rPr>
          <w:rFonts w:ascii="Times New Roman" w:hAnsi="Times New Roman"/>
          <w:sz w:val="20"/>
        </w:rPr>
      </w:pPr>
      <w:r>
        <w:rPr>
          <w:rFonts w:ascii="Times New Roman" w:hAnsi="Times New Roman"/>
          <w:sz w:val="20"/>
        </w:rPr>
        <w:t xml:space="preserve">(c) any reasonable and documented out-of-pocket expenses incurred or accrued by the Company or any of its Affiliates in connection with the negotiation, entry into and closing of any Disposition of any Company Pre-Closing Asset, including any brokerage fee, finders fee, opinion fee, success fee, transaction fee, service fee or other fee, commission or expense owed to any broker, finder, investment bank, auditor, accountant, counsel, advisor or other third party in relation thereto; </w:t>
      </w:r>
    </w:p>
    <w:p>
      <w:pPr>
        <w:pStyle w:val="TextBody"/>
        <w:bidi w:val="0"/>
        <w:spacing w:before="240" w:after="0"/>
        <w:jc w:val="left"/>
        <w:rPr>
          <w:rFonts w:ascii="Times New Roman" w:hAnsi="Times New Roman"/>
          <w:sz w:val="20"/>
        </w:rPr>
      </w:pPr>
      <w:r>
        <w:rPr>
          <w:rFonts w:ascii="Times New Roman" w:hAnsi="Times New Roman"/>
          <w:sz w:val="20"/>
        </w:rPr>
        <w:t xml:space="preserve">(d) (i) any Losses actually incurred, and actually paid or actually payable, or reasonably expected to be incurred and subsequently actually paid by the Company or any of its Subsidiaries arising out of any third-party claims, demands, actions, or other proceedings related to or in connection with any Disposition or any Company Pre-Closing Assets and, without duplication, (ii) an amount that would reasonably be payable under any obligations of the Company or any of its Subsidiaries in respect of contingent or indemnification obligations provided for in any Disposition Agreement; provided that any amounts deducted pursuant to this clause (d) shall be held back by the Company in a separate account for the benefit of the Holders and to the extent such amounts have not been paid in respect of such third-party proceedings or such contingent or indemnification obligations (as applicable) upon the final resolution of such third-party proceedings or the lapse in survival of such contingent or indemnification obligations (provided that in the case of contingent or indemnification obligations that continue indefinitely pursuant to their terms, such lapse of survival shall be deemed to have occurred three (3) years after the commencement of such obligations) (as applicable), in each case prior to the end of the CVR Term, then such amounts shall be paid over to the Rights Agent within fifteen (15) Business Days of such final resolution or such lapse (as applicable) for further distribution to the Holders; and </w:t>
      </w:r>
    </w:p>
    <w:p>
      <w:pPr>
        <w:pStyle w:val="TextBody"/>
        <w:bidi w:val="0"/>
        <w:spacing w:before="120" w:after="0"/>
        <w:jc w:val="left"/>
        <w:rPr>
          <w:rFonts w:ascii="Times New Roman" w:hAnsi="Times New Roman"/>
          <w:sz w:val="20"/>
        </w:rPr>
      </w:pPr>
      <w:r>
        <w:rPr>
          <w:rFonts w:ascii="Times New Roman" w:hAnsi="Times New Roman"/>
          <w:sz w:val="20"/>
        </w:rPr>
        <w:t xml:space="preserve">(e) any proceeds in consideration for a Disposition pursuant to a Disposition Agreement included in the final determination of Aspen Net Cash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b/>
          <w:sz w:val="20"/>
          <w:u w:val="single"/>
        </w:rPr>
        <w:t>Holders of CVRs; Appointment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CVRs represent the rights of Holders to receive CVR Payments pursuant to this Agreement. The initial Holders will be the holders of issued and outstanding shares of Common Stock as of immediately prior to the Effective Time (the </w:t>
      </w:r>
      <w:r>
        <w:rPr>
          <w:rFonts w:ascii="Times New Roman" w:hAnsi="Times New Roman"/>
          <w:b/>
          <w:sz w:val="20"/>
        </w:rPr>
        <w:t>Specified Time</w:t>
      </w:r>
      <w:r>
        <w:rPr>
          <w:rFonts w:ascii="Times New Roman" w:hAnsi="Times New Roman"/>
          <w:sz w:val="20"/>
        </w:rPr>
        <w:t xml:space="preserve">) (including, for the avoidance of doubt, those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issued upon settlement of Aspen Restricted Stock Units pursuant to Section 6.7 of the Merger Agreement) (the </w:t>
      </w:r>
      <w:r>
        <w:rPr>
          <w:rFonts w:ascii="Times New Roman" w:hAnsi="Times New Roman"/>
          <w:b/>
          <w:sz w:val="20"/>
        </w:rPr>
        <w:t>Eligible Holders</w:t>
      </w:r>
      <w:r>
        <w:rPr>
          <w:rFonts w:ascii="Times New Roman" w:hAnsi="Times New Roman"/>
          <w:sz w:val="20"/>
        </w:rPr>
        <w:t> and such shares, the </w:t>
      </w:r>
      <w:r>
        <w:rPr>
          <w:rFonts w:ascii="Times New Roman" w:hAnsi="Times New Roman"/>
          <w:b/>
          <w:sz w:val="20"/>
        </w:rPr>
        <w:t>Eligible Shares</w:t>
      </w:r>
      <w:r>
        <w:rPr>
          <w:rFonts w:ascii="Times New Roman" w:hAnsi="Times New Roman"/>
          <w:sz w:val="20"/>
        </w:rPr>
        <w:t xml:space="preserve">). One CVR will be issued with respect to each Eligible Share.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no implied terms and conditions),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purported transfer of a CVR other than in a Permitted Transfer shall be null and void ab initio.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Eligible Shares held by DTC on behalf of the street holders of the Eligible Shares held by such Eligible Holders as of the Specified Time.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Eligible Shares by sending one lump-sum payment or issuance to DTC. The Rights Agent will have no responsibilities whatsoever with regard to the distribution of payments or Eligible Shares by DTC to such 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and any other requested documentation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and invalid. All costs and expenses related to any transfer or assignment of the CVRs (including the cost of any transfer tax) will be the responsibility of the transferor. </w:t>
      </w:r>
    </w:p>
    <w:p>
      <w:pPr>
        <w:pStyle w:val="TextBody"/>
        <w:bidi w:val="0"/>
        <w:spacing w:before="12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 </w:t>
      </w:r>
    </w:p>
    <w:p>
      <w:pPr>
        <w:pStyle w:val="TextBody"/>
        <w:bidi w:val="0"/>
        <w:spacing w:before="120" w:after="0"/>
        <w:jc w:val="left"/>
        <w:rPr>
          <w:rFonts w:ascii="Times New Roman" w:hAnsi="Times New Roman"/>
          <w:sz w:val="20"/>
        </w:rPr>
      </w:pPr>
      <w:r>
        <w:rPr>
          <w:rFonts w:ascii="Times New Roman" w:hAnsi="Times New Roman"/>
          <w:sz w:val="20"/>
        </w:rPr>
        <w:t xml:space="preserve">(e) The Company will provide written instructions to the Rights Agent for the distribution of CVRs to Eligible Holders as of the Specified Time. Subject to the terms and conditions of this Agreement and the Companys prompt confirmation of the Effective Time, the Rights Agent shall effect the distribution of the CVRs, less any applicable tax withholding, to each Eligible Holder as of the Specified Time by the mailing of a statement of holding reflecting such CVRs.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forty-five (45) days following the end of each Calendar Quarter during the CVR Term, commencing with the first CVR Payment Period in which the Company or its Affiliates receives Gross Proceeds, the Company shall deliver to the Rights Agent a CVR Payment Statement for the such CVR Payment Period. Subject to the last sentence of this Section 2.4(a), concurrent with the delivery of each CVR Payment Statement, on the terms and conditions of this Agreement, the Company shall pay the Rights Agent in U.S. dollars an amount equal to the CVR Payment for the applicable CVR Payment Period. Such CVR Payment will be transferred by wire transfer of immediately available funds to an account designated in writing by the Rights Agent not less than twenty (20) Business Days prior to the date of the applicable payment. Upon receipt of the wire transfer referred to in the foregoing sentence, the Rights Agent shall promptly (and in any event, within ten (10) Business Days) pay, by check mailed, first-class postage prepaid, to the address each Holder set forth in the CVR Register at such time or by other method of deliver as specified by the applicable Holder in writing to the Rights Agent, an amount equal to such Holders CVR Payment Amount. The Rights Agent shall as soon as practicable after receipt of a CVR Payment Statement under this </w:t>
      </w:r>
      <w:r>
        <w:rPr>
          <w:rFonts w:ascii="Times New Roman" w:hAnsi="Times New Roman"/>
          <w:sz w:val="20"/>
          <w:u w:val="single"/>
        </w:rPr>
        <w:t>Section 2.4(a)</w:t>
      </w:r>
      <w:r>
        <w:rPr>
          <w:rFonts w:ascii="Times New Roman" w:hAnsi="Times New Roman"/>
          <w:sz w:val="20"/>
        </w:rPr>
        <w:t xml:space="preserve">, send each Holder at its registered address a copy of such statement. For the avoidance of doubt the Company shall have no further liability in respect of the relevant CVR Payment upon delivery of such CVR Payment in accordance with this </w:t>
      </w:r>
      <w:r>
        <w:rPr>
          <w:rFonts w:ascii="Times New Roman" w:hAnsi="Times New Roman"/>
          <w:sz w:val="20"/>
          <w:u w:val="single"/>
        </w:rPr>
        <w:t>Section 2.4(a)</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2.4(a)</w:t>
      </w:r>
      <w:r>
        <w:rPr>
          <w:rFonts w:ascii="Times New Roman" w:hAnsi="Times New Roman"/>
          <w:sz w:val="20"/>
        </w:rPr>
        <w:t xml:space="preserve">. Notwithstanding anything to the contrary herein, no CVR Payment shall become due and payable to any Holder until such time as the then-outstanding and undistributed Net Proceeds exceeds $350,000 in the aggregate. </w:t>
      </w:r>
    </w:p>
    <w:p>
      <w:pPr>
        <w:pStyle w:val="TextBody"/>
        <w:bidi w:val="0"/>
        <w:spacing w:before="120" w:after="0"/>
        <w:jc w:val="left"/>
        <w:rPr>
          <w:rFonts w:ascii="Times New Roman" w:hAnsi="Times New Roman"/>
          <w:sz w:val="20"/>
        </w:rPr>
      </w:pPr>
      <w:r>
        <w:rPr>
          <w:rFonts w:ascii="Times New Roman" w:hAnsi="Times New Roman"/>
          <w:sz w:val="20"/>
        </w:rPr>
        <w:t>(b) The Rights Agent shall solicit from each Holder, and each Holder covenants and agrees to provide to the Rights Agent, an IRS Form W-9 or appropriate IRS Form W-8, as applicable, at such time or times, including immediately prior to the first CVR Payment, as is necessary to permit any payment under this Agreement to be made without U.S. federal backup withholding. That notwithstanding, the Company, Tyrol and any of their respective Affiliates (each a </w:t>
      </w:r>
      <w:r>
        <w:rPr>
          <w:rFonts w:ascii="Times New Roman" w:hAnsi="Times New Roman"/>
          <w:b/>
          <w:sz w:val="20"/>
        </w:rPr>
        <w:t>Withholding Agent</w:t>
      </w:r>
      <w:r>
        <w:rPr>
          <w:rFonts w:ascii="Times New Roman" w:hAnsi="Times New Roman"/>
          <w:sz w:val="20"/>
        </w:rPr>
        <w:t xml:space="preserve">) shall be entitled to deduct and withhold and hereby authorizes the Rights Agent to deduct and withhold, any Tax or similar governmental charge or levy, that is required to be deducted or withheld under applicable Law from any amounts payable pursuant to this Agreement. To the extent the amounts are so withheld by a Withholding Agent and paid over to the appropriate Governmental Authority, such withheld amounts shall be treated for all purposes of this Agreement as having been paid to the Person in respect of whom such deduction and withholding was made. The Company will use commercially reasonable efforts to provide withholding and reporting instructions in writing (email being sufficient) to the Rights Agent from time to time as relevant, and upon request of the Rights Agent. The Rights Agent shall have no responsibilities with respect to Tax withholding, reporting or payment except as set forth herein or as specifically instructed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Any portion of a CVR Payment that remains undistributed to the Holders six (6)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(d) If any CVR Payment (or portion thereof) remains unclaimed by a Holder two (2) years after the applicable Calendar Quarter end (or immediately prior to such earlier date on which such CVR Payment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office or a person nominated in writing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and when issued, the CVRs will not have any voting or dividend rights, and interest will not accrue on any amounts payable in respect of CVRs to any Holder. </w:t>
      </w:r>
    </w:p>
    <w:p>
      <w:pPr>
        <w:pStyle w:val="TextBody"/>
        <w:bidi w:val="0"/>
        <w:spacing w:before="120" w:after="0"/>
        <w:jc w:val="left"/>
        <w:rPr>
          <w:rFonts w:ascii="Times New Roman" w:hAnsi="Times New Roman"/>
          <w:sz w:val="20"/>
        </w:rPr>
      </w:pPr>
      <w:r>
        <w:rPr>
          <w:rFonts w:ascii="Times New Roman" w:hAnsi="Times New Roman"/>
          <w:sz w:val="20"/>
        </w:rPr>
        <w:t xml:space="preserve">(b) If and when issued,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2.7 </w:t>
      </w:r>
      <w:r>
        <w:rPr>
          <w:rFonts w:ascii="Times New Roman" w:hAnsi="Times New Roman"/>
          <w:b/>
          <w:sz w:val="20"/>
          <w:u w:val="single"/>
        </w:rPr>
        <w:t>Intended Tax Treatment</w:t>
      </w:r>
      <w:r>
        <w:rPr>
          <w:rFonts w:ascii="Times New Roman" w:hAnsi="Times New Roman"/>
          <w:sz w:val="20"/>
        </w:rPr>
        <w:t>. Except to the extent otherwise required by applicable Law, for U.S. federal income tax (and applicable state and local income tax purposes), the parties agree to treat the issuance of the CVRs as not constituting a current distribution and all CVR Payments for all Tax purposes as distributions of money governed by Section 301 of the Code, which will constitute a dividend to the extent payable out of the Company and its Affiliates earnings and profits (pursuant to Section 316 of the Code) in the taxable year when the CVR Payment is made (the </w:t>
      </w:r>
      <w:r>
        <w:rPr>
          <w:rFonts w:ascii="Times New Roman" w:hAnsi="Times New Roman"/>
          <w:b/>
          <w:sz w:val="20"/>
        </w:rPr>
        <w:t>Intended Tax Treatment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Legal Proceedings at Law or otherwise or to make any demand upon the Company or Tyrol.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Rights Agent may rely and will be protected and held harmless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Acting Holders. </w:t>
      </w:r>
    </w:p>
    <w:p>
      <w:pPr>
        <w:pStyle w:val="TextBody"/>
        <w:bidi w:val="0"/>
        <w:spacing w:before="12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fraud or willful misconduct (each as determined by a final non-appealable judgment of a court of competent jurisdiction) on its part, not incur any liability and shall be held harmless by the Company for or in respect of any action taken, suffered or omitted to be taken by it under the provisions of this Agreement in reliance upon such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fraud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 provided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set forth in </w:t>
      </w:r>
      <w:r>
        <w:rPr>
          <w:rFonts w:ascii="Times New Roman" w:hAnsi="Times New Roman"/>
          <w:sz w:val="20"/>
          <w:u w:val="single"/>
        </w:rPr>
        <w:t>Exhibit A</w:t>
      </w:r>
      <w:r>
        <w:rPr>
          <w:rFonts w:ascii="Times New Roman" w:hAnsi="Times New Roman"/>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hAnsi="Times New Roman"/>
          <w:sz w:val="20"/>
          <w:u w:val="single"/>
        </w:rPr>
        <w:t>Section 2.4(a)</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or </w:t>
      </w:r>
      <w:r>
        <w:rPr>
          <w:rFonts w:ascii="Times New Roman" w:hAnsi="Times New Roman"/>
          <w:sz w:val="20"/>
          <w:u w:val="single"/>
        </w:rPr>
        <w:t>Section 3.2(g)</w:t>
      </w:r>
      <w:r>
        <w:rPr>
          <w:rFonts w:ascii="Times New Roman" w:hAnsi="Times New Roman"/>
          <w:sz w:val="20"/>
        </w:rPr>
        <w:t xml:space="preserve">, if the Company is found by a court of competent jurisdiction to be liable to the Rights Agent or the Holders, as applicable in such suit. </w:t>
      </w:r>
    </w:p>
    <w:p>
      <w:pPr>
        <w:pStyle w:val="TextBody"/>
        <w:bidi w:val="0"/>
        <w:spacing w:before="12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shares of Common Stock or any other Person for interest or earnings on any moneys held by the Rights Agent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Tyrol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Tyrol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(m) 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Tyrol resulting from any such act, default, neglect or misconduct, absent gross negligence, fraud, bad faith or willful misconduct (each as determined by a final non-appealable judgment of a court of competent jurisdiction) in the selection and continued employment thereof. </w:t>
      </w:r>
    </w:p>
    <w:p>
      <w:pPr>
        <w:pStyle w:val="TextBody"/>
        <w:bidi w:val="0"/>
        <w:spacing w:before="120" w:after="0"/>
        <w:jc w:val="left"/>
        <w:rPr>
          <w:rFonts w:ascii="Times New Roman" w:hAnsi="Times New Roman"/>
          <w:sz w:val="20"/>
        </w:rPr>
      </w:pPr>
      <w:r>
        <w:rPr>
          <w:rFonts w:ascii="Times New Roman" w:hAnsi="Times New Roman"/>
          <w:sz w:val="20"/>
        </w:rPr>
        <w:t xml:space="preserve">(o)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Legal Proceedings at Law or otherwise or to make any demand upon the Company. </w:t>
      </w:r>
    </w:p>
    <w:p>
      <w:pPr>
        <w:pStyle w:val="TextBody"/>
        <w:bidi w:val="0"/>
        <w:spacing w:before="12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12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 or this Agreement, including without limitation obligations under applicable regulation or Law. </w:t>
      </w:r>
    </w:p>
    <w:p>
      <w:pPr>
        <w:pStyle w:val="TextBody"/>
        <w:bidi w:val="0"/>
        <w:spacing w:before="120" w:after="0"/>
        <w:jc w:val="left"/>
        <w:rPr>
          <w:rFonts w:ascii="Times New Roman" w:hAnsi="Times New Roman"/>
          <w:sz w:val="20"/>
        </w:rPr>
      </w:pPr>
      <w:r>
        <w:rPr>
          <w:rFonts w:ascii="Times New Roman" w:hAnsi="Times New Roman"/>
          <w:sz w:val="20"/>
        </w:rPr>
        <w:t xml:space="preserve">(s)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CVRs and the termination of this Agreement and the resignation, replacement or removal of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(t)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(email being sufficient). </w:t>
      </w:r>
    </w:p>
    <w:p>
      <w:pPr>
        <w:pStyle w:val="TextBody"/>
        <w:bidi w:val="0"/>
        <w:spacing w:before="120" w:after="0"/>
        <w:jc w:val="left"/>
        <w:rPr>
          <w:rFonts w:ascii="Times New Roman" w:hAnsi="Times New Roman"/>
          <w:sz w:val="20"/>
        </w:rPr>
      </w:pPr>
      <w:r>
        <w:rPr>
          <w:rFonts w:ascii="Times New Roman" w:hAnsi="Times New Roman"/>
          <w:sz w:val="20"/>
        </w:rPr>
        <w:t xml:space="preserve">(u) The Rights Agent will have no liability and shall be held harmless by the Company in respect of the validity of this Agreement and the execution and delivery hereof (except the due execution and delivery hereof by the Rights Agent and the enforceability of this Agreement against the Rights Agent assuming the due execution and delivery hereof by the Company), nor shall it be responsible for any breach by the Company of any covenant or condition contained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u w:val="single"/>
        </w:rPr>
        <w:t xml:space="preserve">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7.2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Acting Holders, the Company will not appoint as a successor Rights Agent any Person that is not a stock transfer agent of national reputation or the corporate trust department of a commercial bank.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except such rights which survive its resignation or removal under the terms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Efforts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Disposition Period, the Company shall, and shall cause its Subsidiaries to, use Commercially Reasonable Efforts to effect Dispositions with respect to the Company Pre-Closing Assets to a third party that has delivered Inbound Interest delivered or otherwise made known to an executive officer or business development officer of the Company with respect to a Company Pre-Closing Asset after the Closing to the Company, its Subsidiaries or their Representatives in evaluating or potentially engaging in a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4.2(a)</w:t>
            </w:r>
            <w:r>
              <w:rPr>
                <w:rFonts w:ascii="Times New Roman" w:hAnsi="Times New Roman"/>
                <w:sz w:val="20"/>
              </w:rPr>
              <w:t xml:space="preserve"> and the other contractual obligations of the Company expressly set forth in this Agreement, (i) the Holders acknowledge that the Company has a fiduciary obligation to operate its business in the best interests of its stockholders, and any potential obligation to pay CVR Payments will not create any express or implied obligation to operate its business in any particular manner in order to maximize such CVR Payments, (ii) except as expressly set forth in this Agreement,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Holders are not relying on any representation of the Company or any other Person with regard to any Disposition or other action involving the Company Pre-Closing Assets following the Closing, and neither the Company nor any other Person has provided, or can provide, any assurance to the Holders that any CVR Payments will in fact be earned and paid, and (iii) none of the Company or any of its Subsidiaries, officers or directors shall have any obligation or liability whatsoever to any Person relating to or in connection with any action, or failure to act, with respect to any Disposition.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Additional Covenants</w:t>
      </w:r>
      <w:r>
        <w:rPr>
          <w:rFonts w:ascii="Times New Roman" w:hAnsi="Times New Roman"/>
          <w:sz w:val="20"/>
        </w:rPr>
        <w:t xml:space="preserve">. During the Disposition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limiting any other provisions of this </w:t>
            </w:r>
            <w:r>
              <w:rPr>
                <w:rFonts w:ascii="Times New Roman" w:hAnsi="Times New Roman"/>
                <w:sz w:val="20"/>
                <w:u w:val="single"/>
              </w:rPr>
              <w:t>Section 4.3</w:t>
            </w:r>
            <w:r>
              <w:rPr>
                <w:rFonts w:ascii="Times New Roman" w:hAnsi="Times New Roman"/>
                <w:sz w:val="20"/>
              </w:rPr>
              <w:t xml:space="preserve">, neither the Company nor any of its Affiliates shall take any action in bad faith with respect to, or with the primary purpose of avoiding, the payment of the CVR Payment Amount, including by making any dividend, distribution or other transfer of Net Proceeds in a manner materially adverse to the Companys obligations in respect of Net Proceeds pursuant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shall, and shall cause its subsidiaries to, use commercially reasonable efforts to continue to preserve and maintain the Company Pre-Closing Assets, including all Intellectual Property relating thereto but, and shall use commercially reasonable efforts to comply with such maintenance obligations as required by any license or related term set forth in any Disposition Agreement. Notwithstanding the foregoing, with respect to such efforts to preserve and maintain Intellectual Property relating to the Company Pre-Closing Assets, (A) the Company shall not be required to incur aggregate out-of-pocket costs and expenses in excess of $200,000 (the </w:t>
            </w:r>
            <w:r>
              <w:rPr>
                <w:rFonts w:ascii="Times New Roman" w:hAnsi="Times New Roman"/>
                <w:b/>
                <w:sz w:val="20"/>
              </w:rPr>
              <w:t>IP Expense Fund</w:t>
            </w:r>
            <w:r>
              <w:rPr>
                <w:rFonts w:ascii="Times New Roman" w:hAnsi="Times New Roman"/>
                <w:sz w:val="20"/>
              </w:rPr>
              <w:t xml:space="preserve">) and (B) the Company shall prioritize the application of the IP Expense Fund in accordance with the provisions of Schedule 1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grant any lien, security interest, pledge or similar interest in any Company Pre-Closing Assets or any Net Proceeds other than (A) pursuant to the terms of a Disposition Agreement or (B) any such interest generally granted with respect to all assets of the Company and not specific to any of the Company Pre-Closing Assets, and which do not prohibit the ability of the Company to complete a Disposition and, in connection therewith, to deliver title to the Company Pre-Closing Assets to the purchaser thereof, free and clear of such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promptly inform the director(s) on the Company board of directors who then hold CVRs if and after Inbound Interest is delivered or otherwise made known to an executive officer or business development officer of the Company, and shall keep such director(s) reasonably and promptly informed regarding material developments in the negotiation of Disposition Agreements.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Audits</w:t>
      </w:r>
      <w:r>
        <w:rPr>
          <w:rFonts w:ascii="Times New Roman" w:hAnsi="Times New Roman"/>
          <w:sz w:val="20"/>
        </w:rPr>
        <w:t xml:space="preserve">. Until the expiration of this Agreement and for a period of one (1) year thereafter, the Company shall keep complete and accurate 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Acting Holders, as applicable, unless after an accounting period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hAnsi="Times New Roman"/>
          <w:sz w:val="20"/>
          <w:u w:val="single"/>
        </w:rPr>
        <w:t>Section 4.5</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Period.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the Company of twenty percent (20%)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No Conflict</w:t>
      </w:r>
      <w:r>
        <w:rPr>
          <w:rFonts w:ascii="Times New Roman" w:hAnsi="Times New Roman"/>
          <w:sz w:val="20"/>
        </w:rPr>
        <w:t xml:space="preserve">. The Company will not enter into any agreement with any Person that is, or otherwise take any actions or inactions, in conflict with this Agreement in any material respect or materially and adversely affect the performance of its obligations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6.1</w:t>
      </w:r>
      <w:r>
        <w:rPr>
          <w:rFonts w:ascii="Times New Roman" w:hAnsi="Times New Roman"/>
          <w:sz w:val="20"/>
        </w:rPr>
        <w:t>, to evidence the succession of another person to the Company and the assumption of any such successor of the covenants of the Company outlined herein in a transaction contemplated by</w:t>
      </w:r>
      <w:r>
        <w:rPr>
          <w:rFonts w:ascii="Times New Roman" w:hAnsi="Times New Roman"/>
          <w:sz w:val="20"/>
          <w:u w:val="single"/>
        </w:rPr>
        <w:t xml:space="preserve"> 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as the Company and the Rights Agent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12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to cancel the CVRs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(ii) in order to give effect to the provisions of </w:t>
      </w:r>
      <w:r>
        <w:rPr>
          <w:rFonts w:ascii="Times New Roman" w:hAnsi="Times New Roman"/>
          <w:sz w:val="20"/>
          <w:u w:val="single"/>
        </w:rPr>
        <w:t>Section 2.7</w:t>
      </w:r>
      <w:r>
        <w:rPr>
          <w:rFonts w:ascii="Times New Roman" w:hAnsi="Times New Roman"/>
          <w:sz w:val="20"/>
        </w:rPr>
        <w:t xml:space="preserve"> or (iii)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(ix) to effect any other amendment to this Agreement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the Company will (or will cause the Rights Agent to) notify the Holders in general terms of the substance of such amendment in accordance with</w:t>
      </w:r>
      <w:r>
        <w:rPr>
          <w:rFonts w:ascii="Times New Roman" w:hAnsi="Times New Roman"/>
          <w:sz w:val="20"/>
          <w:u w:val="single"/>
        </w:rPr>
        <w:t xml:space="preserve"> 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Acting Holders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Effect of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The Company May Not Consolidate, Etc</w:t>
      </w:r>
      <w:r>
        <w:rPr>
          <w:rFonts w:ascii="Times New Roman" w:hAnsi="Times New Roman"/>
          <w:sz w:val="20"/>
        </w:rPr>
        <w:t xml:space="preserve">. During the CVR Term, the Company shall not consolidate with or merge into any other Person or convey, transfer or lease its properties and assets substantially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(a) the Person formed by such consolidation or into which the Company is merged or the Person that acquires by conveyance or transfer, or that leases, the properties and assets of the Company substantially as an entirety (the </w:t>
      </w:r>
      <w:r>
        <w:rPr>
          <w:rFonts w:ascii="Times New Roman" w:hAnsi="Times New Roman"/>
          <w:b/>
          <w:sz w:val="20"/>
        </w:rPr>
        <w:t>Surviving Person</w:t>
      </w:r>
      <w:r>
        <w:rPr>
          <w:rFonts w:ascii="Times New Roman" w:hAnsi="Times New Roman"/>
          <w:sz w:val="20"/>
        </w:rPr>
        <w:t xml:space="preserve">) shall expressly assume payment of amounts on all CVRs (when and as due hereunder) and the performance of every duty and covenant of this Agreement on the part of the Company to be performed or observed; and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delivered to the Rights Agent an Officers Certificate, stating that such consolidation, merger, conveyance, transfer or lease complies with this </w:t>
      </w:r>
      <w:r>
        <w:rPr>
          <w:rFonts w:ascii="Times New Roman" w:hAnsi="Times New Roman"/>
          <w:sz w:val="20"/>
          <w:u w:val="single"/>
        </w:rPr>
        <w:t>Article 6</w:t>
      </w:r>
      <w:r>
        <w:rPr>
          <w:rFonts w:ascii="Times New Roman" w:hAnsi="Times New Roman"/>
          <w:sz w:val="20"/>
        </w:rPr>
        <w:t xml:space="preserve"> and that all conditions precedent herein provided for relating to such transaction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b/>
          <w:sz w:val="20"/>
          <w:u w:val="single"/>
        </w:rPr>
        <w:t>Successor Substituted</w:t>
      </w:r>
      <w:r>
        <w:rPr>
          <w:rFonts w:ascii="Times New Roman" w:hAnsi="Times New Roman"/>
          <w:sz w:val="20"/>
        </w:rPr>
        <w:t xml:space="preserve">. Upon any consolidation of or merger by the Company with or into any other Person, or any conveyance, transfer or lease of the properties and assets substantially as an entirety to any Person in accordance with </w:t>
      </w:r>
      <w:r>
        <w:rPr>
          <w:rFonts w:ascii="Times New Roman" w:hAnsi="Times New Roman"/>
          <w:sz w:val="20"/>
          <w:u w:val="single"/>
        </w:rPr>
        <w:t>Section 6.3</w:t>
      </w:r>
      <w:r>
        <w:rPr>
          <w:rFonts w:ascii="Times New Roman" w:hAnsi="Times New Roman"/>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when sent, fees prepaid, via a reputable international overnight courier service in the case of delivery in person, by FedEx or other internationally recognized overnight courier service or (b) when sent, if sent by email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[_____] </w:t>
      </w:r>
    </w:p>
    <w:p>
      <w:pPr>
        <w:pStyle w:val="TextBody"/>
        <w:bidi w:val="0"/>
        <w:spacing w:before="0" w:after="0"/>
        <w:jc w:val="left"/>
        <w:rPr>
          <w:rFonts w:ascii="Times New Roman" w:hAnsi="Times New Roman"/>
          <w:sz w:val="20"/>
        </w:rPr>
      </w:pPr>
      <w:r>
        <w:rPr>
          <w:rFonts w:ascii="Times New Roman" w:hAnsi="Times New Roman"/>
          <w:sz w:val="20"/>
        </w:rPr>
        <w:t xml:space="preserve">Email: [_____]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 Miguel Vega; Marc Recht; Michael Rohr </w:t>
      </w:r>
    </w:p>
    <w:p>
      <w:pPr>
        <w:pStyle w:val="TextBody"/>
        <w:bidi w:val="0"/>
        <w:spacing w:before="0" w:after="0"/>
        <w:jc w:val="left"/>
        <w:rPr>
          <w:rFonts w:ascii="Times New Roman" w:hAnsi="Times New Roman"/>
          <w:sz w:val="20"/>
        </w:rPr>
      </w:pPr>
      <w:r>
        <w:rPr>
          <w:rFonts w:ascii="Times New Roman" w:hAnsi="Times New Roman"/>
          <w:sz w:val="20"/>
        </w:rPr>
        <w:t xml:space="preserve">E-mail:   mvega@cooley.com; mrecht@cooley.com; mrohr@cooley.com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7.2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7.3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7.4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7.4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7.5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7.4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hAnsi="Times New Roman"/>
          <w:sz w:val="20"/>
          <w:u w:val="single"/>
        </w:rPr>
        <w:t>Section 7.5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7.6 </w:t>
      </w:r>
      <w:r>
        <w:rPr>
          <w:rFonts w:ascii="Times New Roman" w:hAnsi="Times New Roman"/>
          <w:b/>
          <w:sz w:val="20"/>
          <w:u w:val="single"/>
        </w:rPr>
        <w:t>Benefits of Agreement; Action by Acting Holders</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The Holders shall be intended third-party beneficiaries of the provisions of this Agreement; provided that, except for the rights of the Rights Agent set forth herein, the Acting Holders will have the sole right, on behalf of all Holders, by virtue of or under any provision of this Agreement, to institute any action or Legal Proceeding at Law or in equity with respect to this Agreement or otherwise to enforce the Holders rights hereunder,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7.7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7.8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hAnsi="Times New Roman"/>
          <w:sz w:val="20"/>
          <w:u w:val="single"/>
        </w:rPr>
        <w:t>Section 7.8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Section 7.9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7.9</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7.10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7.11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7.12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 w:hAnsi="Times New Roman"/>
          <w:sz w:val="20"/>
          <w:u w:val="single"/>
        </w:rPr>
        <w:t>Section 2.4</w:t>
      </w:r>
      <w:r>
        <w:rPr>
          <w:rFonts w:ascii="Times New Roman" w:hAnsi="Times New Roman"/>
          <w:sz w:val="20"/>
        </w:rPr>
        <w:t xml:space="preserve"> to the extent earned prior to the termination of this Agreement, and the provisions applicable thereto will survive the expiration or termination of this Agreement until such CVR Payments have been made, if applicable. Upon termination or expiry of this Agreement pursuant to this </w:t>
      </w:r>
      <w:r>
        <w:rPr>
          <w:rFonts w:ascii="Times New Roman" w:hAnsi="Times New Roman"/>
          <w:sz w:val="20"/>
          <w:u w:val="single"/>
        </w:rPr>
        <w:t>Section 7.12</w:t>
      </w:r>
      <w:r>
        <w:rPr>
          <w:rFonts w:ascii="Times New Roman" w:hAnsi="Times New Roman"/>
          <w:sz w:val="20"/>
        </w:rPr>
        <w:t xml:space="preserve">, all CVRs issued hereunder shall be automatically cancelled and forfeited by the Holders without any consideration or payment therefor.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7.13 </w:t>
      </w:r>
      <w:r>
        <w:rPr>
          <w:rFonts w:ascii="Times New Roman" w:hAnsi="Times New Roman"/>
          <w:b/>
          <w:sz w:val="20"/>
          <w:u w:val="single"/>
        </w:rPr>
        <w:t>Funds</w:t>
      </w:r>
      <w:r>
        <w:rPr>
          <w:rFonts w:ascii="Times New Roman" w:hAnsi="Times New Roman"/>
          <w:sz w:val="20"/>
        </w:rPr>
        <w:t>. All funds received by Rights Agent under this Agreement that are to be distributed or applied by Rights Agent in the performance of services hereunder (the </w:t>
      </w:r>
      <w:r>
        <w:rPr>
          <w:rFonts w:ascii="Times New Roman" w:hAnsi="Times New Roman"/>
          <w:b/>
          <w:sz w:val="20"/>
        </w:rPr>
        <w:t>Funds</w:t>
      </w:r>
      <w:r>
        <w:rPr>
          <w:rFonts w:ascii="Times New Roman" w:hAnsi="Times New Roman"/>
          <w:sz w:val="20"/>
        </w:rPr>
        <w:t xml:space="preserve">) shall be held by the Rights Agent,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fraud or willful misconduct (as determined by a final non appealable judgment of a court of competent jurisdiction) on its part, have no responsibility or liability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diminution of the Funds that may result from any deposit made by it in accordance with this paragraph, including any losses resulting from a default by any bank, financial institution or other third party. The Rights Agent may from time to time receive interest, dividends or other earnings in connection with such deposits.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7.14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7.15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12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02"/>
        <w:gridCol w:w="106"/>
        <w:gridCol w:w="3374"/>
      </w:tblGrid>
      <w:tr>
        <w:trPr/>
        <w:tc>
          <w:tcPr>
            <w:tcW w:w="60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AVROBIO, INC.</w:t>
            </w:r>
          </w:p>
        </w:tc>
      </w:tr>
      <w:tr>
        <w:trPr>
          <w:trHeight w:val="240" w:hRule="atLeast"/>
        </w:trPr>
        <w:tc>
          <w:tcPr>
            <w:tcW w:w="602" w:type="dxa"/>
            <w:tcBorders/>
            <w:vAlign w:val="center"/>
          </w:tcPr>
          <w:p>
            <w:pPr>
              <w:pStyle w:val="TableContents"/>
              <w:bidi w:val="0"/>
              <w:spacing w:before="0" w:after="283"/>
              <w:jc w:val="left"/>
              <w:rPr>
                <w:sz w:val="4"/>
                <w:szCs w:val="4"/>
              </w:rPr>
            </w:pPr>
            <w:r>
              <w:rPr>
                <w:sz w:val="4"/>
                <w:szCs w:val="4"/>
              </w:rPr>
            </w:r>
          </w:p>
        </w:tc>
        <w:tc>
          <w:tcPr>
            <w:tcW w:w="3480" w:type="dxa"/>
            <w:gridSpan w:val="2"/>
            <w:tcBorders/>
            <w:vAlign w:val="center"/>
          </w:tcPr>
          <w:p>
            <w:pPr>
              <w:pStyle w:val="TableContents"/>
              <w:bidi w:val="0"/>
              <w:spacing w:before="0" w:after="283"/>
              <w:jc w:val="left"/>
              <w:rPr>
                <w:sz w:val="4"/>
                <w:szCs w:val="4"/>
              </w:rPr>
            </w:pPr>
            <w:r>
              <w:rPr>
                <w:sz w:val="4"/>
                <w:szCs w:val="4"/>
              </w:rPr>
            </w:r>
          </w:p>
        </w:tc>
      </w:tr>
      <w:tr>
        <w:trPr/>
        <w:tc>
          <w:tcPr>
            <w:tcW w:w="602"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3374"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w:t>
            </w:r>
          </w:p>
        </w:tc>
      </w:tr>
      <w:tr>
        <w:trPr>
          <w:trHeight w:val="240" w:hRule="atLeast"/>
        </w:trPr>
        <w:tc>
          <w:tcPr>
            <w:tcW w:w="602" w:type="dxa"/>
            <w:tcBorders/>
            <w:vAlign w:val="center"/>
          </w:tcPr>
          <w:p>
            <w:pPr>
              <w:pStyle w:val="TableContents"/>
              <w:bidi w:val="0"/>
              <w:spacing w:before="0" w:after="283"/>
              <w:jc w:val="left"/>
              <w:rPr>
                <w:sz w:val="4"/>
                <w:szCs w:val="4"/>
              </w:rPr>
            </w:pPr>
            <w:r>
              <w:rPr>
                <w:sz w:val="4"/>
                <w:szCs w:val="4"/>
              </w:rPr>
            </w:r>
          </w:p>
        </w:tc>
        <w:tc>
          <w:tcPr>
            <w:tcW w:w="3480" w:type="dxa"/>
            <w:gridSpan w:val="2"/>
            <w:tcBorders/>
            <w:vAlign w:val="center"/>
          </w:tcPr>
          <w:p>
            <w:pPr>
              <w:pStyle w:val="TableContents"/>
              <w:bidi w:val="0"/>
              <w:spacing w:before="0" w:after="283"/>
              <w:jc w:val="left"/>
              <w:rPr>
                <w:sz w:val="4"/>
                <w:szCs w:val="4"/>
              </w:rPr>
            </w:pPr>
            <w:r>
              <w:rPr>
                <w:sz w:val="4"/>
                <w:szCs w:val="4"/>
              </w:rPr>
            </w:r>
          </w:p>
        </w:tc>
      </w:tr>
      <w:tr>
        <w:trPr/>
        <w:tc>
          <w:tcPr>
            <w:tcW w:w="602"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3374"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Rights Agent Fee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IP Expense Fund Prioritization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43" w:name="toc770053_207"/>
      <w:bookmarkEnd w:id="343"/>
      <w:r>
        <w:rPr>
          <w:rFonts w:ascii="Times New Roman" w:hAnsi="Times New Roman"/>
          <w:b/>
          <w:sz w:val="20"/>
        </w:rPr>
        <w:t xml:space="preserve">Annex G </w:t>
      </w:r>
    </w:p>
    <w:p>
      <w:pPr>
        <w:pStyle w:val="TextBody"/>
        <w:bidi w:val="0"/>
        <w:spacing w:before="36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(the Corporation), a corporation organized and existing under the laws of the State of Delaware,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That the Fourth Amended and Restated Certificate of Incorporation of the Corporation that was filed with the Secretary of State of Delaware on June 25, 2018 (the Amended and Restated Certificate) is hereby amended to add the following paragraph after the first paragraph of Article IV thereof to provide the following: </w:t>
      </w:r>
    </w:p>
    <w:p>
      <w:pPr>
        <w:pStyle w:val="TextBody"/>
        <w:bidi w:val="0"/>
        <w:spacing w:before="240" w:after="0"/>
        <w:jc w:val="left"/>
        <w:rPr>
          <w:rFonts w:ascii="Times New Roman" w:hAnsi="Times New Roman"/>
          <w:sz w:val="20"/>
        </w:rPr>
      </w:pPr>
      <w:r>
        <w:rPr>
          <w:rFonts w:ascii="Times New Roman" w:hAnsi="Times New Roman"/>
          <w:sz w:val="20"/>
        </w:rPr>
        <w:t xml:space="preserve">Upon this Certificate of Amendment becoming effective (the Effective Time) pursuant to the DGCL, each [    ]1 shares of the Common Stock issued and outstanding and held of record by each stockholder of the Corporation or issued and held by the Corporation in treasury immediately prior to the Effective Time shall automatically without further action on the part of the Corporation or any holder of such Common Stock, be combined into one (1) validly issued, fully paid and nonassessable share of Common Stock, subject to the treatment of fractional share interests as described below (the Reverse Stock Split). No fractional shares shall be issued as a result of the Reverse Stock Split. Instead,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Each holder of record of a certificate or certificates representing one or more shares of Common Stock pre-Reverse Stock Split shall be entitled to receive as soon as practicable following the Effective Time, upon surrender of such certificate or certificates, a certificate or certificates representing the whole number of shares of Common Stock post-Reverse Stock Split to which such holder shall be entitled pursuant to the Reverse Stock Split as well as cash in lieu of any fractional shares of Common Stock to which such holder may be entitled.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(as well as the right to receive cash in lieu of fractional shares of Common Stock after the Effective Time of the Reverse Stock Split upon the surrender thereof). </w:t>
      </w:r>
    </w:p>
    <w:p>
      <w:pPr>
        <w:pStyle w:val="TextBody"/>
        <w:bidi w:val="0"/>
        <w:spacing w:before="240" w:after="0"/>
        <w:jc w:val="left"/>
        <w:rPr>
          <w:rFonts w:ascii="Times New Roman" w:hAnsi="Times New Roman"/>
          <w:sz w:val="20"/>
        </w:rPr>
      </w:pPr>
      <w:r>
        <w:rPr>
          <w:rFonts w:ascii="Times New Roman" w:hAnsi="Times New Roman"/>
          <w:sz w:val="20"/>
        </w:rPr>
        <w:t xml:space="preserve">2.  That the foregoing amendment was duly adopted in accordance with Section 242 of the General Corporation Law of the State of Delaware. </w:t>
      </w:r>
    </w:p>
    <w:p>
      <w:pPr>
        <w:pStyle w:val="TextBody"/>
        <w:bidi w:val="0"/>
        <w:spacing w:before="360" w:after="0"/>
        <w:jc w:val="center"/>
        <w:rPr>
          <w:rFonts w:ascii="Times New Roman" w:hAnsi="Times New Roman"/>
          <w:i/>
          <w:sz w:val="20"/>
        </w:rPr>
      </w:pPr>
      <w:r>
        <w:rPr>
          <w:rFonts w:ascii="Times New Roman" w:hAnsi="Times New Roman"/>
          <w:i/>
          <w:sz w:val="20"/>
        </w:rPr>
        <w:t xml:space="preserve">[Signature Page Follows]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1 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be a whole number equal to or greater than three (3) and equal to or less than thirty (30),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of directors and stockholders in accordance with Section 242 of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Amendment to the Amended and Restated Certificate of Incorporation has been executed by a duly authorized officer of this Corporation on this    day of     ,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AVROBIO,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Erik Ostrowski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President, Interim Chief Executive Officer,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44" w:name="toc770053_208"/>
      <w:bookmarkEnd w:id="344"/>
      <w:r>
        <w:rPr>
          <w:rFonts w:ascii="Times New Roman" w:hAnsi="Times New Roman"/>
          <w:b/>
          <w:sz w:val="20"/>
        </w:rPr>
        <w:t xml:space="preserve">Annex H </w:t>
      </w:r>
    </w:p>
    <w:p>
      <w:pPr>
        <w:pStyle w:val="TextBody"/>
        <w:bidi w:val="0"/>
        <w:spacing w:before="36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(the Corporation), a corporation organized and existing under the laws of the State of Delaware,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That the Fourth Amended and Restated Certificate of Incorporation of the Corporation that was filed with the Secretary of State of Delaware on June 25, 2018 (the Amended and Restated Certificate) is hereby amended to add a new Article X thereto to read in its entirety as follows: </w:t>
      </w:r>
    </w:p>
    <w:p>
      <w:pPr>
        <w:pStyle w:val="TextBody"/>
        <w:bidi w:val="0"/>
        <w:spacing w:before="36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An Officer of the Corporation shall not be personally liable to the Corporation or its stockholders for monetary damages for breach of his or her fiduciary duty as an Officer,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in any action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have the meaning set forth in Section 102(b)(7) of the DGCL.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this Article X by either of (i) the stockholders of the Corporation or (ii) an amendment to the DGCL, or the adoption of any provision of this Certificate inconsistent with this Article X, shall not adversely affect any right or protection existing at the time of such amendment, repeal, modification or adoption with respect to any acts or omissions occurring before such amendment, repeal, modification or adoption of a person serving as an Officer at the time of such amendment, repeal, modification or adoption.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X. </w:t>
      </w:r>
    </w:p>
    <w:p>
      <w:pPr>
        <w:pStyle w:val="TextBody"/>
        <w:bidi w:val="0"/>
        <w:spacing w:before="240" w:after="0"/>
        <w:jc w:val="left"/>
        <w:rPr>
          <w:rFonts w:ascii="Times New Roman" w:hAnsi="Times New Roman"/>
          <w:sz w:val="20"/>
        </w:rPr>
      </w:pPr>
      <w:r>
        <w:rPr>
          <w:rFonts w:ascii="Times New Roman" w:hAnsi="Times New Roman"/>
          <w:sz w:val="20"/>
        </w:rPr>
        <w:t xml:space="preserve">2.  That the foregoing amendment was duly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Certificate of Amendment to the Amended and Restated Certificate of Incorporation has been executed by a duly authorized officer of this Corporation on this     day of    ,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AVROBIO,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Erik Ostrowski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President, Interim Chief Executive Officer,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45" w:name="toc770053_209"/>
      <w:bookmarkEnd w:id="345"/>
      <w:r>
        <w:rPr>
          <w:rFonts w:ascii="Times New Roman" w:hAnsi="Times New Roman"/>
          <w:b/>
          <w:sz w:val="20"/>
        </w:rPr>
        <w:t xml:space="preserve">Annex I </w:t>
      </w:r>
    </w:p>
    <w:p>
      <w:pPr>
        <w:pStyle w:val="TextBody"/>
        <w:bidi w:val="0"/>
        <w:spacing w:before="480" w:after="0"/>
        <w:jc w:val="center"/>
        <w:rPr>
          <w:rFonts w:ascii="Times New Roman" w:hAnsi="Times New Roman"/>
          <w:b/>
          <w:sz w:val="20"/>
        </w:rPr>
      </w:pPr>
      <w:r>
        <w:rPr>
          <w:rFonts w:ascii="Times New Roman" w:hAnsi="Times New Roman"/>
          <w:b/>
          <w:sz w:val="20"/>
        </w:rPr>
        <w:t xml:space="preserve">ANNEX I FORM OF 2024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2024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[ ], 2024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[ ],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Share Reserve. </w:t>
      </w:r>
      <w:r>
        <w:rPr>
          <w:rFonts w:ascii="Times New Roman" w:hAnsi="Times New Roman"/>
          <w:sz w:val="20"/>
        </w:rPr>
        <w:t>Subject to adjustment in accordance with Section 2(c) and any adjustments as necessary to implement any Capitalization Adjustments, the aggregate number of shares of Common Stock that may be issued pursuant to Awards will not exceed a number of shares of Common Stock equal to twelve and one half percent (12.5%) of the total number of shares of the Companys Capital Stock outstanding on a fully diluted basis determined as of immediately after the Effective Time (the </w:t>
      </w:r>
      <w:r>
        <w:rPr>
          <w:rFonts w:ascii="Times New Roman" w:hAnsi="Times New Roman"/>
          <w:b/>
          <w:i/>
          <w:sz w:val="20"/>
        </w:rPr>
        <w:t>Initial Share Reserve</w:t>
      </w:r>
      <w:r>
        <w:rPr>
          <w:rFonts w:ascii="Times New Roman" w:hAnsi="Times New Roman"/>
          <w:sz w:val="20"/>
        </w:rPr>
        <w:t xml:space="preserve">). In addition, subject to any adjustments as necessary to implement any Capitalization Adjustments, such aggregate number of shares of Common Stock will automatically increase on January 1 of each year for a period of ten years commencing on January 1, 2025 and ending on (and including) January 1, 2034, in an amount equal to five percent (5%) of the total number of shares of Common Stock outstanding on December 31 of the preceding year; provided, however, that the Board may act prior to January 1st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three (3) multiplied by the Initial Share 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Reserve Operation. </w:t>
            </w:r>
          </w:p>
        </w:tc>
      </w:tr>
    </w:tbl>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 such shares have been held by the Participant for any minimum period necessary to avoid adverse accounting treatment as a result of such delivery;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(i) Form of Award.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vesting of Restricted Stock Awards and RSU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(vii)</w:t>
      </w:r>
      <w:r>
        <w:rPr>
          <w:rFonts w:ascii="Times New Roman" w:hAnsi="Times New Roman"/>
          <w:sz w:val="20"/>
        </w:rPr>
        <w:t>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Delegation to Committee. </w:t>
            </w:r>
          </w:p>
        </w:tc>
      </w:tr>
    </w:tbl>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Effect of Boards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pay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RULES FOR AWARDS SUBJECT TO SECTION 409A.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U.S. Treasury Regulations Section 1.409A-3(j)(4)(ix).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i/>
          <w:sz w:val="20"/>
        </w:rPr>
        <w:t></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Cause</w:t>
      </w:r>
      <w:r>
        <w:rPr>
          <w:rFonts w:ascii="Times New Roman" w:hAnsi="Times New Roman"/>
          <w:sz w:val="20"/>
        </w:rPr>
        <w:t xml:space="preserve"> has the meaning ascribed to such term in any written agreement between a Participant and the Company or any Affiliate of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 individuals who, on the Adoption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Tectonic Therapeutic, Inc., a Delaware corporation, and any successor corporation thereto.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the date of the closing of the transactions contemplated by the Merger Agreement, provided that this Plan is approved by the Companys stockholders prior to such date.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Effective Time</w:t>
      </w:r>
      <w:r>
        <w:rPr>
          <w:rFonts w:ascii="Times New Roman" w:hAnsi="Times New Roman"/>
          <w:sz w:val="20"/>
        </w:rPr>
        <w:t xml:space="preserve"> has the meaning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Merger Agreement</w:t>
      </w:r>
      <w:r>
        <w:rPr>
          <w:rFonts w:ascii="Times New Roman" w:hAnsi="Times New Roman"/>
          <w:sz w:val="20"/>
        </w:rPr>
        <w:t> means that certain Agreement and Plan of Merger and Reorganization, dated as of January 30, 2024, among AVROBIO, Inc. a Delaware corporation (</w:t>
      </w:r>
      <w:r>
        <w:rPr>
          <w:rFonts w:ascii="Times New Roman" w:hAnsi="Times New Roman"/>
          <w:b/>
          <w:i/>
          <w:sz w:val="20"/>
        </w:rPr>
        <w:t>Aspen</w:t>
      </w:r>
      <w:r>
        <w:rPr>
          <w:rFonts w:ascii="Times New Roman" w:hAnsi="Times New Roman"/>
          <w:sz w:val="20"/>
        </w:rPr>
        <w:t xml:space="preserve">), Alpine Merger Subsidiary, Inc., a Delaware corporation and wholly owned subsidiary of Aspen, and the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Arrangement.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w:t>
      </w:r>
      <w:r>
        <w:rPr>
          <w:rFonts w:ascii="Times New Roman" w:hAnsi="Times New Roman"/>
          <w:b/>
          <w:i/>
          <w:sz w:val="20"/>
        </w:rPr>
        <w:t>Non-Exempt Severance Arrangement</w:t>
      </w:r>
      <w:r>
        <w:rPr>
          <w:rFonts w:ascii="Times New Roman" w:hAnsi="Times New Roman"/>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U.S. Treasury Regulations Section 1.409A-1(b)(4), 1.409A-1(b)(9) or otherwise.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(zz)</w:t>
      </w:r>
      <w:r>
        <w:rPr>
          <w:rFonts w:ascii="Times New Roman" w:hAnsi="Times New Roman"/>
          <w:sz w:val="20"/>
        </w:rPr>
        <w:t>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Tectonic Therapeutic, Inc. 2024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w:t>
      </w:r>
      <w:r>
        <w:rPr>
          <w:rFonts w:ascii="Times New Roman" w:hAnsi="Times New Roman"/>
          <w:b/>
          <w:i/>
          <w:sz w:val="20"/>
        </w:rPr>
        <w:t>Restricted Stock Award</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(mmm)</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(nnn)</w:t>
      </w:r>
      <w:r>
        <w:rPr>
          <w:rFonts w:ascii="Times New Roman" w:hAnsi="Times New Roman"/>
          <w:sz w:val="20"/>
        </w:rPr>
        <w:t>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(ooo)</w:t>
      </w:r>
      <w:r>
        <w:rPr>
          <w:rFonts w:ascii="Times New Roman" w:hAnsi="Times New Roman"/>
          <w:sz w:val="20"/>
        </w:rPr>
        <w:t>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(ppp)</w:t>
      </w:r>
      <w:r>
        <w:rPr>
          <w:rFonts w:ascii="Times New Roman" w:hAnsi="Times New Roman"/>
          <w:sz w:val="20"/>
        </w:rPr>
        <w:t>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(qqq)</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(rrr)</w:t>
      </w:r>
      <w:r>
        <w:rPr>
          <w:rFonts w:ascii="Times New Roman" w:hAnsi="Times New Roman"/>
          <w:sz w:val="20"/>
        </w:rPr>
        <w:t>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(sss)</w:t>
      </w:r>
      <w:r>
        <w:rPr>
          <w:rFonts w:ascii="Times New Roman" w:hAnsi="Times New Roman"/>
          <w:sz w:val="20"/>
        </w:rPr>
        <w:t>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(ttt)</w:t>
      </w:r>
      <w:r>
        <w:rPr>
          <w:rFonts w:ascii="Times New Roman" w:hAnsi="Times New Roman"/>
          <w:sz w:val="20"/>
        </w:rPr>
        <w:t>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left"/>
        <w:rPr>
          <w:rFonts w:ascii="Times New Roman" w:hAnsi="Times New Roman"/>
          <w:sz w:val="20"/>
        </w:rPr>
      </w:pPr>
      <w:r>
        <w:rPr>
          <w:rFonts w:ascii="Times New Roman" w:hAnsi="Times New Roman"/>
          <w:b/>
          <w:sz w:val="20"/>
        </w:rPr>
        <w:t>(uuu)</w:t>
      </w:r>
      <w:r>
        <w:rPr>
          <w:rFonts w:ascii="Times New Roman" w:hAnsi="Times New Roman"/>
          <w:sz w:val="20"/>
        </w:rPr>
        <w:t>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46" w:name="toc770053_210"/>
      <w:bookmarkEnd w:id="346"/>
      <w:r>
        <w:rPr>
          <w:rFonts w:ascii="Times New Roman" w:hAnsi="Times New Roman"/>
          <w:b/>
          <w:sz w:val="20"/>
        </w:rPr>
        <w:t xml:space="preserve">Annex J </w:t>
      </w:r>
    </w:p>
    <w:p>
      <w:pPr>
        <w:pStyle w:val="TextBody"/>
        <w:bidi w:val="0"/>
        <w:spacing w:before="480" w:after="0"/>
        <w:jc w:val="center"/>
        <w:rPr>
          <w:rFonts w:ascii="Times New Roman" w:hAnsi="Times New Roman"/>
          <w:b/>
          <w:sz w:val="20"/>
        </w:rPr>
      </w:pPr>
      <w:r>
        <w:rPr>
          <w:rFonts w:ascii="Times New Roman" w:hAnsi="Times New Roman"/>
          <w:b/>
          <w:sz w:val="20"/>
        </w:rPr>
        <w:t xml:space="preserve">ANNEX J FORM OF 2024 ESPP </w:t>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2024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[ ], 2024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[ ],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PURPOSE.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will not be subject to review by any person and will be final, binding and conclusive on all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OF COMMON STOCK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 Subject to the provisions of Section 11(a) relating to Capitalization Adjustments, the maximum number of shares of Common Stock that may be issued under the Plan will not exceed a number of shares of Common Stock equal to one percent (1%) of the total number of shares of Common Stock issued and outstanding determined as of immediately after the Effective Time (the </w:t>
      </w:r>
      <w:r>
        <w:rPr>
          <w:rFonts w:ascii="Times New Roman" w:hAnsi="Times New Roman"/>
          <w:b/>
          <w:i/>
          <w:sz w:val="20"/>
        </w:rPr>
        <w:t>Initial Share Reserve</w:t>
      </w:r>
      <w:r>
        <w:rPr>
          <w:rFonts w:ascii="Times New Roman" w:hAnsi="Times New Roman"/>
          <w:sz w:val="20"/>
        </w:rPr>
        <w:t xml:space="preserve">), plus the number of shares of Common Stock that are automatically added on January 1st of each year for a period of up to ten years, commencing on January 1, 2025 and ending on (and including) January 1, 2034, in an amount equal to the lesser of (x) one percent (1%) of the total number of shares of Common Stock outstanding on December 31st of the preceding calendar year, and (y) a number of shares equal to three times the Initial Share Reserve.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reserved under this Section 3(a) may be used to satisfy purchases of Common Stock under the 423 Component and any remaining portion of such maximum number of shares may be used to satisfy purchases of Common Stock under the Non-423 Component.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PURCHASE RIGHTS; OFFERING.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the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the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PURCHASE RIGHTS; PURCHASE PRICE.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Date (or such later date as the Board determines for a particular Offering) and ends on the date stated in the Offering, which date will be no later than the end of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specified by the Board prior to commencement of an Offering and will not be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WITHDRAWAL; TERMINATION.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 Purchase Rights granted pursuant to any Offering under the Plan will terminate immediately if the Participant either (i) is no longer an Employee for any reason or for no reason or (ii) is otherwise no longer eligible to participate. The Company will distribute as soon as practicable to such individual all of such individuals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PURCHASE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CORPORATE TRANSACTIONS.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TERMINATION OR SUSPENSION OF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QUALIFICATION; 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PROVISIONS.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provisions of the Plan will be governed by the laws of the State of Delaware without resort to that states conflict of laws rules.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Contributions</w:t>
      </w:r>
      <w:r>
        <w:rPr>
          <w:rFonts w:ascii="Times New Roman" w:hAnsi="Times New Roman"/>
          <w:sz w:val="20"/>
        </w:rPr>
        <w:t xml:space="preserve"> 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the date of the closing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Effective Time</w:t>
      </w:r>
      <w:r>
        <w:rPr>
          <w:rFonts w:ascii="Times New Roman" w:hAnsi="Times New Roman"/>
          <w:sz w:val="20"/>
        </w:rPr>
        <w:t xml:space="preserve"> has the meaning set forth in the Merger Agreement.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w:t>
      </w:r>
      <w:r>
        <w:rPr>
          <w:rFonts w:ascii="Times New Roman" w:hAnsi="Times New Roman"/>
          <w:b/>
          <w:sz w:val="20"/>
          <w:u w:val="single"/>
        </w:rPr>
        <w:t>closing sales price</w:t>
      </w:r>
      <w:r>
        <w:rPr>
          <w:rFonts w:ascii="Times New Roman" w:hAnsi="Times New Roman"/>
          <w:sz w:val="20"/>
        </w:rPr>
        <w:t xml:space="preserve"> for such stock as quoted on such exchange or market (or the exchange or market with the greatest volume of trading in the Common Stock) </w:t>
      </w:r>
      <w:r>
        <w:rPr>
          <w:rFonts w:ascii="Times New Roman" w:hAnsi="Times New Roman"/>
          <w:b/>
          <w:sz w:val="20"/>
          <w:u w:val="single"/>
        </w:rPr>
        <w:t>on the date of determination</w:t>
      </w:r>
      <w:r>
        <w:rPr>
          <w:rFonts w:ascii="Times New Roman" w:hAnsi="Times New Roman"/>
          <w:sz w:val="20"/>
        </w:rPr>
        <w:t xml:space="preserve">,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Merger Agreement</w:t>
      </w:r>
      <w:r>
        <w:rPr>
          <w:rFonts w:ascii="Times New Roman" w:hAnsi="Times New Roman"/>
          <w:sz w:val="20"/>
        </w:rPr>
        <w:t> means that certain Agreement and Plan of Merger and Reorganization, dated as of January 30, 2024, among AVROBIO, Inc. a Delaware corporation (</w:t>
      </w:r>
      <w:r>
        <w:rPr>
          <w:rFonts w:ascii="Times New Roman" w:hAnsi="Times New Roman"/>
          <w:b/>
          <w:i/>
          <w:sz w:val="20"/>
        </w:rPr>
        <w:t>Aspen</w:t>
      </w:r>
      <w:r>
        <w:rPr>
          <w:rFonts w:ascii="Times New Roman" w:hAnsi="Times New Roman"/>
          <w:sz w:val="20"/>
        </w:rPr>
        <w:t xml:space="preserve">), Alpine Merger Subsidiary, Inc., a Delaware corporation and wholly owned subsidiary of Aspen, and the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Non-423 Component</w:t>
      </w:r>
      <w:r>
        <w:rPr>
          <w:rFonts w:ascii="Times New Roman" w:hAnsi="Times New Roman"/>
          <w:sz w:val="20"/>
        </w:rPr>
        <w:t xml:space="preserve">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Tectonic Therapeutic, Inc. 2024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47" w:name="toc770053_211"/>
      <w:bookmarkEnd w:id="347"/>
      <w:r>
        <w:rPr>
          <w:rFonts w:ascii="Times New Roman" w:hAnsi="Times New Roman"/>
          <w:b/>
          <w:sz w:val="20"/>
        </w:rPr>
        <w:t xml:space="preserve">Annex K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fractional shares or fractional depository receipts described in the foregoing paragraphs (b)(2)a. and b. of this section;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shares of stock, depository receipts and cash in lieu of fractional shares or fractional depository receipts described in the foregoing paragraphs (b)(2)a., b. and c.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[Repealed.]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(d),(e), and (g) of this section, shall apply as nearly as is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perfected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1"/>
        <w:gridCol w:w="8884"/>
      </w:tblGrid>
      <w:tr>
        <w:trPr/>
        <w:tc>
          <w:tcPr>
            <w:tcW w:w="1321" w:type="dxa"/>
            <w:tcBorders/>
            <w:vAlign w:val="center"/>
          </w:tcPr>
          <w:p>
            <w:pPr>
              <w:pStyle w:val="TableContents"/>
              <w:bidi w:val="0"/>
              <w:spacing w:before="0" w:after="283"/>
              <w:jc w:val="left"/>
              <w:rPr/>
            </w:pPr>
            <w:r>
              <w:rPr/>
              <w:t> </w:t>
            </w:r>
          </w:p>
        </w:tc>
        <w:tc>
          <w:tcPr>
            <w:tcW w:w="8884" w:type="dxa"/>
            <w:tcBorders/>
          </w:tcPr>
          <w:p>
            <w:pPr>
              <w:pStyle w:val="TableContents"/>
              <w:bidi w:val="0"/>
              <w:spacing w:before="0" w:after="283"/>
              <w:jc w:val="left"/>
              <w:rPr/>
            </w:pPr>
            <w:r>
              <w:rPr/>
              <w:t xml:space="preserve">the merger, consolidation, conversion, transfer, domestication or continuance, and any beneficial owner who has demanded appraisal under paragraph (d)(3) of this section, of the date that the merger, consolidation or conversion has become effective;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 xml:space="preserve">to the effective date, the record date shall be the close of business on the day next preceding the day on which the notice is given.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283"/>
              <w:jc w:val="left"/>
              <w:rPr/>
            </w:pPr>
            <w:r>
              <w:rPr/>
              <w:t xml:space="preserve">forms of the notices by mail and by publication shall be approved by the Court, and the costs thereof shall be borne by the surviving, resulting or converted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Arial Narrow" w:hAnsi="Arial Narrow"/>
          <w:b/>
          <w:sz w:val="20"/>
        </w:rPr>
      </w:pPr>
      <w:bookmarkStart w:id="348" w:name="toc770053_212"/>
      <w:bookmarkEnd w:id="348"/>
      <w:r>
        <w:rPr>
          <w:rFonts w:ascii="Arial Narrow" w:hAnsi="Arial Narrow"/>
          <w:b/>
          <w:sz w:val="20"/>
        </w:rPr>
        <w:t xml:space="preserve">Annex L </w:t>
      </w:r>
    </w:p>
    <w:p>
      <w:pPr>
        <w:pStyle w:val="TextBody"/>
        <w:bidi w:val="0"/>
        <w:spacing w:before="240" w:after="0"/>
        <w:jc w:val="right"/>
        <w:rPr>
          <w:rFonts w:ascii="Arial Narrow" w:hAnsi="Arial Narrow"/>
          <w:b/>
          <w:sz w:val="16"/>
        </w:rPr>
      </w:pPr>
      <w:r>
        <w:rPr>
          <w:rFonts w:ascii="Arial Narrow" w:hAnsi="Arial Narrow"/>
          <w:b/>
          <w:sz w:val="16"/>
        </w:rPr>
        <w:t xml:space="preserve">YOUR VOTE IS IMPORTANT! PLEASE VOTE BY:       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6"/>
        <w:gridCol w:w="204"/>
        <w:gridCol w:w="816"/>
        <w:gridCol w:w="204"/>
        <w:gridCol w:w="4185"/>
      </w:tblGrid>
      <w:tr>
        <w:trPr/>
        <w:tc>
          <w:tcPr>
            <w:tcW w:w="479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sz w:val="4"/>
                <w:szCs w:val="4"/>
              </w:rPr>
            </w:pPr>
            <w:r>
              <w:rPr>
                <w:sz w:val="4"/>
                <w:szCs w:val="4"/>
              </w:rPr>
            </w:r>
          </w:p>
        </w:tc>
        <w:tc>
          <w:tcPr>
            <w:tcW w:w="204"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816" w:type="dxa"/>
            <w:tcBorders>
              <w:top w:val="single" w:sz="2" w:space="0" w:color="000000"/>
            </w:tcBorders>
            <w:tcMar>
              <w:top w:w="28" w:type="dxa"/>
            </w:tcMar>
          </w:tcPr>
          <w:p>
            <w:pPr>
              <w:pStyle w:val="TableContents"/>
              <w:bidi w:val="0"/>
              <w:spacing w:before="0" w:after="283"/>
              <w:jc w:val="left"/>
              <w:rPr/>
            </w:pPr>
            <w:r>
              <w:rPr/>
              <w:t> </w:t>
            </w:r>
          </w:p>
        </w:tc>
        <w:tc>
          <w:tcPr>
            <w:tcW w:w="204" w:type="dxa"/>
            <w:tcBorders>
              <w:top w:val="single" w:sz="2" w:space="0" w:color="000000"/>
            </w:tcBorders>
            <w:tcMar>
              <w:top w:w="28" w:type="dxa"/>
            </w:tcMar>
            <w:vAlign w:val="bottom"/>
          </w:tcPr>
          <w:p>
            <w:pPr>
              <w:pStyle w:val="TableContents"/>
              <w:bidi w:val="0"/>
              <w:spacing w:before="0" w:after="283"/>
              <w:jc w:val="left"/>
              <w:rPr/>
            </w:pPr>
            <w:r>
              <w:rPr/>
              <w:t>  </w:t>
            </w:r>
          </w:p>
        </w:tc>
        <w:tc>
          <w:tcPr>
            <w:tcW w:w="4185" w:type="dxa"/>
            <w:tcBorders>
              <w:top w:val="single" w:sz="2" w:space="0" w:color="000000"/>
              <w:right w:val="single" w:sz="2" w:space="0" w:color="000000"/>
            </w:tcBorders>
            <w:tcMar>
              <w:top w:w="28" w:type="dxa"/>
              <w:right w:w="40" w:type="dxa"/>
            </w:tcMar>
          </w:tcPr>
          <w:p>
            <w:pPr>
              <w:pStyle w:val="TableContents"/>
              <w:bidi w:val="0"/>
              <w:spacing w:before="0" w:after="283"/>
              <w:jc w:val="left"/>
              <w:rPr>
                <w:rFonts w:ascii="Arial Narrow" w:hAnsi="Arial Narrow"/>
                <w:b/>
              </w:rPr>
            </w:pPr>
            <w:r>
              <w:rPr>
                <w:rFonts w:ascii="Arial Narrow" w:hAnsi="Arial Narrow"/>
                <w:b/>
              </w:rPr>
              <w:t>INTERNET</w:t>
            </w:r>
          </w:p>
        </w:tc>
      </w:tr>
      <w:tr>
        <w:trPr/>
        <w:tc>
          <w:tcPr>
            <w:tcW w:w="4796" w:type="dxa"/>
            <w:vMerge w:val="restart"/>
            <w:tcBorders/>
          </w:tcPr>
          <w:p>
            <w:pPr>
              <w:pStyle w:val="TableContents"/>
              <w:bidi w:val="0"/>
              <w:spacing w:before="0" w:after="0"/>
              <w:jc w:val="left"/>
              <w:rPr/>
            </w:pPr>
            <w:r>
              <w:rPr/>
              <w:drawing>
                <wp:inline distT="0" distB="0" distL="0" distR="0">
                  <wp:extent cx="181610" cy="412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81610" cy="41275"/>
                          </a:xfrm>
                          <a:prstGeom prst="rect">
                            <a:avLst/>
                          </a:prstGeom>
                        </pic:spPr>
                      </pic:pic>
                    </a:graphicData>
                  </a:graphic>
                </wp:inline>
              </w:drawing>
            </w:r>
            <w:r>
              <w:rPr/>
              <w:t xml:space="preserve"> </w:t>
            </w:r>
          </w:p>
          <w:p>
            <w:pPr>
              <w:pStyle w:val="TableContents"/>
              <w:bidi w:val="0"/>
              <w:spacing w:before="0" w:after="20"/>
              <w:jc w:val="left"/>
              <w:rPr>
                <w:rFonts w:ascii="Arial Narrow" w:hAnsi="Arial Narrow"/>
                <w:sz w:val="12"/>
              </w:rPr>
            </w:pPr>
            <w:r>
              <w:rPr>
                <w:rFonts w:ascii="Arial Narrow" w:hAnsi="Arial Narrow"/>
                <w:sz w:val="12"/>
              </w:rPr>
              <w:t>P.O. BOX 8016, CARY, NC 27512-9903</w:t>
            </w:r>
          </w:p>
        </w:tc>
        <w:tc>
          <w:tcPr>
            <w:tcW w:w="204" w:type="dxa"/>
            <w:tcBorders>
              <w:left w:val="single" w:sz="2" w:space="0" w:color="000000"/>
            </w:tcBorders>
            <w:tcMar>
              <w:left w:w="28" w:type="dxa"/>
            </w:tcMar>
            <w:vAlign w:val="bottom"/>
          </w:tcPr>
          <w:p>
            <w:pPr>
              <w:pStyle w:val="TableContents"/>
              <w:bidi w:val="0"/>
              <w:spacing w:before="0" w:after="283"/>
              <w:jc w:val="left"/>
              <w:rPr/>
            </w:pPr>
            <w:r>
              <w:rPr/>
              <w:t>  </w:t>
            </w:r>
          </w:p>
        </w:tc>
        <w:tc>
          <w:tcPr>
            <w:tcW w:w="81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5" w:type="dxa"/>
            <w:tcBorders>
              <w:right w:val="single" w:sz="2" w:space="0" w:color="000000"/>
            </w:tcBorders>
            <w:tcMar>
              <w:right w:w="40" w:type="dxa"/>
            </w:tcMar>
          </w:tcPr>
          <w:p>
            <w:pPr>
              <w:pStyle w:val="TableContents"/>
              <w:bidi w:val="0"/>
              <w:spacing w:before="0" w:after="283"/>
              <w:jc w:val="left"/>
              <w:rPr>
                <w:rFonts w:ascii="Arial Narrow" w:hAnsi="Arial Narrow"/>
              </w:rPr>
            </w:pPr>
            <w:r>
              <w:rPr>
                <w:rFonts w:ascii="Arial Narrow" w:hAnsi="Arial Narrow"/>
              </w:rPr>
              <w:t xml:space="preserve">Go To: </w:t>
            </w:r>
            <w:r>
              <w:rPr>
                <w:rFonts w:ascii="Arial Narrow" w:hAnsi="Arial Narrow"/>
                <w:b/>
              </w:rPr>
              <w:t xml:space="preserve">www.proxypush.com/AVRO </w:t>
            </w:r>
          </w:p>
        </w:tc>
      </w:tr>
      <w:tr>
        <w:trPr/>
        <w:tc>
          <w:tcPr>
            <w:tcW w:w="4796" w:type="dxa"/>
            <w:vMerge w:val="continue"/>
            <w:tcBorders/>
          </w:tcPr>
          <w:p>
            <w:pPr>
              <w:pStyle w:val="Normal"/>
              <w:bidi w:val="0"/>
              <w:jc w:val="left"/>
              <w:rPr/>
            </w:pPr>
            <w:r>
              <w:rPr/>
            </w:r>
          </w:p>
        </w:tc>
        <w:tc>
          <w:tcPr>
            <w:tcW w:w="204" w:type="dxa"/>
            <w:vMerge w:val="restart"/>
            <w:tcBorders>
              <w:left w:val="single" w:sz="2" w:space="0" w:color="000000"/>
            </w:tcBorders>
            <w:tcMar>
              <w:left w:w="28" w:type="dxa"/>
            </w:tcMar>
            <w:vAlign w:val="bottom"/>
          </w:tcPr>
          <w:p>
            <w:pPr>
              <w:pStyle w:val="TableContents"/>
              <w:bidi w:val="0"/>
              <w:spacing w:before="0" w:after="283"/>
              <w:jc w:val="left"/>
              <w:rPr/>
            </w:pPr>
            <w:r>
              <w:rPr/>
              <w:t>  </w:t>
            </w:r>
          </w:p>
        </w:tc>
        <w:tc>
          <w:tcPr>
            <w:tcW w:w="816" w:type="dxa"/>
            <w:vMerge w:val="restart"/>
            <w:tcBorders/>
          </w:tcPr>
          <w:p>
            <w:pPr>
              <w:pStyle w:val="TableContents"/>
              <w:bidi w:val="0"/>
              <w:spacing w:before="0" w:after="283"/>
              <w:jc w:val="center"/>
              <w:rPr/>
            </w:pPr>
            <w:r>
              <w:rPr/>
              <w:drawing>
                <wp:inline distT="0" distB="0" distL="0" distR="0">
                  <wp:extent cx="247015" cy="1543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47015" cy="15430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4185" w:type="dxa"/>
            <w:tcBorders>
              <w:right w:val="single" w:sz="2" w:space="0" w:color="000000"/>
            </w:tcBorders>
            <w:tcMar>
              <w:right w:w="40" w:type="dxa"/>
            </w:tcMar>
          </w:tcPr>
          <w:p>
            <w:pPr>
              <w:pStyle w:val="TableContents"/>
              <w:bidi w:val="0"/>
              <w:spacing w:before="0" w:after="0"/>
              <w:jc w:val="left"/>
              <w:rPr>
                <w:rFonts w:ascii="Arial Narrow" w:hAnsi="Arial Narrow"/>
                <w:sz w:val="16"/>
              </w:rPr>
            </w:pPr>
            <w:r>
              <w:rPr>
                <w:rFonts w:ascii="Arial Narrow" w:hAnsi="Arial Narrow"/>
                <w:sz w:val="16"/>
              </w:rPr>
              <w:t>  Cast your vote online</w:t>
            </w:r>
          </w:p>
        </w:tc>
      </w:tr>
      <w:tr>
        <w:trPr/>
        <w:tc>
          <w:tcPr>
            <w:tcW w:w="4796" w:type="dxa"/>
            <w:vMerge w:val="continue"/>
            <w:tcBorders>
              <w:left w:val="single" w:sz="2" w:space="0" w:color="000000"/>
            </w:tcBorders>
            <w:tcMar>
              <w:left w:w="28" w:type="dxa"/>
            </w:tcMar>
            <w:vAlign w:val="bottom"/>
          </w:tcPr>
          <w:p>
            <w:pPr>
              <w:pStyle w:val="Normal"/>
              <w:bidi w:val="0"/>
              <w:jc w:val="left"/>
              <w:rPr/>
            </w:pPr>
            <w:r>
              <w:rPr/>
            </w:r>
          </w:p>
        </w:tc>
        <w:tc>
          <w:tcPr>
            <w:tcW w:w="204" w:type="dxa"/>
            <w:vMerge w:val="continue"/>
            <w:tcBorders>
              <w:left w:val="single" w:sz="2" w:space="0" w:color="000000"/>
            </w:tcBorders>
            <w:tcMar>
              <w:left w:w="28" w:type="dxa"/>
            </w:tcMar>
            <w:vAlign w:val="bottom"/>
          </w:tcPr>
          <w:p>
            <w:pPr>
              <w:pStyle w:val="Normal"/>
              <w:bidi w:val="0"/>
              <w:jc w:val="left"/>
              <w:rPr/>
            </w:pPr>
            <w:r>
              <w:rPr/>
            </w:r>
          </w:p>
        </w:tc>
        <w:tc>
          <w:tcPr>
            <w:tcW w:w="816" w:type="dxa"/>
            <w:vMerge w:val="continue"/>
            <w:tcBorders/>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4185" w:type="dxa"/>
            <w:tcBorders>
              <w:right w:val="single" w:sz="2" w:space="0" w:color="000000"/>
            </w:tcBorders>
            <w:tcMar>
              <w:right w:w="40" w:type="dxa"/>
            </w:tcMar>
          </w:tcPr>
          <w:p>
            <w:pPr>
              <w:pStyle w:val="TableContents"/>
              <w:bidi w:val="0"/>
              <w:spacing w:before="0" w:after="0"/>
              <w:jc w:val="left"/>
              <w:rPr>
                <w:rFonts w:ascii="Arial Narrow" w:hAnsi="Arial Narrow"/>
                <w:b/>
                <w:sz w:val="16"/>
              </w:rPr>
            </w:pPr>
            <w:r>
              <w:rPr>
                <w:rFonts w:ascii="Arial Narrow" w:hAnsi="Arial Narrow"/>
                <w:b/>
                <w:sz w:val="16"/>
              </w:rPr>
              <w:t> Have your Proxy Card ready</w:t>
            </w:r>
          </w:p>
        </w:tc>
      </w:tr>
      <w:tr>
        <w:trPr/>
        <w:tc>
          <w:tcPr>
            <w:tcW w:w="4796" w:type="dxa"/>
            <w:tcBorders/>
          </w:tcPr>
          <w:p>
            <w:pPr>
              <w:pStyle w:val="TableContents"/>
              <w:bidi w:val="0"/>
              <w:spacing w:before="0" w:after="283"/>
              <w:jc w:val="left"/>
              <w:rPr>
                <w:sz w:val="4"/>
                <w:szCs w:val="4"/>
              </w:rPr>
            </w:pPr>
            <w:r>
              <w:rPr>
                <w:sz w:val="4"/>
                <w:szCs w:val="4"/>
              </w:rPr>
            </w:r>
          </w:p>
        </w:tc>
        <w:tc>
          <w:tcPr>
            <w:tcW w:w="2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6"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185"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Arial Narrow" w:hAnsi="Arial Narrow"/>
                <w:sz w:val="16"/>
              </w:rPr>
            </w:pPr>
            <w:r>
              <w:rPr>
                <w:rFonts w:ascii="Arial Narrow" w:hAnsi="Arial Narrow"/>
                <w:sz w:val="16"/>
              </w:rPr>
              <w:t>  Follow the simple instructions to record your vote</w:t>
            </w:r>
          </w:p>
        </w:tc>
      </w:tr>
      <w:tr>
        <w:trPr/>
        <w:tc>
          <w:tcPr>
            <w:tcW w:w="4796" w:type="dxa"/>
            <w:tcBorders/>
          </w:tcPr>
          <w:p>
            <w:pPr>
              <w:pStyle w:val="TableContents"/>
              <w:bidi w:val="0"/>
              <w:spacing w:before="0" w:after="283"/>
              <w:jc w:val="left"/>
              <w:rPr>
                <w:sz w:val="4"/>
                <w:szCs w:val="4"/>
              </w:rPr>
            </w:pPr>
            <w:r>
              <w:rPr>
                <w:sz w:val="4"/>
                <w:szCs w:val="4"/>
              </w:rPr>
            </w:r>
          </w:p>
        </w:tc>
        <w:tc>
          <w:tcPr>
            <w:tcW w:w="204" w:type="dxa"/>
            <w:tcBorders>
              <w:left w:val="single" w:sz="2" w:space="0" w:color="000000"/>
            </w:tcBorders>
            <w:tcMar>
              <w:left w:w="28" w:type="dxa"/>
            </w:tcMar>
            <w:vAlign w:val="bottom"/>
          </w:tcPr>
          <w:p>
            <w:pPr>
              <w:pStyle w:val="TableContents"/>
              <w:bidi w:val="0"/>
              <w:spacing w:before="0" w:after="283"/>
              <w:jc w:val="left"/>
              <w:rPr/>
            </w:pPr>
            <w:r>
              <w:rPr/>
              <w:t>  </w:t>
            </w:r>
          </w:p>
        </w:tc>
        <w:tc>
          <w:tcPr>
            <w:tcW w:w="81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5" w:type="dxa"/>
            <w:tcBorders>
              <w:right w:val="single" w:sz="2" w:space="0" w:color="000000"/>
            </w:tcBorders>
            <w:tcMar>
              <w:right w:w="40" w:type="dxa"/>
            </w:tcMar>
          </w:tcPr>
          <w:p>
            <w:pPr>
              <w:pStyle w:val="TableContents"/>
              <w:bidi w:val="0"/>
              <w:spacing w:before="0" w:after="283"/>
              <w:jc w:val="left"/>
              <w:rPr>
                <w:rFonts w:ascii="Arial Narrow" w:hAnsi="Arial Narrow"/>
              </w:rPr>
            </w:pPr>
            <w:r>
              <w:rPr>
                <w:rFonts w:ascii="Arial Narrow" w:hAnsi="Arial Narrow"/>
                <w:b/>
              </w:rPr>
              <w:t xml:space="preserve">PHONE </w:t>
            </w:r>
            <w:r>
              <w:rPr>
                <w:rFonts w:ascii="Arial Narrow" w:hAnsi="Arial Narrow"/>
              </w:rPr>
              <w:t xml:space="preserve">Call </w:t>
            </w:r>
            <w:r>
              <w:rPr>
                <w:rFonts w:ascii="Arial Narrow" w:hAnsi="Arial Narrow"/>
                <w:b/>
              </w:rPr>
              <w:t xml:space="preserve">1-866-430-8290 </w:t>
            </w:r>
          </w:p>
        </w:tc>
      </w:tr>
      <w:tr>
        <w:trPr/>
        <w:tc>
          <w:tcPr>
            <w:tcW w:w="4796" w:type="dxa"/>
            <w:tcBorders/>
          </w:tcPr>
          <w:p>
            <w:pPr>
              <w:pStyle w:val="TableContents"/>
              <w:bidi w:val="0"/>
              <w:spacing w:before="0" w:after="283"/>
              <w:jc w:val="left"/>
              <w:rPr>
                <w:sz w:val="4"/>
                <w:szCs w:val="4"/>
              </w:rPr>
            </w:pPr>
            <w:r>
              <w:rPr>
                <w:sz w:val="4"/>
                <w:szCs w:val="4"/>
              </w:rPr>
            </w:r>
          </w:p>
        </w:tc>
        <w:tc>
          <w:tcPr>
            <w:tcW w:w="204" w:type="dxa"/>
            <w:vMerge w:val="restart"/>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6" w:type="dxa"/>
            <w:vMerge w:val="restart"/>
            <w:tcBorders>
              <w:bottom w:val="single" w:sz="2" w:space="0" w:color="000000"/>
            </w:tcBorders>
            <w:tcMar>
              <w:bottom w:w="28" w:type="dxa"/>
            </w:tcMar>
            <w:vAlign w:val="center"/>
          </w:tcPr>
          <w:p>
            <w:pPr>
              <w:pStyle w:val="TableContents"/>
              <w:bidi w:val="0"/>
              <w:spacing w:before="0" w:after="283"/>
              <w:jc w:val="center"/>
              <w:rPr/>
            </w:pPr>
            <w:r>
              <w:rPr/>
              <w:drawing>
                <wp:inline distT="0" distB="0" distL="0" distR="0">
                  <wp:extent cx="111125" cy="19748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125" cy="19748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4185" w:type="dxa"/>
            <w:tcBorders>
              <w:right w:val="single" w:sz="2" w:space="0" w:color="000000"/>
            </w:tcBorders>
            <w:tcMar>
              <w:right w:w="40" w:type="dxa"/>
            </w:tcMar>
          </w:tcPr>
          <w:p>
            <w:pPr>
              <w:pStyle w:val="TableContents"/>
              <w:bidi w:val="0"/>
              <w:spacing w:before="0" w:after="0"/>
              <w:jc w:val="left"/>
              <w:rPr>
                <w:rFonts w:ascii="Arial Narrow" w:hAnsi="Arial Narrow"/>
                <w:sz w:val="16"/>
              </w:rPr>
            </w:pPr>
            <w:r>
              <w:rPr>
                <w:rFonts w:ascii="Arial Narrow" w:hAnsi="Arial Narrow"/>
                <w:sz w:val="16"/>
              </w:rPr>
              <w:t>  Use any touch-tone telephone</w:t>
            </w:r>
          </w:p>
        </w:tc>
      </w:tr>
      <w:tr>
        <w:trPr/>
        <w:tc>
          <w:tcPr>
            <w:tcW w:w="4796" w:type="dxa"/>
            <w:tcBorders/>
          </w:tcPr>
          <w:p>
            <w:pPr>
              <w:pStyle w:val="TableContents"/>
              <w:bidi w:val="0"/>
              <w:spacing w:before="0" w:after="283"/>
              <w:jc w:val="left"/>
              <w:rPr>
                <w:sz w:val="4"/>
                <w:szCs w:val="4"/>
              </w:rPr>
            </w:pPr>
            <w:r>
              <w:rPr>
                <w:sz w:val="4"/>
                <w:szCs w:val="4"/>
              </w:rPr>
            </w:r>
          </w:p>
        </w:tc>
        <w:tc>
          <w:tcPr>
            <w:tcW w:w="204" w:type="dxa"/>
            <w:vMerge w:val="continue"/>
            <w:tcBorders>
              <w:left w:val="single" w:sz="2" w:space="0" w:color="000000"/>
              <w:bottom w:val="single" w:sz="2" w:space="0" w:color="000000"/>
            </w:tcBorders>
            <w:tcMar>
              <w:left w:w="28" w:type="dxa"/>
              <w:bottom w:w="28" w:type="dxa"/>
            </w:tcMar>
            <w:vAlign w:val="bottom"/>
          </w:tcPr>
          <w:p>
            <w:pPr>
              <w:pStyle w:val="Normal"/>
              <w:bidi w:val="0"/>
              <w:jc w:val="left"/>
              <w:rPr/>
            </w:pPr>
            <w:r>
              <w:rPr/>
            </w:r>
          </w:p>
        </w:tc>
        <w:tc>
          <w:tcPr>
            <w:tcW w:w="816" w:type="dxa"/>
            <w:vMerge w:val="continue"/>
            <w:tcBorders>
              <w:bottom w:val="single" w:sz="2" w:space="0" w:color="000000"/>
            </w:tcBorders>
            <w:tcMar>
              <w:bottom w:w="28" w:type="dxa"/>
            </w:tcMar>
            <w:vAlign w:val="center"/>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4185" w:type="dxa"/>
            <w:tcBorders>
              <w:right w:val="single" w:sz="2" w:space="0" w:color="000000"/>
            </w:tcBorders>
            <w:tcMar>
              <w:right w:w="40" w:type="dxa"/>
            </w:tcMar>
          </w:tcPr>
          <w:p>
            <w:pPr>
              <w:pStyle w:val="TableContents"/>
              <w:bidi w:val="0"/>
              <w:spacing w:before="0" w:after="0"/>
              <w:jc w:val="left"/>
              <w:rPr>
                <w:rFonts w:ascii="Arial Narrow" w:hAnsi="Arial Narrow"/>
                <w:b/>
                <w:sz w:val="16"/>
              </w:rPr>
            </w:pPr>
            <w:r>
              <w:rPr>
                <w:rFonts w:ascii="Arial Narrow" w:hAnsi="Arial Narrow"/>
                <w:b/>
                <w:sz w:val="16"/>
              </w:rPr>
              <w:t> Have your Proxy Card ready</w:t>
            </w:r>
          </w:p>
        </w:tc>
      </w:tr>
      <w:tr>
        <w:trPr/>
        <w:tc>
          <w:tcPr>
            <w:tcW w:w="4796" w:type="dxa"/>
            <w:tcBorders/>
          </w:tcPr>
          <w:p>
            <w:pPr>
              <w:pStyle w:val="TableContents"/>
              <w:bidi w:val="0"/>
              <w:spacing w:before="0" w:after="283"/>
              <w:jc w:val="left"/>
              <w:rPr>
                <w:sz w:val="4"/>
                <w:szCs w:val="4"/>
              </w:rPr>
            </w:pPr>
            <w:r>
              <w:rPr>
                <w:sz w:val="4"/>
                <w:szCs w:val="4"/>
              </w:rPr>
            </w:r>
          </w:p>
        </w:tc>
        <w:tc>
          <w:tcPr>
            <w:tcW w:w="204" w:type="dxa"/>
            <w:vMerge w:val="continue"/>
            <w:tcBorders>
              <w:left w:val="single" w:sz="2" w:space="0" w:color="000000"/>
              <w:bottom w:val="single" w:sz="2" w:space="0" w:color="000000"/>
            </w:tcBorders>
            <w:tcMar>
              <w:left w:w="28" w:type="dxa"/>
              <w:bottom w:w="28" w:type="dxa"/>
            </w:tcMar>
            <w:vAlign w:val="bottom"/>
          </w:tcPr>
          <w:p>
            <w:pPr>
              <w:pStyle w:val="Normal"/>
              <w:bidi w:val="0"/>
              <w:jc w:val="left"/>
              <w:rPr/>
            </w:pPr>
            <w:r>
              <w:rPr/>
            </w:r>
          </w:p>
        </w:tc>
        <w:tc>
          <w:tcPr>
            <w:tcW w:w="816" w:type="dxa"/>
            <w:vMerge w:val="continue"/>
            <w:tcBorders>
              <w:bottom w:val="single" w:sz="2" w:space="0" w:color="000000"/>
            </w:tcBorders>
            <w:tcMar>
              <w:bottom w:w="28" w:type="dxa"/>
            </w:tcMar>
            <w:vAlign w:val="center"/>
          </w:tcPr>
          <w:p>
            <w:pPr>
              <w:pStyle w:val="Normal"/>
              <w:bidi w:val="0"/>
              <w:jc w:val="left"/>
              <w:rPr/>
            </w:pPr>
            <w:r>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185"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Arial Narrow" w:hAnsi="Arial Narrow"/>
                <w:sz w:val="16"/>
              </w:rPr>
            </w:pPr>
            <w:r>
              <w:rPr>
                <w:rFonts w:ascii="Arial Narrow" w:hAnsi="Arial Narrow"/>
                <w:sz w:val="16"/>
              </w:rPr>
              <w:t>  Follow the simple recorded instructions</w:t>
            </w:r>
          </w:p>
        </w:tc>
      </w:tr>
      <w:tr>
        <w:trPr/>
        <w:tc>
          <w:tcPr>
            <w:tcW w:w="4796" w:type="dxa"/>
            <w:tcBorders/>
          </w:tcPr>
          <w:p>
            <w:pPr>
              <w:pStyle w:val="TableContents"/>
              <w:bidi w:val="0"/>
              <w:spacing w:before="0" w:after="283"/>
              <w:jc w:val="left"/>
              <w:rPr>
                <w:sz w:val="4"/>
                <w:szCs w:val="4"/>
              </w:rPr>
            </w:pPr>
            <w:r>
              <w:rPr>
                <w:sz w:val="4"/>
                <w:szCs w:val="4"/>
              </w:rPr>
            </w:r>
          </w:p>
        </w:tc>
        <w:tc>
          <w:tcPr>
            <w:tcW w:w="204" w:type="dxa"/>
            <w:tcBorders>
              <w:left w:val="single" w:sz="2" w:space="0" w:color="000000"/>
            </w:tcBorders>
            <w:tcMar>
              <w:left w:w="28" w:type="dxa"/>
            </w:tcMar>
            <w:vAlign w:val="bottom"/>
          </w:tcPr>
          <w:p>
            <w:pPr>
              <w:pStyle w:val="TableContents"/>
              <w:bidi w:val="0"/>
              <w:spacing w:before="0" w:after="283"/>
              <w:jc w:val="left"/>
              <w:rPr/>
            </w:pPr>
            <w:r>
              <w:rPr/>
              <w:t>  </w:t>
            </w:r>
          </w:p>
        </w:tc>
        <w:tc>
          <w:tcPr>
            <w:tcW w:w="81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185" w:type="dxa"/>
            <w:tcBorders>
              <w:right w:val="single" w:sz="2" w:space="0" w:color="000000"/>
            </w:tcBorders>
            <w:tcMar>
              <w:right w:w="40" w:type="dxa"/>
            </w:tcMar>
          </w:tcPr>
          <w:p>
            <w:pPr>
              <w:pStyle w:val="TableContents"/>
              <w:bidi w:val="0"/>
              <w:spacing w:before="0" w:after="283"/>
              <w:jc w:val="left"/>
              <w:rPr>
                <w:rFonts w:ascii="Arial Narrow" w:hAnsi="Arial Narrow"/>
                <w:b/>
              </w:rPr>
            </w:pPr>
            <w:r>
              <w:rPr>
                <w:rFonts w:ascii="Arial Narrow" w:hAnsi="Arial Narrow"/>
                <w:b/>
              </w:rPr>
              <w:t>MAIL</w:t>
            </w:r>
          </w:p>
        </w:tc>
      </w:tr>
      <w:tr>
        <w:trPr/>
        <w:tc>
          <w:tcPr>
            <w:tcW w:w="4796" w:type="dxa"/>
            <w:tcBorders/>
          </w:tcPr>
          <w:p>
            <w:pPr>
              <w:pStyle w:val="TableContents"/>
              <w:bidi w:val="0"/>
              <w:spacing w:before="0" w:after="283"/>
              <w:jc w:val="left"/>
              <w:rPr>
                <w:sz w:val="4"/>
                <w:szCs w:val="4"/>
              </w:rPr>
            </w:pPr>
            <w:r>
              <w:rPr>
                <w:sz w:val="4"/>
                <w:szCs w:val="4"/>
              </w:rPr>
            </w:r>
          </w:p>
        </w:tc>
        <w:tc>
          <w:tcPr>
            <w:tcW w:w="204" w:type="dxa"/>
            <w:vMerge w:val="restart"/>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6" w:type="dxa"/>
            <w:vMerge w:val="restart"/>
            <w:tcBorders>
              <w:bottom w:val="single" w:sz="2" w:space="0" w:color="000000"/>
            </w:tcBorders>
            <w:tcMar>
              <w:bottom w:w="28" w:type="dxa"/>
            </w:tcMar>
            <w:vAlign w:val="center"/>
          </w:tcPr>
          <w:p>
            <w:pPr>
              <w:pStyle w:val="TableContents"/>
              <w:bidi w:val="0"/>
              <w:spacing w:before="0" w:after="283"/>
              <w:jc w:val="center"/>
              <w:rPr/>
            </w:pPr>
            <w:r>
              <w:rPr/>
              <w:drawing>
                <wp:inline distT="0" distB="0" distL="0" distR="0">
                  <wp:extent cx="265430" cy="17335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65430" cy="17335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4185" w:type="dxa"/>
            <w:tcBorders>
              <w:right w:val="single" w:sz="2" w:space="0" w:color="000000"/>
            </w:tcBorders>
            <w:tcMar>
              <w:right w:w="40" w:type="dxa"/>
            </w:tcMar>
          </w:tcPr>
          <w:p>
            <w:pPr>
              <w:pStyle w:val="TableContents"/>
              <w:bidi w:val="0"/>
              <w:spacing w:before="0" w:after="0"/>
              <w:jc w:val="left"/>
              <w:rPr>
                <w:rFonts w:ascii="Arial Narrow" w:hAnsi="Arial Narrow"/>
                <w:sz w:val="16"/>
              </w:rPr>
            </w:pPr>
            <w:r>
              <w:rPr>
                <w:rFonts w:ascii="Arial Narrow" w:hAnsi="Arial Narrow"/>
                <w:sz w:val="16"/>
              </w:rPr>
              <w:t>  Mark, sign and date your Proxy Card</w:t>
            </w:r>
          </w:p>
        </w:tc>
      </w:tr>
      <w:tr>
        <w:trPr/>
        <w:tc>
          <w:tcPr>
            <w:tcW w:w="4796" w:type="dxa"/>
            <w:tcBorders/>
          </w:tcPr>
          <w:p>
            <w:pPr>
              <w:pStyle w:val="TableContents"/>
              <w:bidi w:val="0"/>
              <w:spacing w:before="0" w:after="283"/>
              <w:jc w:val="left"/>
              <w:rPr>
                <w:sz w:val="4"/>
                <w:szCs w:val="4"/>
              </w:rPr>
            </w:pPr>
            <w:r>
              <w:rPr>
                <w:sz w:val="4"/>
                <w:szCs w:val="4"/>
              </w:rPr>
            </w:r>
          </w:p>
        </w:tc>
        <w:tc>
          <w:tcPr>
            <w:tcW w:w="204" w:type="dxa"/>
            <w:vMerge w:val="continue"/>
            <w:tcBorders>
              <w:left w:val="single" w:sz="2" w:space="0" w:color="000000"/>
              <w:bottom w:val="single" w:sz="2" w:space="0" w:color="000000"/>
            </w:tcBorders>
            <w:tcMar>
              <w:left w:w="28" w:type="dxa"/>
              <w:bottom w:w="28" w:type="dxa"/>
            </w:tcMar>
            <w:vAlign w:val="bottom"/>
          </w:tcPr>
          <w:p>
            <w:pPr>
              <w:pStyle w:val="Normal"/>
              <w:bidi w:val="0"/>
              <w:jc w:val="left"/>
              <w:rPr/>
            </w:pPr>
            <w:r>
              <w:rPr/>
            </w:r>
          </w:p>
        </w:tc>
        <w:tc>
          <w:tcPr>
            <w:tcW w:w="816" w:type="dxa"/>
            <w:vMerge w:val="continue"/>
            <w:tcBorders>
              <w:bottom w:val="single" w:sz="2" w:space="0" w:color="000000"/>
            </w:tcBorders>
            <w:tcMar>
              <w:bottom w:w="28" w:type="dxa"/>
            </w:tcMar>
            <w:vAlign w:val="center"/>
          </w:tcPr>
          <w:p>
            <w:pPr>
              <w:pStyle w:val="Normal"/>
              <w:bidi w:val="0"/>
              <w:jc w:val="left"/>
              <w:rPr/>
            </w:pPr>
            <w:r>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185"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Arial Narrow" w:hAnsi="Arial Narrow"/>
                <w:sz w:val="16"/>
              </w:rPr>
            </w:pPr>
            <w:r>
              <w:rPr>
                <w:rFonts w:ascii="Arial Narrow" w:hAnsi="Arial Narrow"/>
                <w:sz w:val="16"/>
              </w:rPr>
              <w:t>  Fold and return your Proxy Card in the postage-paid envelope provided</w:t>
            </w:r>
          </w:p>
        </w:tc>
      </w:tr>
      <w:tr>
        <w:trPr/>
        <w:tc>
          <w:tcPr>
            <w:tcW w:w="4796" w:type="dxa"/>
            <w:tcBorders/>
          </w:tcPr>
          <w:p>
            <w:pPr>
              <w:pStyle w:val="TableContents"/>
              <w:bidi w:val="0"/>
              <w:spacing w:before="0" w:after="283"/>
              <w:jc w:val="left"/>
              <w:rPr>
                <w:sz w:val="4"/>
                <w:szCs w:val="4"/>
              </w:rPr>
            </w:pPr>
            <w:r>
              <w:rPr>
                <w:sz w:val="4"/>
                <w:szCs w:val="4"/>
              </w:rPr>
            </w:r>
          </w:p>
        </w:tc>
        <w:tc>
          <w:tcPr>
            <w:tcW w:w="2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6" w:type="dxa"/>
            <w:tcBorders>
              <w:bottom w:val="single" w:sz="2" w:space="0" w:color="000000"/>
            </w:tcBorders>
            <w:tcMar>
              <w:bottom w:w="28" w:type="dxa"/>
            </w:tcMar>
            <w:vAlign w:val="center"/>
          </w:tcPr>
          <w:p>
            <w:pPr>
              <w:pStyle w:val="TableContents"/>
              <w:bidi w:val="0"/>
              <w:spacing w:before="0" w:after="283"/>
              <w:jc w:val="center"/>
              <w:rPr/>
            </w:pPr>
            <w:r>
              <w:rPr/>
              <w:drawing>
                <wp:inline distT="0" distB="0" distL="0" distR="0">
                  <wp:extent cx="259715" cy="1543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59715" cy="154305"/>
                          </a:xfrm>
                          <a:prstGeom prst="rect">
                            <a:avLst/>
                          </a:prstGeom>
                        </pic:spPr>
                      </pic:pic>
                    </a:graphicData>
                  </a:graphic>
                </wp:inline>
              </w:drawing>
            </w:r>
            <w:r>
              <w:rPr/>
              <w:t xml:space="preserve"> </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185"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Arial Narrow" w:hAnsi="Arial Narrow"/>
                <w:sz w:val="16"/>
              </w:rPr>
            </w:pPr>
            <w:r>
              <w:rPr>
                <w:rFonts w:ascii="Arial Narrow" w:hAnsi="Arial Narrow"/>
                <w:sz w:val="16"/>
              </w:rPr>
              <w:t>You must register by June 10, 2024 at 5:00 PM Eastern Time to attend the meeting online and/or participate at www.proxydocs.com/AVRO</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8"/>
        <w:gridCol w:w="203"/>
        <w:gridCol w:w="3674"/>
      </w:tblGrid>
      <w:tr>
        <w:trPr/>
        <w:tc>
          <w:tcPr>
            <w:tcW w:w="63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6328" w:type="dxa"/>
            <w:tcBorders/>
          </w:tcPr>
          <w:p>
            <w:pPr>
              <w:pStyle w:val="TableContents"/>
              <w:bidi w:val="0"/>
              <w:spacing w:before="0" w:after="0"/>
              <w:jc w:val="left"/>
              <w:rPr>
                <w:rFonts w:ascii="Arial Narrow" w:hAnsi="Arial Narrow"/>
                <w:b/>
                <w:sz w:val="34"/>
              </w:rPr>
            </w:pPr>
            <w:r>
              <w:rPr>
                <w:rFonts w:ascii="Arial Narrow" w:hAnsi="Arial Narrow"/>
                <w:b/>
                <w:sz w:val="34"/>
              </w:rPr>
              <w:t>AVROBIO, Inc.</w:t>
            </w:r>
          </w:p>
          <w:p>
            <w:pPr>
              <w:pStyle w:val="TableContents"/>
              <w:bidi w:val="0"/>
              <w:spacing w:before="0" w:after="0"/>
              <w:jc w:val="left"/>
              <w:rPr/>
            </w:pPr>
            <w:r>
              <w:rPr/>
              <w:t> </w:t>
            </w:r>
          </w:p>
          <w:p>
            <w:pPr>
              <w:pStyle w:val="TableContents"/>
              <w:bidi w:val="0"/>
              <w:spacing w:before="0" w:after="0"/>
              <w:jc w:val="left"/>
              <w:rPr>
                <w:rFonts w:ascii="Arial Narrow" w:hAnsi="Arial Narrow"/>
                <w:b/>
                <w:sz w:val="22"/>
              </w:rPr>
            </w:pPr>
            <w:r>
              <w:rPr>
                <w:rFonts w:ascii="Arial Narrow" w:hAnsi="Arial Narrow"/>
                <w:b/>
                <w:sz w:val="22"/>
              </w:rPr>
              <w:t>Special Meeting of Stockholders</w:t>
            </w:r>
          </w:p>
          <w:p>
            <w:pPr>
              <w:pStyle w:val="TableContents"/>
              <w:bidi w:val="0"/>
              <w:spacing w:before="0" w:after="0"/>
              <w:jc w:val="left"/>
              <w:rPr/>
            </w:pPr>
            <w:r>
              <w:rPr/>
              <w:t> </w:t>
            </w:r>
          </w:p>
          <w:p>
            <w:pPr>
              <w:pStyle w:val="TableContents"/>
              <w:bidi w:val="0"/>
              <w:spacing w:before="0" w:after="20"/>
              <w:jc w:val="left"/>
              <w:rPr>
                <w:rFonts w:ascii="Arial Narrow" w:hAnsi="Arial Narrow"/>
                <w:sz w:val="18"/>
              </w:rPr>
            </w:pPr>
            <w:r>
              <w:rPr>
                <w:rFonts w:ascii="Arial Narrow" w:hAnsi="Arial Narrow"/>
                <w:sz w:val="18"/>
              </w:rPr>
              <w:t>For stockholders of record at the close of business on April 29, 2024</w:t>
            </w:r>
          </w:p>
        </w:tc>
        <w:tc>
          <w:tcPr>
            <w:tcW w:w="203" w:type="dxa"/>
            <w:tcBorders/>
            <w:vAlign w:val="bottom"/>
          </w:tcPr>
          <w:p>
            <w:pPr>
              <w:pStyle w:val="TableContents"/>
              <w:bidi w:val="0"/>
              <w:spacing w:before="0" w:after="283"/>
              <w:jc w:val="left"/>
              <w:rPr/>
            </w:pPr>
            <w:r>
              <w:rPr/>
              <w:t>  </w:t>
            </w:r>
          </w:p>
        </w:tc>
        <w:tc>
          <w:tcPr>
            <w:tcW w:w="3674" w:type="dxa"/>
            <w:tcBorders/>
          </w:tcPr>
          <w:p>
            <w:pPr>
              <w:pStyle w:val="TableContents"/>
              <w:bidi w:val="0"/>
              <w:spacing w:before="0" w:after="283"/>
              <w:jc w:val="right"/>
              <w:rPr/>
            </w:pPr>
            <w:r>
              <w:rPr/>
              <w:drawing>
                <wp:inline distT="0" distB="0" distL="0" distR="0">
                  <wp:extent cx="118745" cy="285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8745" cy="28575"/>
                          </a:xfrm>
                          <a:prstGeom prst="rect">
                            <a:avLst/>
                          </a:prstGeom>
                        </pic:spPr>
                      </pic:pic>
                    </a:graphicData>
                  </a:graphic>
                </wp:inline>
              </w:drawing>
            </w:r>
            <w:r>
              <w:rPr/>
              <w:t xml:space="preserve"> </w:t>
            </w:r>
          </w:p>
        </w:tc>
      </w:tr>
    </w:tbl>
    <w:p>
      <w:pPr>
        <w:pStyle w:val="TextBody"/>
        <w:bidi w:val="0"/>
        <w:spacing w:before="360" w:after="0"/>
        <w:jc w:val="left"/>
        <w:rPr>
          <w:rFonts w:ascii="Arial Narrow" w:hAnsi="Arial Narrow"/>
          <w:sz w:val="18"/>
        </w:rPr>
      </w:pPr>
      <w:r>
        <w:rPr>
          <w:rFonts w:ascii="Arial Narrow" w:hAnsi="Arial Narrow"/>
          <w:b/>
          <w:sz w:val="18"/>
        </w:rPr>
        <w:t>DATE:</w:t>
      </w:r>
      <w:r>
        <w:rPr>
          <w:rFonts w:ascii="Arial Narrow" w:hAnsi="Arial Narrow"/>
          <w:sz w:val="18"/>
        </w:rPr>
        <w:t xml:space="preserve">    Tuesday, June 11, 2024 </w:t>
      </w:r>
    </w:p>
    <w:p>
      <w:pPr>
        <w:pStyle w:val="TextBody"/>
        <w:bidi w:val="0"/>
        <w:spacing w:before="0" w:after="0"/>
        <w:jc w:val="left"/>
        <w:rPr>
          <w:rFonts w:ascii="Arial Narrow" w:hAnsi="Arial Narrow"/>
          <w:sz w:val="18"/>
        </w:rPr>
      </w:pPr>
      <w:r>
        <w:rPr>
          <w:rFonts w:ascii="Arial Narrow" w:hAnsi="Arial Narrow"/>
          <w:b/>
          <w:sz w:val="18"/>
        </w:rPr>
        <w:t>TIME:  </w:t>
      </w:r>
      <w:r>
        <w:rPr>
          <w:rFonts w:ascii="Arial Narrow" w:hAnsi="Arial Narrow"/>
          <w:sz w:val="18"/>
        </w:rPr>
        <w:t xml:space="preserve">9:00 AM, Eastern Time </w:t>
      </w:r>
    </w:p>
    <w:p>
      <w:pPr>
        <w:pStyle w:val="TextBody"/>
        <w:bidi w:val="0"/>
        <w:spacing w:before="0" w:after="0"/>
        <w:jc w:val="left"/>
        <w:rPr>
          <w:rFonts w:ascii="Arial Narrow" w:hAnsi="Arial Narrow"/>
          <w:sz w:val="18"/>
        </w:rPr>
      </w:pPr>
      <w:r>
        <w:rPr>
          <w:rFonts w:ascii="Arial Narrow" w:hAnsi="Arial Narrow"/>
          <w:b/>
          <w:sz w:val="18"/>
        </w:rPr>
        <w:t>PLACE: </w:t>
      </w:r>
      <w:r>
        <w:rPr>
          <w:rFonts w:ascii="Arial Narrow" w:hAnsi="Arial Narrow"/>
          <w:sz w:val="18"/>
        </w:rPr>
        <w:t xml:space="preserve">Special Meeting to be held live via the internet - please visit </w:t>
      </w:r>
    </w:p>
    <w:p>
      <w:pPr>
        <w:pStyle w:val="TextBody"/>
        <w:bidi w:val="0"/>
        <w:spacing w:before="0" w:after="0"/>
        <w:jc w:val="left"/>
        <w:rPr/>
      </w:pPr>
      <w:r>
        <w:rPr/>
        <w:t>  </w:t>
      </w:r>
      <w:r>
        <w:rPr>
          <w:rFonts w:ascii="Arial Narrow" w:hAnsi="Arial Narrow"/>
          <w:sz w:val="18"/>
        </w:rPr>
        <w:t xml:space="preserve">www.proxydocs.com/AVRO for more details </w:t>
      </w:r>
    </w:p>
    <w:p>
      <w:pPr>
        <w:pStyle w:val="TextBody"/>
        <w:bidi w:val="0"/>
        <w:spacing w:before="240" w:after="0"/>
        <w:jc w:val="center"/>
        <w:rPr>
          <w:rFonts w:ascii="Arial Narrow" w:hAnsi="Arial Narrow"/>
          <w:b/>
          <w:sz w:val="20"/>
        </w:rPr>
      </w:pPr>
      <w:r>
        <w:rPr>
          <w:rFonts w:ascii="Arial Narrow" w:hAnsi="Arial Narrow"/>
          <w:b/>
          <w:sz w:val="20"/>
        </w:rPr>
        <w:t xml:space="preserve">This proxy is being solicited on behalf of the Board of Directors </w:t>
      </w:r>
    </w:p>
    <w:p>
      <w:pPr>
        <w:pStyle w:val="TextBody"/>
        <w:bidi w:val="0"/>
        <w:spacing w:before="120" w:after="0"/>
        <w:jc w:val="left"/>
        <w:rPr>
          <w:rFonts w:ascii="Arial Narrow" w:hAnsi="Arial Narrow"/>
          <w:sz w:val="16"/>
        </w:rPr>
      </w:pPr>
      <w:r>
        <w:rPr>
          <w:rFonts w:ascii="Arial Narrow" w:hAnsi="Arial Narrow"/>
          <w:sz w:val="16"/>
        </w:rPr>
        <w:t xml:space="preserve">The undersigned hereby appoints Erik Ostrowski and Steven Avruch, and each of them (the Named Proxies), as the true and lawful attorneys of the undersigned, with full power of substitution and revocation, and authorizes them, and each of them, to vote all the shares of capital stock of AVROBIO, Inc. which the undersigned is entitled to vote at said meeting and any adjournment thereof upon the matters specified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240" w:after="0"/>
        <w:jc w:val="left"/>
        <w:rPr>
          <w:rFonts w:ascii="Arial Narrow" w:hAnsi="Arial Narrow"/>
          <w:sz w:val="16"/>
        </w:rPr>
      </w:pPr>
      <w:r>
        <w:rPr>
          <w:rFonts w:ascii="Arial Narrow" w:hAnsi="Arial Narrow"/>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240" w:after="0"/>
        <w:jc w:val="left"/>
        <w:rPr>
          <w:rFonts w:ascii="Arial Narrow" w:hAnsi="Arial Narrow"/>
          <w:sz w:val="16"/>
        </w:rPr>
      </w:pPr>
      <w:r>
        <w:rPr>
          <w:rFonts w:ascii="Arial Narrow" w:hAnsi="Arial Narrow"/>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960" w:after="0"/>
        <w:jc w:val="center"/>
        <w:rPr>
          <w:rFonts w:ascii="Arial Narrow" w:hAnsi="Arial Narrow"/>
          <w:sz w:val="16"/>
        </w:rPr>
      </w:pPr>
      <w:r>
        <w:rPr>
          <w:rFonts w:ascii="Arial Narrow" w:hAnsi="Arial Narrow"/>
          <w:sz w:val="16"/>
        </w:rPr>
        <w:t xml:space="preserve">PLEASE BE SURE TO SIGN AND DATE THIS PROXY CARD AND MARK ON THE REVERSE SIDE </w:t>
      </w:r>
    </w:p>
    <w:p>
      <w:pPr>
        <w:pStyle w:val="TextBody"/>
        <w:bidi w:val="0"/>
        <w:spacing w:before="0" w:after="0"/>
        <w:jc w:val="left"/>
        <w:rPr/>
      </w:pPr>
      <w:r>
        <w:rPr/>
        <w:t> </w:t>
      </w:r>
    </w:p>
    <w:p>
      <w:pPr>
        <w:pStyle w:val="TextBody"/>
        <w:bidi w:val="0"/>
        <w:spacing w:before="0" w:after="0"/>
        <w:jc w:val="center"/>
        <w:rPr>
          <w:rFonts w:ascii="Arial Narrow" w:hAnsi="Arial Narrow"/>
          <w:sz w:val="20"/>
        </w:rPr>
      </w:pPr>
      <w:r>
        <w:rPr>
          <w:rFonts w:ascii="Arial Narrow" w:hAnsi="Arial Narrow"/>
          <w:sz w:val="20"/>
        </w:rPr>
        <w:t xml:space="preserve">L-1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Narrow" w:hAnsi="Arial Narrow"/>
          <w:b/>
          <w:sz w:val="36"/>
        </w:rPr>
      </w:pPr>
      <w:r>
        <w:rPr>
          <w:rFonts w:ascii="Arial Narrow" w:hAnsi="Arial Narrow"/>
          <w:b/>
          <w:sz w:val="36"/>
        </w:rPr>
        <w:t xml:space="preserve">AVROBIO, Inc. </w:t>
      </w:r>
    </w:p>
    <w:p>
      <w:pPr>
        <w:pStyle w:val="TextBody"/>
        <w:bidi w:val="0"/>
        <w:spacing w:before="0" w:after="0"/>
        <w:jc w:val="center"/>
        <w:rPr>
          <w:rFonts w:ascii="Arial Narrow" w:hAnsi="Arial Narrow"/>
          <w:b/>
          <w:sz w:val="24"/>
        </w:rPr>
      </w:pPr>
      <w:r>
        <w:rPr>
          <w:rFonts w:ascii="Arial Narrow" w:hAnsi="Arial Narrow"/>
          <w:b/>
          <w:sz w:val="24"/>
        </w:rPr>
        <w:t xml:space="preserve">Special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1"/>
        <w:gridCol w:w="100"/>
        <w:gridCol w:w="7554"/>
      </w:tblGrid>
      <w:tr>
        <w:trPr/>
        <w:tc>
          <w:tcPr>
            <w:tcW w:w="255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7554" w:type="dxa"/>
            <w:tcBorders/>
            <w:vAlign w:val="center"/>
          </w:tcPr>
          <w:p>
            <w:pPr>
              <w:pStyle w:val="TableContents"/>
              <w:bidi w:val="0"/>
              <w:spacing w:before="0" w:after="283"/>
              <w:jc w:val="left"/>
              <w:rPr>
                <w:sz w:val="4"/>
                <w:szCs w:val="4"/>
              </w:rPr>
            </w:pPr>
            <w:r>
              <w:rPr>
                <w:sz w:val="4"/>
                <w:szCs w:val="4"/>
              </w:rPr>
            </w:r>
          </w:p>
        </w:tc>
      </w:tr>
      <w:tr>
        <w:trPr/>
        <w:tc>
          <w:tcPr>
            <w:tcW w:w="2551" w:type="dxa"/>
            <w:tcBorders/>
          </w:tcPr>
          <w:p>
            <w:pPr>
              <w:pStyle w:val="TableContents"/>
              <w:bidi w:val="0"/>
              <w:spacing w:before="0" w:after="283"/>
              <w:jc w:val="left"/>
              <w:rPr>
                <w:rFonts w:ascii="Arial Narrow" w:hAnsi="Arial Narrow"/>
                <w:b/>
                <w:sz w:val="16"/>
              </w:rPr>
            </w:pPr>
            <w:r>
              <w:rPr>
                <w:rFonts w:ascii="Arial Narrow" w:hAnsi="Arial Narrow"/>
                <w:b/>
                <w:sz w:val="16"/>
              </w:rPr>
              <w:t>Please make your marks like this:</w:t>
            </w:r>
          </w:p>
        </w:tc>
        <w:tc>
          <w:tcPr>
            <w:tcW w:w="100" w:type="dxa"/>
            <w:tcBorders/>
            <w:vAlign w:val="bottom"/>
          </w:tcPr>
          <w:p>
            <w:pPr>
              <w:pStyle w:val="TableContents"/>
              <w:bidi w:val="0"/>
              <w:spacing w:before="0" w:after="283"/>
              <w:jc w:val="left"/>
              <w:rPr/>
            </w:pPr>
            <w:r>
              <w:rPr/>
              <w:t> </w:t>
            </w:r>
          </w:p>
        </w:tc>
        <w:tc>
          <w:tcPr>
            <w:tcW w:w="7554" w:type="dxa"/>
            <w:tcBorders/>
            <w:vAlign w:val="center"/>
          </w:tcPr>
          <w:p>
            <w:pPr>
              <w:pStyle w:val="TableContents"/>
              <w:bidi w:val="0"/>
              <w:spacing w:before="0" w:after="283"/>
              <w:jc w:val="left"/>
              <w:rPr/>
            </w:pPr>
            <w:r>
              <w:rPr/>
              <w:drawing>
                <wp:inline distT="0" distB="0" distL="0" distR="0">
                  <wp:extent cx="20320" cy="2032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0320" cy="20320"/>
                          </a:xfrm>
                          <a:prstGeom prst="rect">
                            <a:avLst/>
                          </a:prstGeom>
                        </pic:spPr>
                      </pic:pic>
                    </a:graphicData>
                  </a:graphic>
                </wp:inline>
              </w:drawing>
            </w:r>
            <w:r>
              <w:rPr/>
              <w:t xml:space="preserve"> </w:t>
            </w:r>
          </w:p>
        </w:tc>
      </w:tr>
    </w:tbl>
    <w:p>
      <w:pPr>
        <w:pStyle w:val="TextBody"/>
        <w:bidi w:val="0"/>
        <w:spacing w:before="120" w:after="0"/>
        <w:jc w:val="left"/>
        <w:rPr>
          <w:rFonts w:ascii="Arial Narrow" w:hAnsi="Arial Narrow"/>
          <w:b/>
          <w:sz w:val="16"/>
        </w:rPr>
      </w:pPr>
      <w:r>
        <w:rPr>
          <w:rFonts w:ascii="Arial Narrow" w:hAnsi="Arial Narrow"/>
          <w:b/>
          <w:sz w:val="16"/>
        </w:rPr>
        <w:t xml:space="preserve">THE BOARD OF DIRECTORS RECOMMENDS A VOTE FOR PROPOSAL 1, 2, 3, 4, 5, 6, AND 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
        <w:gridCol w:w="104"/>
        <w:gridCol w:w="4846"/>
        <w:gridCol w:w="208"/>
        <w:gridCol w:w="428"/>
        <w:gridCol w:w="208"/>
        <w:gridCol w:w="1212"/>
        <w:gridCol w:w="270"/>
        <w:gridCol w:w="935"/>
        <w:gridCol w:w="147"/>
        <w:gridCol w:w="1596"/>
      </w:tblGrid>
      <w:tr>
        <w:trPr/>
        <w:tc>
          <w:tcPr>
            <w:tcW w:w="25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25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4846" w:type="dxa"/>
            <w:tcBorders/>
            <w:vAlign w:val="bottom"/>
          </w:tcPr>
          <w:p>
            <w:pPr>
              <w:pStyle w:val="TableContents"/>
              <w:bidi w:val="0"/>
              <w:spacing w:before="0" w:after="283"/>
              <w:jc w:val="left"/>
              <w:rPr>
                <w:rFonts w:ascii="Arial Narrow" w:hAnsi="Arial Narrow"/>
                <w:b/>
              </w:rPr>
            </w:pPr>
            <w:r>
              <w:rPr>
                <w:rFonts w:ascii="Arial Narrow" w:hAnsi="Arial Narrow"/>
                <w:b/>
              </w:rPr>
              <w:t>PROPOSAL</w:t>
            </w:r>
          </w:p>
        </w:tc>
        <w:tc>
          <w:tcPr>
            <w:tcW w:w="20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rFonts w:ascii="Arial Narrow" w:hAnsi="Arial Narrow"/>
                <w:b/>
              </w:rPr>
            </w:pPr>
            <w:r>
              <w:rPr>
                <w:rFonts w:ascii="Arial Narrow" w:hAnsi="Arial Narrow"/>
                <w:b/>
              </w:rPr>
              <w:t>YOUR VOTE</w:t>
            </w:r>
          </w:p>
        </w:tc>
        <w:tc>
          <w:tcPr>
            <w:tcW w:w="27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center"/>
              <w:rPr>
                <w:rFonts w:ascii="Arial Narrow" w:hAnsi="Arial Narrow"/>
                <w:b/>
              </w:rPr>
            </w:pPr>
            <w:r>
              <w:rPr>
                <w:rFonts w:ascii="Arial Narrow" w:hAnsi="Arial Narrow"/>
                <w:b/>
              </w:rPr>
              <w:t>BOARD OF</w:t>
              <w:br/>
              <w:t>DIRECTORS</w:t>
              <w:br/>
              <w:t>RECOMMENDS</w:t>
            </w:r>
          </w:p>
        </w:tc>
      </w:tr>
      <w:tr>
        <w:trPr/>
        <w:tc>
          <w:tcPr>
            <w:tcW w:w="25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484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center"/>
              <w:rPr/>
            </w:pPr>
            <w:r>
              <w:rPr/>
              <w:drawing>
                <wp:inline distT="0" distB="0" distL="0" distR="0">
                  <wp:extent cx="216535" cy="24701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16535" cy="247015"/>
                          </a:xfrm>
                          <a:prstGeom prst="rect">
                            <a:avLst/>
                          </a:prstGeom>
                        </pic:spPr>
                      </pic:pic>
                    </a:graphicData>
                  </a:graphic>
                </wp:inline>
              </w:drawing>
            </w:r>
            <w:r>
              <w:rPr/>
              <w:t xml:space="preserve"> </w:t>
            </w:r>
          </w:p>
        </w:tc>
      </w:tr>
      <w:tr>
        <w:trPr/>
        <w:tc>
          <w:tcPr>
            <w:tcW w:w="25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rFonts w:ascii="Arial Narrow" w:hAnsi="Arial Narrow"/>
                <w:b/>
              </w:rPr>
            </w:pPr>
            <w:r>
              <w:rPr>
                <w:rFonts w:ascii="Arial Narrow" w:hAnsi="Arial Narrow"/>
                <w:b/>
              </w:rPr>
              <w:t>FOR</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left"/>
              <w:rPr>
                <w:rFonts w:ascii="Arial Narrow" w:hAnsi="Arial Narrow"/>
                <w:b/>
              </w:rPr>
            </w:pPr>
            <w:r>
              <w:rPr>
                <w:rFonts w:ascii="Arial Narrow" w:hAnsi="Arial Narrow"/>
                <w:b/>
              </w:rPr>
              <w:t>AGAINST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left"/>
              <w:rPr>
                <w:rFonts w:ascii="Arial Narrow" w:hAnsi="Arial Narrow"/>
                <w:b/>
              </w:rPr>
            </w:pPr>
            <w:r>
              <w:rPr>
                <w:rFonts w:ascii="Arial Narrow" w:hAnsi="Arial Narrow"/>
                <w:b/>
              </w:rPr>
              <w:t>ABSTAIN</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left"/>
              <w:rPr>
                <w:sz w:val="4"/>
                <w:szCs w:val="4"/>
              </w:rPr>
            </w:pPr>
            <w:r>
              <w:rPr>
                <w:sz w:val="4"/>
                <w:szCs w:val="4"/>
              </w:rPr>
            </w:r>
          </w:p>
        </w:tc>
      </w:tr>
      <w:tr>
        <w:trPr/>
        <w:tc>
          <w:tcPr>
            <w:tcW w:w="251" w:type="dxa"/>
            <w:tcBorders/>
          </w:tcPr>
          <w:p>
            <w:pPr>
              <w:pStyle w:val="TableContents"/>
              <w:bidi w:val="0"/>
              <w:spacing w:before="0" w:after="283"/>
              <w:jc w:val="left"/>
              <w:rPr>
                <w:rFonts w:ascii="Arial Narrow" w:hAnsi="Arial Narrow"/>
                <w:sz w:val="16"/>
              </w:rPr>
            </w:pPr>
            <w:r>
              <w:rPr>
                <w:rFonts w:ascii="Arial Narrow" w:hAnsi="Arial Narrow"/>
                <w:sz w:val="16"/>
              </w:rPr>
              <w:t>1.</w:t>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rFonts w:ascii="Arial Narrow" w:hAnsi="Arial Narrow"/>
                <w:sz w:val="16"/>
              </w:rPr>
            </w:pPr>
            <w:r>
              <w:rPr>
                <w:rFonts w:ascii="Arial Narrow" w:hAnsi="Arial Narrow"/>
                <w:b/>
                <w:sz w:val="16"/>
              </w:rPr>
              <w:t>The Nasdaq Stock Issuance Proposal</w:t>
            </w:r>
            <w:r>
              <w:rPr>
                <w:rFonts w:ascii="Arial Narrow" w:hAnsi="Arial Narrow"/>
                <w:sz w:val="16"/>
              </w:rPr>
              <w:t xml:space="preserve"> - To approve (i) the issuance of shares of AVROBIO common stock to Tectonic stockholders pursuant to the Merger Agreement, a copy of which is attached as Annex A to the accompanying proxy statement/prospectus, and (ii) the change of control of AVROBIO resulting from the merger, pursuant to Nasdaq Listing Rules 5635(a) and 5635(b).</w:t>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center"/>
              <w:rPr/>
            </w:pPr>
            <w:r>
              <w:rPr/>
              <w:t>☐</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center"/>
              <w:rPr/>
            </w:pPr>
            <w:r>
              <w:rPr/>
              <w: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center"/>
              <w:rPr/>
            </w:pPr>
            <w:r>
              <w:rPr/>
              <w:t>☐</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25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rFonts w:ascii="Arial Narrow" w:hAnsi="Arial Narrow"/>
                <w:b/>
              </w:rPr>
            </w:pPr>
            <w:r>
              <w:rPr>
                <w:rFonts w:ascii="Arial Narrow" w:hAnsi="Arial Narrow"/>
                <w:b/>
              </w:rPr>
              <w:t>FOR</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left"/>
              <w:rPr>
                <w:rFonts w:ascii="Arial Narrow" w:hAnsi="Arial Narrow"/>
                <w:b/>
              </w:rPr>
            </w:pPr>
            <w:r>
              <w:rPr>
                <w:rFonts w:ascii="Arial Narrow" w:hAnsi="Arial Narrow"/>
                <w:b/>
              </w:rPr>
              <w:t>AGAINST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left"/>
              <w:rPr>
                <w:rFonts w:ascii="Arial Narrow" w:hAnsi="Arial Narrow"/>
                <w:b/>
              </w:rPr>
            </w:pPr>
            <w:r>
              <w:rPr>
                <w:rFonts w:ascii="Arial Narrow" w:hAnsi="Arial Narrow"/>
                <w:b/>
              </w:rPr>
              <w:t>ABSTAIN</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left"/>
              <w:rPr>
                <w:sz w:val="4"/>
                <w:szCs w:val="4"/>
              </w:rPr>
            </w:pPr>
            <w:r>
              <w:rPr>
                <w:sz w:val="4"/>
                <w:szCs w:val="4"/>
              </w:rPr>
            </w:r>
          </w:p>
        </w:tc>
      </w:tr>
      <w:tr>
        <w:trPr/>
        <w:tc>
          <w:tcPr>
            <w:tcW w:w="251" w:type="dxa"/>
            <w:tcBorders/>
          </w:tcPr>
          <w:p>
            <w:pPr>
              <w:pStyle w:val="TableContents"/>
              <w:bidi w:val="0"/>
              <w:spacing w:before="0" w:after="283"/>
              <w:jc w:val="left"/>
              <w:rPr>
                <w:rFonts w:ascii="Arial Narrow" w:hAnsi="Arial Narrow"/>
                <w:sz w:val="16"/>
              </w:rPr>
            </w:pPr>
            <w:r>
              <w:rPr>
                <w:rFonts w:ascii="Arial Narrow" w:hAnsi="Arial Narrow"/>
                <w:sz w:val="16"/>
              </w:rPr>
              <w:t>2.</w:t>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rFonts w:ascii="Arial Narrow" w:hAnsi="Arial Narrow"/>
                <w:sz w:val="16"/>
              </w:rPr>
            </w:pPr>
            <w:r>
              <w:rPr>
                <w:rFonts w:ascii="Arial Narrow" w:hAnsi="Arial Narrow"/>
                <w:b/>
                <w:sz w:val="16"/>
              </w:rPr>
              <w:t>The Reverse Stock Split Proposal</w:t>
            </w:r>
            <w:r>
              <w:rPr>
                <w:rFonts w:ascii="Arial Narrow" w:hAnsi="Arial Narrow"/>
                <w:sz w:val="16"/>
              </w:rPr>
              <w:t xml:space="preserve"> -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AVROBIOs Board of Directors and Tectonics Board of Directors prior to the effective time or, if the Nasdaq Stock Issuance Proposal is not approved by AVROBIO stockholders, determined solely by AVROBIOs Board of Directors, in the form attached as Annex G to the accompanying proxy statement/prospectus.</w:t>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center"/>
              <w:rPr/>
            </w:pPr>
            <w:r>
              <w:rPr/>
              <w:t>☐</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center"/>
              <w:rPr/>
            </w:pPr>
            <w:r>
              <w:rPr/>
              <w: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center"/>
              <w:rPr/>
            </w:pPr>
            <w:r>
              <w:rPr/>
              <w:t>☐</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25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rFonts w:ascii="Arial Narrow" w:hAnsi="Arial Narrow"/>
                <w:b/>
              </w:rPr>
            </w:pPr>
            <w:r>
              <w:rPr>
                <w:rFonts w:ascii="Arial Narrow" w:hAnsi="Arial Narrow"/>
                <w:b/>
              </w:rPr>
              <w:t>FOR</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left"/>
              <w:rPr>
                <w:rFonts w:ascii="Arial Narrow" w:hAnsi="Arial Narrow"/>
                <w:b/>
              </w:rPr>
            </w:pPr>
            <w:r>
              <w:rPr>
                <w:rFonts w:ascii="Arial Narrow" w:hAnsi="Arial Narrow"/>
                <w:b/>
              </w:rPr>
              <w:t>AGAINST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left"/>
              <w:rPr>
                <w:rFonts w:ascii="Arial Narrow" w:hAnsi="Arial Narrow"/>
                <w:b/>
              </w:rPr>
            </w:pPr>
            <w:r>
              <w:rPr>
                <w:rFonts w:ascii="Arial Narrow" w:hAnsi="Arial Narrow"/>
                <w:b/>
              </w:rPr>
              <w:t>ABSTAIN</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left"/>
              <w:rPr>
                <w:sz w:val="4"/>
                <w:szCs w:val="4"/>
              </w:rPr>
            </w:pPr>
            <w:r>
              <w:rPr>
                <w:sz w:val="4"/>
                <w:szCs w:val="4"/>
              </w:rPr>
            </w:r>
          </w:p>
        </w:tc>
      </w:tr>
      <w:tr>
        <w:trPr/>
        <w:tc>
          <w:tcPr>
            <w:tcW w:w="251" w:type="dxa"/>
            <w:tcBorders/>
          </w:tcPr>
          <w:p>
            <w:pPr>
              <w:pStyle w:val="TableContents"/>
              <w:bidi w:val="0"/>
              <w:spacing w:before="0" w:after="283"/>
              <w:jc w:val="left"/>
              <w:rPr>
                <w:rFonts w:ascii="Arial Narrow" w:hAnsi="Arial Narrow"/>
                <w:sz w:val="16"/>
              </w:rPr>
            </w:pPr>
            <w:r>
              <w:rPr>
                <w:rFonts w:ascii="Arial Narrow" w:hAnsi="Arial Narrow"/>
                <w:sz w:val="16"/>
              </w:rPr>
              <w:t>3.</w:t>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rFonts w:ascii="Arial Narrow" w:hAnsi="Arial Narrow"/>
                <w:sz w:val="16"/>
              </w:rPr>
            </w:pPr>
            <w:r>
              <w:rPr>
                <w:rFonts w:ascii="Arial Narrow" w:hAnsi="Arial Narrow"/>
                <w:b/>
                <w:sz w:val="16"/>
              </w:rPr>
              <w:t>The Officer Exculpation Proposal</w:t>
            </w:r>
            <w:r>
              <w:rPr>
                <w:rFonts w:ascii="Arial Narrow" w:hAnsi="Arial Narrow"/>
                <w:sz w:val="16"/>
              </w:rPr>
              <w:t xml:space="preserve"> - To approve an amendment to AVROBIOs charter to provide for the exculpation of officers, in the form attached as Annex H to the accompanying proxy statement/prospectus.</w:t>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center"/>
              <w:rPr/>
            </w:pPr>
            <w:r>
              <w:rPr/>
              <w:t>☐</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center"/>
              <w:rPr/>
            </w:pPr>
            <w:r>
              <w:rPr/>
              <w: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center"/>
              <w:rPr/>
            </w:pPr>
            <w:r>
              <w:rPr/>
              <w:t>☐</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25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rFonts w:ascii="Arial Narrow" w:hAnsi="Arial Narrow"/>
                <w:b/>
              </w:rPr>
            </w:pPr>
            <w:r>
              <w:rPr>
                <w:rFonts w:ascii="Arial Narrow" w:hAnsi="Arial Narrow"/>
                <w:b/>
              </w:rPr>
              <w:t>FOR</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left"/>
              <w:rPr>
                <w:rFonts w:ascii="Arial Narrow" w:hAnsi="Arial Narrow"/>
                <w:b/>
              </w:rPr>
            </w:pPr>
            <w:r>
              <w:rPr>
                <w:rFonts w:ascii="Arial Narrow" w:hAnsi="Arial Narrow"/>
                <w:b/>
              </w:rPr>
              <w:t>AGAINST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left"/>
              <w:rPr>
                <w:rFonts w:ascii="Arial Narrow" w:hAnsi="Arial Narrow"/>
                <w:b/>
              </w:rPr>
            </w:pPr>
            <w:r>
              <w:rPr>
                <w:rFonts w:ascii="Arial Narrow" w:hAnsi="Arial Narrow"/>
                <w:b/>
              </w:rPr>
              <w:t>ABSTAIN</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left"/>
              <w:rPr>
                <w:sz w:val="4"/>
                <w:szCs w:val="4"/>
              </w:rPr>
            </w:pPr>
            <w:r>
              <w:rPr>
                <w:sz w:val="4"/>
                <w:szCs w:val="4"/>
              </w:rPr>
            </w:r>
          </w:p>
        </w:tc>
      </w:tr>
      <w:tr>
        <w:trPr/>
        <w:tc>
          <w:tcPr>
            <w:tcW w:w="251" w:type="dxa"/>
            <w:tcBorders/>
          </w:tcPr>
          <w:p>
            <w:pPr>
              <w:pStyle w:val="TableContents"/>
              <w:bidi w:val="0"/>
              <w:spacing w:before="0" w:after="283"/>
              <w:jc w:val="left"/>
              <w:rPr>
                <w:rFonts w:ascii="Arial Narrow" w:hAnsi="Arial Narrow"/>
                <w:sz w:val="16"/>
              </w:rPr>
            </w:pPr>
            <w:r>
              <w:rPr>
                <w:rFonts w:ascii="Arial Narrow" w:hAnsi="Arial Narrow"/>
                <w:sz w:val="16"/>
              </w:rPr>
              <w:t>4.</w:t>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rFonts w:ascii="Arial Narrow" w:hAnsi="Arial Narrow"/>
                <w:sz w:val="16"/>
              </w:rPr>
            </w:pPr>
            <w:r>
              <w:rPr>
                <w:rFonts w:ascii="Arial Narrow" w:hAnsi="Arial Narrow"/>
                <w:b/>
                <w:sz w:val="16"/>
              </w:rPr>
              <w:t>The Incentive Plan Proposal</w:t>
            </w:r>
            <w:r>
              <w:rPr>
                <w:rFonts w:ascii="Arial Narrow" w:hAnsi="Arial Narrow"/>
                <w:sz w:val="16"/>
              </w:rPr>
              <w:t xml:space="preserve"> - To approve the Tectonic Therapeutic, Inc. 2024 Equity Incentive Plan, in the form attached as Annex I to the accompanying proxy statement/prospectus.</w:t>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center"/>
              <w:rPr/>
            </w:pPr>
            <w:r>
              <w:rPr/>
              <w:t>☐</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center"/>
              <w:rPr/>
            </w:pPr>
            <w:r>
              <w:rPr/>
              <w: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center"/>
              <w:rPr/>
            </w:pPr>
            <w:r>
              <w:rPr/>
              <w:t>☐</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25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rFonts w:ascii="Arial Narrow" w:hAnsi="Arial Narrow"/>
                <w:b/>
              </w:rPr>
            </w:pPr>
            <w:r>
              <w:rPr>
                <w:rFonts w:ascii="Arial Narrow" w:hAnsi="Arial Narrow"/>
                <w:b/>
              </w:rPr>
              <w:t>FOR</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left"/>
              <w:rPr>
                <w:rFonts w:ascii="Arial Narrow" w:hAnsi="Arial Narrow"/>
                <w:b/>
              </w:rPr>
            </w:pPr>
            <w:r>
              <w:rPr>
                <w:rFonts w:ascii="Arial Narrow" w:hAnsi="Arial Narrow"/>
                <w:b/>
              </w:rPr>
              <w:t>AGAINST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left"/>
              <w:rPr>
                <w:rFonts w:ascii="Arial Narrow" w:hAnsi="Arial Narrow"/>
                <w:b/>
              </w:rPr>
            </w:pPr>
            <w:r>
              <w:rPr>
                <w:rFonts w:ascii="Arial Narrow" w:hAnsi="Arial Narrow"/>
                <w:b/>
              </w:rPr>
              <w:t>ABSTAIN</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left"/>
              <w:rPr>
                <w:sz w:val="4"/>
                <w:szCs w:val="4"/>
              </w:rPr>
            </w:pPr>
            <w:r>
              <w:rPr>
                <w:sz w:val="4"/>
                <w:szCs w:val="4"/>
              </w:rPr>
            </w:r>
          </w:p>
        </w:tc>
      </w:tr>
      <w:tr>
        <w:trPr/>
        <w:tc>
          <w:tcPr>
            <w:tcW w:w="251" w:type="dxa"/>
            <w:tcBorders/>
          </w:tcPr>
          <w:p>
            <w:pPr>
              <w:pStyle w:val="TableContents"/>
              <w:bidi w:val="0"/>
              <w:spacing w:before="0" w:after="283"/>
              <w:jc w:val="left"/>
              <w:rPr>
                <w:rFonts w:ascii="Arial Narrow" w:hAnsi="Arial Narrow"/>
                <w:sz w:val="16"/>
              </w:rPr>
            </w:pPr>
            <w:r>
              <w:rPr>
                <w:rFonts w:ascii="Arial Narrow" w:hAnsi="Arial Narrow"/>
                <w:sz w:val="16"/>
              </w:rPr>
              <w:t>5.</w:t>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rFonts w:ascii="Arial Narrow" w:hAnsi="Arial Narrow"/>
                <w:sz w:val="16"/>
              </w:rPr>
            </w:pPr>
            <w:r>
              <w:rPr>
                <w:rFonts w:ascii="Arial Narrow" w:hAnsi="Arial Narrow"/>
                <w:b/>
                <w:sz w:val="16"/>
              </w:rPr>
              <w:t>The ESPP Proposal</w:t>
            </w:r>
            <w:r>
              <w:rPr>
                <w:rFonts w:ascii="Arial Narrow" w:hAnsi="Arial Narrow"/>
                <w:sz w:val="16"/>
              </w:rPr>
              <w:t xml:space="preserve"> - To approve the Tectonic Therapeutic, Inc. 2024 Employee Stock Purchase Plan, in the form attached as Annex J to the accompanying proxy statement/prospectus.</w:t>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center"/>
              <w:rPr/>
            </w:pPr>
            <w:r>
              <w:rPr/>
              <w:t>☐</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center"/>
              <w:rPr/>
            </w:pPr>
            <w:r>
              <w:rPr/>
              <w: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center"/>
              <w:rPr/>
            </w:pPr>
            <w:r>
              <w:rPr/>
              <w:t>☐</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25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rFonts w:ascii="Arial Narrow" w:hAnsi="Arial Narrow"/>
                <w:b/>
              </w:rPr>
            </w:pPr>
            <w:r>
              <w:rPr>
                <w:rFonts w:ascii="Arial Narrow" w:hAnsi="Arial Narrow"/>
                <w:b/>
              </w:rPr>
              <w:t>FOR</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left"/>
              <w:rPr>
                <w:rFonts w:ascii="Arial Narrow" w:hAnsi="Arial Narrow"/>
                <w:b/>
              </w:rPr>
            </w:pPr>
            <w:r>
              <w:rPr>
                <w:rFonts w:ascii="Arial Narrow" w:hAnsi="Arial Narrow"/>
                <w:b/>
              </w:rPr>
              <w:t>AGAINST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left"/>
              <w:rPr>
                <w:rFonts w:ascii="Arial Narrow" w:hAnsi="Arial Narrow"/>
                <w:b/>
              </w:rPr>
            </w:pPr>
            <w:r>
              <w:rPr>
                <w:rFonts w:ascii="Arial Narrow" w:hAnsi="Arial Narrow"/>
                <w:b/>
              </w:rPr>
              <w:t>ABSTAIN</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left"/>
              <w:rPr>
                <w:sz w:val="4"/>
                <w:szCs w:val="4"/>
              </w:rPr>
            </w:pPr>
            <w:r>
              <w:rPr>
                <w:sz w:val="4"/>
                <w:szCs w:val="4"/>
              </w:rPr>
            </w:r>
          </w:p>
        </w:tc>
      </w:tr>
      <w:tr>
        <w:trPr/>
        <w:tc>
          <w:tcPr>
            <w:tcW w:w="251" w:type="dxa"/>
            <w:tcBorders/>
          </w:tcPr>
          <w:p>
            <w:pPr>
              <w:pStyle w:val="TableContents"/>
              <w:bidi w:val="0"/>
              <w:spacing w:before="0" w:after="283"/>
              <w:jc w:val="left"/>
              <w:rPr>
                <w:rFonts w:ascii="Arial Narrow" w:hAnsi="Arial Narrow"/>
                <w:sz w:val="16"/>
              </w:rPr>
            </w:pPr>
            <w:r>
              <w:rPr>
                <w:rFonts w:ascii="Arial Narrow" w:hAnsi="Arial Narrow"/>
                <w:sz w:val="16"/>
              </w:rPr>
              <w:t>6.</w:t>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rFonts w:ascii="Arial Narrow" w:hAnsi="Arial Narrow"/>
                <w:sz w:val="16"/>
              </w:rPr>
            </w:pPr>
            <w:r>
              <w:rPr>
                <w:rFonts w:ascii="Arial Narrow" w:hAnsi="Arial Narrow"/>
                <w:b/>
                <w:sz w:val="16"/>
              </w:rPr>
              <w:t>The Executive Compensation Arrangements Proposal</w:t>
            </w:r>
            <w:r>
              <w:rPr>
                <w:rFonts w:ascii="Arial Narrow" w:hAnsi="Arial Narrow"/>
                <w:sz w:val="16"/>
              </w:rPr>
              <w:t xml:space="preserve"> - To approve, on a non-binding advisory vote basis, compensation that will or may become payable by AVROBIO to its named executive officers in connection with the merger, each as described in the accompanying proxy statement/prospectus.</w:t>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center"/>
              <w:rPr/>
            </w:pPr>
            <w:r>
              <w:rPr/>
              <w:t>☐</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center"/>
              <w:rPr/>
            </w:pPr>
            <w:r>
              <w:rPr/>
              <w: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center"/>
              <w:rPr/>
            </w:pPr>
            <w:r>
              <w:rPr/>
              <w:t>☐</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25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rFonts w:ascii="Arial Narrow" w:hAnsi="Arial Narrow"/>
                <w:b/>
              </w:rPr>
            </w:pPr>
            <w:r>
              <w:rPr>
                <w:rFonts w:ascii="Arial Narrow" w:hAnsi="Arial Narrow"/>
                <w:b/>
              </w:rPr>
              <w:t>FOR</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left"/>
              <w:rPr>
                <w:rFonts w:ascii="Arial Narrow" w:hAnsi="Arial Narrow"/>
                <w:b/>
              </w:rPr>
            </w:pPr>
            <w:r>
              <w:rPr>
                <w:rFonts w:ascii="Arial Narrow" w:hAnsi="Arial Narrow"/>
                <w:b/>
              </w:rPr>
              <w:t>AGAINST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left"/>
              <w:rPr>
                <w:rFonts w:ascii="Arial Narrow" w:hAnsi="Arial Narrow"/>
                <w:b/>
              </w:rPr>
            </w:pPr>
            <w:r>
              <w:rPr>
                <w:rFonts w:ascii="Arial Narrow" w:hAnsi="Arial Narrow"/>
                <w:b/>
              </w:rPr>
              <w:t>ABSTAIN</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left"/>
              <w:rPr>
                <w:sz w:val="4"/>
                <w:szCs w:val="4"/>
              </w:rPr>
            </w:pPr>
            <w:r>
              <w:rPr>
                <w:sz w:val="4"/>
                <w:szCs w:val="4"/>
              </w:rPr>
            </w:r>
          </w:p>
        </w:tc>
      </w:tr>
      <w:tr>
        <w:trPr/>
        <w:tc>
          <w:tcPr>
            <w:tcW w:w="251" w:type="dxa"/>
            <w:tcBorders/>
          </w:tcPr>
          <w:p>
            <w:pPr>
              <w:pStyle w:val="TableContents"/>
              <w:bidi w:val="0"/>
              <w:spacing w:before="0" w:after="283"/>
              <w:jc w:val="left"/>
              <w:rPr>
                <w:rFonts w:ascii="Arial Narrow" w:hAnsi="Arial Narrow"/>
                <w:sz w:val="16"/>
              </w:rPr>
            </w:pPr>
            <w:r>
              <w:rPr>
                <w:rFonts w:ascii="Arial Narrow" w:hAnsi="Arial Narrow"/>
                <w:sz w:val="16"/>
              </w:rPr>
              <w:t>7.</w:t>
            </w:r>
          </w:p>
        </w:tc>
        <w:tc>
          <w:tcPr>
            <w:tcW w:w="104"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left"/>
              <w:rPr>
                <w:rFonts w:ascii="Arial Narrow" w:hAnsi="Arial Narrow"/>
                <w:sz w:val="16"/>
              </w:rPr>
            </w:pPr>
            <w:r>
              <w:rPr>
                <w:rFonts w:ascii="Arial Narrow" w:hAnsi="Arial Narrow"/>
                <w:b/>
                <w:sz w:val="16"/>
              </w:rPr>
              <w:t>The Adjournment Proposal</w:t>
            </w:r>
            <w:r>
              <w:rPr>
                <w:rFonts w:ascii="Arial Narrow" w:hAnsi="Arial Narrow"/>
                <w:sz w:val="16"/>
              </w:rPr>
              <w:t xml:space="preserve"> - To approve an adjournment of the AVROBIO special meeting, if necessary, to solicit additional proxies if there are not sufficient votes in favor of the Nasdaq Stock Issuance Proposal and/or the Reverse Stock Split Proposal.</w:t>
            </w:r>
          </w:p>
        </w:tc>
        <w:tc>
          <w:tcPr>
            <w:tcW w:w="208"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center"/>
              <w:rPr/>
            </w:pPr>
            <w:r>
              <w:rPr/>
              <w:t>☐</w:t>
            </w:r>
          </w:p>
        </w:tc>
        <w:tc>
          <w:tcPr>
            <w:tcW w:w="208" w:type="dxa"/>
            <w:tcBorders/>
            <w:vAlign w:val="bottom"/>
          </w:tcPr>
          <w:p>
            <w:pPr>
              <w:pStyle w:val="TableContents"/>
              <w:bidi w:val="0"/>
              <w:spacing w:before="0" w:after="283"/>
              <w:jc w:val="left"/>
              <w:rPr/>
            </w:pPr>
            <w:r>
              <w:rPr/>
              <w:t>  </w:t>
            </w:r>
          </w:p>
        </w:tc>
        <w:tc>
          <w:tcPr>
            <w:tcW w:w="1212" w:type="dxa"/>
            <w:tcBorders/>
          </w:tcPr>
          <w:p>
            <w:pPr>
              <w:pStyle w:val="TableContents"/>
              <w:bidi w:val="0"/>
              <w:spacing w:before="0" w:after="283"/>
              <w:jc w:val="center"/>
              <w:rPr/>
            </w:pPr>
            <w:r>
              <w:rPr/>
              <w:t>☐</w:t>
            </w:r>
          </w:p>
        </w:tc>
        <w:tc>
          <w:tcPr>
            <w:tcW w:w="27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center"/>
              <w:rPr/>
            </w:pPr>
            <w:r>
              <w:rPr/>
              <w:t>☐</w:t>
            </w:r>
          </w:p>
        </w:tc>
        <w:tc>
          <w:tcPr>
            <w:tcW w:w="147" w:type="dxa"/>
            <w:tcBorders/>
            <w:vAlign w:val="bottom"/>
          </w:tcPr>
          <w:p>
            <w:pPr>
              <w:pStyle w:val="TableContents"/>
              <w:bidi w:val="0"/>
              <w:spacing w:before="0" w:after="283"/>
              <w:jc w:val="left"/>
              <w:rPr/>
            </w:pPr>
            <w:r>
              <w:rPr/>
              <w:t>  </w:t>
            </w:r>
          </w:p>
        </w:tc>
        <w:tc>
          <w:tcPr>
            <w:tcW w:w="1596" w:type="dxa"/>
            <w:tcBorders/>
          </w:tcPr>
          <w:p>
            <w:pPr>
              <w:pStyle w:val="TableContents"/>
              <w:bidi w:val="0"/>
              <w:spacing w:before="0" w:after="283"/>
              <w:jc w:val="center"/>
              <w:rPr>
                <w:rFonts w:ascii="Arial Narrow" w:hAnsi="Arial Narrow"/>
                <w:b/>
                <w:sz w:val="16"/>
              </w:rPr>
            </w:pPr>
            <w:r>
              <w:rPr>
                <w:rFonts w:ascii="Arial Narrow" w:hAnsi="Arial Narrow"/>
                <w:b/>
                <w:sz w:val="16"/>
              </w:rPr>
              <w:t>FOR</w:t>
            </w:r>
          </w:p>
        </w:tc>
      </w:tr>
    </w:tbl>
    <w:p>
      <w:pPr>
        <w:pStyle w:val="TextBody"/>
        <w:bidi w:val="0"/>
        <w:spacing w:before="240" w:after="0"/>
        <w:jc w:val="center"/>
        <w:rPr>
          <w:rFonts w:ascii="Arial Narrow" w:hAnsi="Arial Narrow"/>
          <w:b/>
          <w:sz w:val="18"/>
        </w:rPr>
      </w:pPr>
      <w:r>
        <w:rPr>
          <w:rFonts w:ascii="Arial Narrow" w:hAnsi="Arial Narrow"/>
          <w:b/>
          <w:sz w:val="18"/>
        </w:rPr>
        <w:t xml:space="preserve">You must register by June 10, 2024 at 5:00 PM Eastern Time to attend the meeting online and/or participate at www.proxydocs.com/AVRO. </w:t>
      </w:r>
    </w:p>
    <w:p>
      <w:pPr>
        <w:pStyle w:val="TextBody"/>
        <w:bidi w:val="0"/>
        <w:spacing w:before="240" w:after="0"/>
        <w:jc w:val="left"/>
        <w:rPr>
          <w:rFonts w:ascii="Arial Narrow" w:hAnsi="Arial Narrow"/>
          <w:b/>
          <w:sz w:val="16"/>
        </w:rPr>
      </w:pPr>
      <w:r>
        <w:rPr>
          <w:rFonts w:ascii="Arial Narrow" w:hAnsi="Arial Narrow"/>
          <w:b/>
          <w:sz w:val="16"/>
        </w:rPr>
        <w:t xml:space="preserve">Upon completing your registration, you will receive further instructions via email, including your unique links that will allow you to access the meeting and also permit you to submit questions. Please be sure to follow instructions found on your Proxy Card and/or Voting Authorization Form and subsequent instructions that will be delivered to you via email. </w:t>
      </w:r>
    </w:p>
    <w:p>
      <w:pPr>
        <w:pStyle w:val="TextBody"/>
        <w:bidi w:val="0"/>
        <w:spacing w:before="240" w:after="0"/>
        <w:jc w:val="left"/>
        <w:rPr>
          <w:rFonts w:ascii="Arial Narrow" w:hAnsi="Arial Narrow"/>
          <w:sz w:val="16"/>
        </w:rPr>
      </w:pPr>
      <w:r>
        <w:rPr>
          <w:rFonts w:ascii="Arial Narrow" w:hAnsi="Arial Narrow"/>
          <w:sz w:val="16"/>
        </w:rPr>
        <w:t xml:space="preserve">Authorized Signatures - Must be completed for your instructions to be executed. </w:t>
      </w:r>
    </w:p>
    <w:p>
      <w:pPr>
        <w:pStyle w:val="TextBody"/>
        <w:bidi w:val="0"/>
        <w:spacing w:before="240" w:after="0"/>
        <w:jc w:val="left"/>
        <w:rPr>
          <w:rFonts w:ascii="Arial Narrow" w:hAnsi="Arial Narrow"/>
          <w:sz w:val="16"/>
        </w:rPr>
      </w:pPr>
      <w:r>
        <w:rPr>
          <w:rFonts w:ascii="Arial Narrow" w:hAnsi="Arial Narrow"/>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07"/>
        <w:gridCol w:w="213"/>
        <w:gridCol w:w="1290"/>
        <w:gridCol w:w="213"/>
        <w:gridCol w:w="262"/>
        <w:gridCol w:w="213"/>
        <w:gridCol w:w="2641"/>
        <w:gridCol w:w="153"/>
        <w:gridCol w:w="813"/>
      </w:tblGrid>
      <w:tr>
        <w:trPr/>
        <w:tc>
          <w:tcPr>
            <w:tcW w:w="4407"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4407" w:type="dxa"/>
            <w:tcBorders>
              <w:top w:val="single" w:sz="2" w:space="0" w:color="000000"/>
            </w:tcBorders>
            <w:tcMar>
              <w:top w:w="28" w:type="dxa"/>
            </w:tcMar>
          </w:tcPr>
          <w:p>
            <w:pPr>
              <w:pStyle w:val="TableContents"/>
              <w:bidi w:val="0"/>
              <w:spacing w:before="0" w:after="283"/>
              <w:jc w:val="left"/>
              <w:rPr>
                <w:rFonts w:ascii="Arial Narrow" w:hAnsi="Arial Narrow"/>
              </w:rPr>
            </w:pPr>
            <w:r>
              <w:rPr>
                <w:rFonts w:ascii="Arial Narrow" w:hAnsi="Arial Narrow"/>
              </w:rPr>
              <w:t>Signature (and Title if applicable)</w:t>
            </w:r>
          </w:p>
        </w:tc>
        <w:tc>
          <w:tcPr>
            <w:tcW w:w="213" w:type="dxa"/>
            <w:tcBorders>
              <w:top w:val="single" w:sz="2" w:space="0" w:color="000000"/>
            </w:tcBorders>
            <w:tcMar>
              <w:top w:w="28" w:type="dxa"/>
            </w:tcMar>
            <w:vAlign w:val="bottom"/>
          </w:tcPr>
          <w:p>
            <w:pPr>
              <w:pStyle w:val="TableContents"/>
              <w:bidi w:val="0"/>
              <w:spacing w:before="0" w:after="283"/>
              <w:jc w:val="left"/>
              <w:rPr/>
            </w:pPr>
            <w:r>
              <w:rPr/>
              <w:t>  </w:t>
            </w:r>
          </w:p>
        </w:tc>
        <w:tc>
          <w:tcPr>
            <w:tcW w:w="1290" w:type="dxa"/>
            <w:tcBorders>
              <w:top w:val="single" w:sz="2" w:space="0" w:color="000000"/>
            </w:tcBorders>
            <w:tcMar>
              <w:top w:w="28" w:type="dxa"/>
            </w:tcMar>
          </w:tcPr>
          <w:p>
            <w:pPr>
              <w:pStyle w:val="TableContents"/>
              <w:bidi w:val="0"/>
              <w:spacing w:before="0" w:after="283"/>
              <w:jc w:val="right"/>
              <w:rPr>
                <w:rFonts w:ascii="Arial Narrow" w:hAnsi="Arial Narrow"/>
              </w:rPr>
            </w:pPr>
            <w:r>
              <w:rPr>
                <w:rFonts w:ascii="Arial Narrow" w:hAnsi="Arial Narrow"/>
              </w:rPr>
              <w:t>Date  </w:t>
            </w:r>
          </w:p>
        </w:tc>
        <w:tc>
          <w:tcPr>
            <w:tcW w:w="213"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 </w:t>
            </w:r>
          </w:p>
        </w:tc>
        <w:tc>
          <w:tcPr>
            <w:tcW w:w="213" w:type="dxa"/>
            <w:tcBorders>
              <w:top w:val="single" w:sz="2" w:space="0" w:color="000000"/>
            </w:tcBorders>
            <w:tcMar>
              <w:top w:w="28" w:type="dxa"/>
            </w:tcMar>
            <w:vAlign w:val="bottom"/>
          </w:tcPr>
          <w:p>
            <w:pPr>
              <w:pStyle w:val="TableContents"/>
              <w:bidi w:val="0"/>
              <w:spacing w:before="0" w:after="283"/>
              <w:jc w:val="left"/>
              <w:rPr/>
            </w:pPr>
            <w:r>
              <w:rPr/>
              <w:t>  </w:t>
            </w:r>
          </w:p>
        </w:tc>
        <w:tc>
          <w:tcPr>
            <w:tcW w:w="2641" w:type="dxa"/>
            <w:tcBorders>
              <w:top w:val="single" w:sz="2" w:space="0" w:color="000000"/>
            </w:tcBorders>
            <w:tcMar>
              <w:top w:w="28" w:type="dxa"/>
            </w:tcMar>
          </w:tcPr>
          <w:p>
            <w:pPr>
              <w:pStyle w:val="TableContents"/>
              <w:bidi w:val="0"/>
              <w:spacing w:before="0" w:after="283"/>
              <w:jc w:val="left"/>
              <w:rPr>
                <w:rFonts w:ascii="Arial Narrow" w:hAnsi="Arial Narrow"/>
              </w:rPr>
            </w:pPr>
            <w:r>
              <w:rPr>
                <w:rFonts w:ascii="Arial Narrow" w:hAnsi="Arial Narrow"/>
              </w:rPr>
              <w:t>Signature (if held jointly)</w:t>
            </w:r>
          </w:p>
        </w:tc>
        <w:tc>
          <w:tcPr>
            <w:tcW w:w="153" w:type="dxa"/>
            <w:tcBorders>
              <w:top w:val="single" w:sz="2" w:space="0" w:color="000000"/>
            </w:tcBorders>
            <w:tcMar>
              <w:top w:w="28" w:type="dxa"/>
            </w:tcMar>
            <w:vAlign w:val="bottom"/>
          </w:tcPr>
          <w:p>
            <w:pPr>
              <w:pStyle w:val="TableContents"/>
              <w:bidi w:val="0"/>
              <w:spacing w:before="0" w:after="283"/>
              <w:jc w:val="left"/>
              <w:rPr/>
            </w:pPr>
            <w:r>
              <w:rPr/>
              <w:t>  </w:t>
            </w:r>
          </w:p>
        </w:tc>
        <w:tc>
          <w:tcPr>
            <w:tcW w:w="813" w:type="dxa"/>
            <w:tcBorders>
              <w:top w:val="single" w:sz="2" w:space="0" w:color="000000"/>
            </w:tcBorders>
            <w:tcMar>
              <w:top w:w="28" w:type="dxa"/>
            </w:tcMar>
          </w:tcPr>
          <w:p>
            <w:pPr>
              <w:pStyle w:val="TableContents"/>
              <w:bidi w:val="0"/>
              <w:spacing w:before="0" w:after="283"/>
              <w:jc w:val="left"/>
              <w:rPr>
                <w:rFonts w:ascii="Arial Narrow" w:hAnsi="Arial Narrow"/>
              </w:rPr>
            </w:pPr>
            <w:r>
              <w:rPr>
                <w:rFonts w:ascii="Arial Narrow" w:hAnsi="Arial Narrow"/>
              </w:rPr>
              <w:t>Date  </w:t>
            </w:r>
          </w:p>
        </w:tc>
      </w:tr>
    </w:tbl>
    <w:p>
      <w:pPr>
        <w:pStyle w:val="TextBody"/>
        <w:bidi w:val="0"/>
        <w:spacing w:before="0" w:after="0"/>
        <w:jc w:val="left"/>
        <w:rPr/>
      </w:pPr>
      <w:r>
        <w:rPr/>
        <w:t> </w:t>
      </w:r>
    </w:p>
    <w:p>
      <w:pPr>
        <w:pStyle w:val="TextBody"/>
        <w:bidi w:val="0"/>
        <w:spacing w:before="0" w:after="0"/>
        <w:jc w:val="center"/>
        <w:rPr>
          <w:rFonts w:ascii="Arial Narrow" w:hAnsi="Arial Narrow"/>
          <w:sz w:val="20"/>
        </w:rPr>
      </w:pPr>
      <w:r>
        <w:rPr>
          <w:rFonts w:ascii="Arial Narrow" w:hAnsi="Arial Narrow"/>
          <w:sz w:val="20"/>
        </w:rPr>
        <w:t xml:space="preserve">L-2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749</Pages>
  <Words>463026</Words>
  <Characters>2466560</Characters>
  <CharactersWithSpaces>2927830</CharactersWithSpaces>
  <Paragraphs>33597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