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-597535</wp:posOffset>
            </wp:positionV>
            <wp:extent cx="8255" cy="5981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-605790</wp:posOffset>
            </wp:positionV>
            <wp:extent cx="825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-581660</wp:posOffset>
            </wp:positionV>
            <wp:extent cx="1269365" cy="558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58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26670</wp:posOffset>
            </wp:positionV>
            <wp:extent cx="6969760" cy="1722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2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Ostrowski Erik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AVROBIO, Inc.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AVRO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KENDALL SQUARE, BLDG. 300, SUITE 201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1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4"/>
            <w:col w:w="3336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1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16.02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119,100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02/03/2031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119,100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119,100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-2555240</wp:posOffset>
            </wp:positionV>
            <wp:extent cx="7034530" cy="26924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69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25% of the shares shall vest and become exercisable on February 4, 2022, and the remaining 75% shall vest in equal monthly installments thereafter over a 3 year period.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Steven N. Avruch,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02/04/2021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347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Erik Ostrowski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-21590</wp:posOffset>
            </wp:positionV>
            <wp:extent cx="1111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5588635</wp:posOffset>
            </wp:positionH>
            <wp:positionV relativeFrom="paragraph">
              <wp:posOffset>-86360</wp:posOffset>
            </wp:positionV>
            <wp:extent cx="4787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2507" TargetMode="External"/><Relationship Id="rId14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2021-02-04T16:53:06Z</dcterms:created>
  <dcterms:modified xsi:type="dcterms:W3CDTF">2021-02-04T16:53:06Z</dcterms:modified>
</cp:coreProperties>
</file>