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5908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90804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1036"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Ruddy Marcella K.</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10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2"/>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TECTONIC THERAPEUTIC, INC.</w:t>
            </w:r>
          </w:p>
        </w:tc>
      </w:tr>
      <w:tr>
        <w:trPr>
          <w:trHeight w:val="25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490 ARSENAL WAY, SUITE 210</w:t>
            </w:r>
          </w:p>
        </w:tc>
        <w:tc>
          <w:tcPr>
            <w:tcW w:w="560" w:type="dxa"/>
            <w:vAlign w:val="bottom"/>
          </w:tcPr>
          <w:p>
            <w:pPr>
              <w:spacing w:after="0"/>
              <w:rPr>
                <w:sz w:val="21"/>
                <w:szCs w:val="21"/>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WATERTOWN</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02472</w:t>
            </w:r>
          </w:p>
        </w:tc>
      </w:tr>
      <w:tr>
        <w:trPr>
          <w:trHeight w:val="456"/>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10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780" w:type="dxa"/>
            <w:vAlign w:val="bottom"/>
            <w:gridSpan w:val="3"/>
          </w:tcPr>
          <w:p>
            <w:pPr>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Tectonic Therapeutic,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80" w:type="dxa"/>
            <w:vAlign w:val="bottom"/>
            <w:tcBorders>
              <w:top w:val="single" w:sz="8" w:color="0000EE"/>
            </w:tcBorders>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06/20/2024</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Chief Medical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103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2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06/20/2024</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32,065</w:t>
            </w: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32,065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2.38</w:t>
            </w:r>
            <w:r>
              <w:rPr>
                <w:rFonts w:ascii="Times New Roman" w:cs="Times New Roman" w:eastAsia="Times New Roman" w:hAnsi="Times New Roman"/>
                <w:sz w:val="20"/>
                <w:szCs w:val="20"/>
                <w:color w:val="008000"/>
                <w:w w:val="98"/>
                <w:vertAlign w:val="superscript"/>
              </w:rPr>
              <w:t>(2)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3"/>
              </w:rPr>
              <w:t>43,946</w:t>
            </w:r>
            <w:r>
              <w:rPr>
                <w:rFonts w:ascii="Times New Roman" w:cs="Times New Roman" w:eastAsia="Times New Roman" w:hAnsi="Times New Roman"/>
                <w:sz w:val="20"/>
                <w:szCs w:val="20"/>
                <w:color w:val="008000"/>
                <w:w w:val="93"/>
                <w:vertAlign w:val="superscript"/>
              </w:rPr>
              <w:t>(2)</w:t>
            </w: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43,946</w:t>
            </w:r>
            <w:r>
              <w:rPr>
                <w:rFonts w:ascii="Times New Roman" w:cs="Times New Roman" w:eastAsia="Times New Roman" w:hAnsi="Times New Roman"/>
                <w:sz w:val="20"/>
                <w:szCs w:val="20"/>
                <w:color w:val="008000"/>
                <w:w w:val="97"/>
                <w:vertAlign w:val="superscript"/>
              </w:rPr>
              <w:t>(2)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09/16/2031</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3"/>
                <w:szCs w:val="13"/>
                <w:color w:val="0000FF"/>
              </w:rPr>
              <w:t>43,946</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5.38</w:t>
            </w:r>
            <w:r>
              <w:rPr>
                <w:rFonts w:ascii="Times New Roman" w:cs="Times New Roman" w:eastAsia="Times New Roman" w:hAnsi="Times New Roman"/>
                <w:sz w:val="20"/>
                <w:szCs w:val="20"/>
                <w:color w:val="008000"/>
                <w:w w:val="98"/>
                <w:vertAlign w:val="superscript"/>
              </w:rPr>
              <w:t>(2)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3"/>
              </w:rPr>
              <w:t>18,704</w:t>
            </w:r>
            <w:r>
              <w:rPr>
                <w:rFonts w:ascii="Times New Roman" w:cs="Times New Roman" w:eastAsia="Times New Roman" w:hAnsi="Times New Roman"/>
                <w:sz w:val="20"/>
                <w:szCs w:val="20"/>
                <w:color w:val="008000"/>
                <w:w w:val="93"/>
                <w:vertAlign w:val="superscript"/>
              </w:rPr>
              <w:t>(2)</w:t>
            </w: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18,704</w:t>
            </w:r>
            <w:r>
              <w:rPr>
                <w:rFonts w:ascii="Times New Roman" w:cs="Times New Roman" w:eastAsia="Times New Roman" w:hAnsi="Times New Roman"/>
                <w:sz w:val="20"/>
                <w:szCs w:val="20"/>
                <w:color w:val="008000"/>
                <w:w w:val="97"/>
                <w:vertAlign w:val="superscript"/>
              </w:rPr>
              <w:t>(2)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(2)(6)</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11/30/2033</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3"/>
                <w:szCs w:val="13"/>
                <w:color w:val="0000FF"/>
              </w:rPr>
              <w:t>18,704</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81,700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16.8</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81,700</w:t>
            </w:r>
          </w:p>
        </w:tc>
        <w:tc>
          <w:tcPr>
            <w:tcW w:w="3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06/19/2034</w:t>
            </w:r>
          </w:p>
        </w:tc>
        <w:tc>
          <w:tcPr>
            <w:tcW w:w="6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ind w:left="240"/>
              <w:spacing w:after="0" w:line="139" w:lineRule="exact"/>
              <w:rPr>
                <w:sz w:val="20"/>
                <w:szCs w:val="20"/>
                <w:color w:val="auto"/>
              </w:rPr>
            </w:pPr>
            <w:r>
              <w:rPr>
                <w:rFonts w:ascii="Times New Roman" w:cs="Times New Roman" w:eastAsia="Times New Roman" w:hAnsi="Times New Roman"/>
                <w:sz w:val="13"/>
                <w:szCs w:val="13"/>
                <w:color w:val="0000FF"/>
              </w:rPr>
              <w:t>81,700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4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60,000 shares of common stock of Tectonic Therapeutic, Inc., a Delaware corporation ("Tectonic"),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Tectonic common stock was converted into the right to receive 0.534419990 shares of the Issuer's common stock, after giving effect to a reverse stock split of the Issuer's common stock of 1-for-12. Subsequent to the Merger, the name of the Issuer was changed from AVROBIO, Inc. to Tectonic Therapeutic, Inc.</w:t>
      </w:r>
    </w:p>
    <w:p>
      <w:pPr>
        <w:spacing w:after="0" w:line="27" w:lineRule="exact"/>
        <w:rPr>
          <w:rFonts w:ascii="Times New Roman" w:cs="Times New Roman" w:eastAsia="Times New Roman" w:hAnsi="Times New Roman"/>
          <w:sz w:val="13"/>
          <w:szCs w:val="13"/>
          <w:color w:val="008000"/>
        </w:rPr>
      </w:pPr>
    </w:p>
    <w:p>
      <w:pPr>
        <w:ind w:left="40" w:right="2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closing of the Merger, each outstanding option to purchase shares of Tectonic common stock was assumed by the Issuer and converted into an option to purchase the Issuer's common stock, on the same terms and conditions as were applicable to such Tectonic stock option prior to the Merger, as adjusted for the exchange ratio and the reverse stock split.</w:t>
      </w:r>
    </w:p>
    <w:p>
      <w:pPr>
        <w:spacing w:after="0" w:line="21" w:lineRule="exact"/>
        <w:rPr>
          <w:rFonts w:ascii="Times New Roman" w:cs="Times New Roman" w:eastAsia="Times New Roman" w:hAnsi="Times New Roman"/>
          <w:sz w:val="13"/>
          <w:szCs w:val="13"/>
          <w:color w:val="008000"/>
        </w:rPr>
      </w:pPr>
    </w:p>
    <w:p>
      <w:pPr>
        <w:ind w:left="40" w:right="18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23,360 of the shares subject to the option are immediately exercisable and the remainder vest in 13 equal monthly installments beginning on July 19, 2024, subject to the Reporting Person's continued service to the Issuer on each such vesting date.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82,233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December 1, 2023, subject to the Reporting Person's continued service to the Issuer on each such vesting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35,000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40" w:right="160" w:hanging="1"/>
        <w:spacing w:after="0" w:line="24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to 25% of the shares on June 20, 2025 with the remainder vesting in the following 36 equal monthly installments, subject to the Reporting Person's continued service on each such vesting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Daniel Lochner, Attorney-in- </w:t>
      </w:r>
      <w:r>
        <w:rPr>
          <w:rFonts w:ascii="Times New Roman" w:cs="Times New Roman" w:eastAsia="Times New Roman" w:hAnsi="Times New Roman"/>
          <w:sz w:val="31"/>
          <w:szCs w:val="31"/>
          <w:color w:val="0000FF"/>
          <w:vertAlign w:val="subscript"/>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79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0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2384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2024-06-24T15:38:52Z</dcterms:created>
  <dcterms:modified xsi:type="dcterms:W3CDTF">2024-06-24T15:38:52Z</dcterms:modified>
</cp:coreProperties>
</file>