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1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535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35114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Requadt Scott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AVROBIO,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KENDALL SQUARE, BUILDING 300, STE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AVROBIO,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AVRO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06/25/2018</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5" w:right="760" w:hanging="5"/>
        <w:spacing w:after="0" w:line="237"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5"/>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3" w:lineRule="exact"/>
        <w:rPr>
          <w:sz w:val="24"/>
          <w:szCs w:val="24"/>
          <w:color w:val="auto"/>
        </w:rPr>
      </w:pPr>
    </w:p>
    <w:p>
      <w:pPr>
        <w:sectPr>
          <w:pgSz w:w="11900" w:h="16838" w:orient="portrait"/>
          <w:cols w:equalWidth="0" w:num="3">
            <w:col w:w="3600" w:space="460"/>
            <w:col w:w="3275" w:space="720"/>
            <w:col w:w="3465"/>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3520" w:type="dxa"/>
            <w:vAlign w:val="bottom"/>
            <w:gridSpan w:val="7"/>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200" w:type="dxa"/>
            <w:vAlign w:val="bottom"/>
          </w:tcPr>
          <w:p>
            <w:pPr>
              <w:spacing w:after="0"/>
              <w:rPr>
                <w:sz w:val="2"/>
                <w:szCs w:val="2"/>
                <w:color w:val="auto"/>
              </w:rPr>
            </w:pP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38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54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CAMBRIDGE</w:t>
            </w:r>
          </w:p>
        </w:tc>
        <w:tc>
          <w:tcPr>
            <w:tcW w:w="116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06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54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gridSpan w:val="2"/>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6"/>
          </w:tcPr>
          <w:p>
            <w:pPr>
              <w:jc w:val="center"/>
              <w:ind w:right="20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6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60" w:type="dxa"/>
            <w:vAlign w:val="bottom"/>
            <w:gridSpan w:val="4"/>
          </w:tcPr>
          <w:p>
            <w:pPr>
              <w:ind w:left="960"/>
              <w:spacing w:after="0" w:line="126"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0"/>
                <w:szCs w:val="10"/>
                <w:color w:val="auto"/>
              </w:rPr>
            </w:pPr>
          </w:p>
        </w:tc>
        <w:tc>
          <w:tcPr>
            <w:tcW w:w="76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80"/>
              <w:spacing w:after="0" w:line="126"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60" w:type="dxa"/>
            <w:vAlign w:val="bottom"/>
            <w:gridSpan w:val="4"/>
          </w:tcPr>
          <w:p>
            <w:pPr>
              <w:ind w:left="9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9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Beneficially Owned  (D)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136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400"/>
              <w:spacing w:after="0" w:line="129" w:lineRule="exact"/>
              <w:rPr>
                <w:sz w:val="20"/>
                <w:szCs w:val="20"/>
                <w:color w:val="auto"/>
              </w:rPr>
            </w:pPr>
            <w:r>
              <w:rPr>
                <w:rFonts w:ascii="Arial" w:cs="Arial" w:eastAsia="Arial" w:hAnsi="Arial"/>
                <w:sz w:val="12"/>
                <w:szCs w:val="12"/>
                <w:b w:val="1"/>
                <w:bCs w:val="1"/>
                <w:color w:val="auto"/>
                <w:w w:val="93"/>
              </w:rPr>
              <w:t>(A) or</w:t>
            </w: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00" w:type="dxa"/>
            <w:vAlign w:val="bottom"/>
            <w:gridSpan w:val="3"/>
            <w:vMerge w:val="restart"/>
          </w:tcPr>
          <w:p>
            <w:pPr>
              <w:jc w:val="right"/>
              <w:ind w:right="76"/>
              <w:spacing w:after="0"/>
              <w:rPr>
                <w:sz w:val="20"/>
                <w:szCs w:val="20"/>
                <w:color w:val="auto"/>
              </w:rPr>
            </w:pPr>
            <w:r>
              <w:rPr>
                <w:rFonts w:ascii="Arial" w:cs="Arial" w:eastAsia="Arial" w:hAnsi="Arial"/>
                <w:sz w:val="17"/>
                <w:szCs w:val="17"/>
                <w:color w:val="0000FF"/>
                <w:w w:val="86"/>
              </w:rPr>
              <w:t>06/25/2018</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vMerge w:val="restart"/>
          </w:tcPr>
          <w:p>
            <w:pPr>
              <w:jc w:val="right"/>
              <w:ind w:right="180"/>
              <w:spacing w:after="0"/>
              <w:rPr>
                <w:sz w:val="20"/>
                <w:szCs w:val="20"/>
                <w:color w:val="auto"/>
              </w:rPr>
            </w:pPr>
            <w:r>
              <w:rPr>
                <w:rFonts w:ascii="Arial" w:cs="Arial" w:eastAsia="Arial" w:hAnsi="Arial"/>
                <w:sz w:val="13"/>
                <w:szCs w:val="13"/>
                <w:color w:val="0000FF"/>
              </w:rPr>
              <w:t>C</w:t>
            </w:r>
          </w:p>
        </w:tc>
        <w:tc>
          <w:tcPr>
            <w:tcW w:w="320" w:type="dxa"/>
            <w:vAlign w:val="bottom"/>
          </w:tcPr>
          <w:p>
            <w:pPr>
              <w:spacing w:after="0"/>
              <w:rPr>
                <w:sz w:val="21"/>
                <w:szCs w:val="21"/>
                <w:color w:val="auto"/>
              </w:rPr>
            </w:pPr>
          </w:p>
        </w:tc>
        <w:tc>
          <w:tcPr>
            <w:tcW w:w="1020" w:type="dxa"/>
            <w:vAlign w:val="bottom"/>
            <w:gridSpan w:val="2"/>
            <w:vMerge w:val="restart"/>
          </w:tcPr>
          <w:p>
            <w:pPr>
              <w:jc w:val="right"/>
              <w:ind w:right="242"/>
              <w:spacing w:after="0"/>
              <w:rPr>
                <w:sz w:val="20"/>
                <w:szCs w:val="20"/>
                <w:color w:val="auto"/>
              </w:rPr>
            </w:pPr>
            <w:r>
              <w:rPr>
                <w:rFonts w:ascii="Arial" w:cs="Arial" w:eastAsia="Arial" w:hAnsi="Arial"/>
                <w:sz w:val="17"/>
                <w:szCs w:val="17"/>
                <w:color w:val="0000FF"/>
                <w:w w:val="92"/>
              </w:rPr>
              <w:t>2,283,434</w:t>
            </w:r>
          </w:p>
        </w:tc>
        <w:tc>
          <w:tcPr>
            <w:tcW w:w="20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3"/>
            <w:vMerge w:val="restart"/>
          </w:tcPr>
          <w:p>
            <w:pPr>
              <w:jc w:val="right"/>
              <w:ind w:right="621"/>
              <w:spacing w:after="0"/>
              <w:rPr>
                <w:sz w:val="20"/>
                <w:szCs w:val="20"/>
                <w:color w:val="auto"/>
              </w:rPr>
            </w:pPr>
            <w:r>
              <w:rPr>
                <w:rFonts w:ascii="Arial" w:cs="Arial" w:eastAsia="Arial" w:hAnsi="Arial"/>
                <w:sz w:val="17"/>
                <w:szCs w:val="17"/>
                <w:color w:val="0000FF"/>
              </w:rPr>
              <w:t>2,283,434</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00" w:type="dxa"/>
            <w:vAlign w:val="bottom"/>
            <w:gridSpan w:val="3"/>
            <w:vMerge w:val="restart"/>
          </w:tcPr>
          <w:p>
            <w:pPr>
              <w:jc w:val="right"/>
              <w:ind w:right="76"/>
              <w:spacing w:after="0"/>
              <w:rPr>
                <w:sz w:val="20"/>
                <w:szCs w:val="20"/>
                <w:color w:val="auto"/>
              </w:rPr>
            </w:pPr>
            <w:r>
              <w:rPr>
                <w:rFonts w:ascii="Arial" w:cs="Arial" w:eastAsia="Arial" w:hAnsi="Arial"/>
                <w:sz w:val="17"/>
                <w:szCs w:val="17"/>
                <w:color w:val="0000FF"/>
                <w:w w:val="86"/>
              </w:rPr>
              <w:t>06/25/2018</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vMerge w:val="restart"/>
          </w:tcPr>
          <w:p>
            <w:pPr>
              <w:jc w:val="right"/>
              <w:ind w:right="180"/>
              <w:spacing w:after="0"/>
              <w:rPr>
                <w:sz w:val="20"/>
                <w:szCs w:val="20"/>
                <w:color w:val="auto"/>
              </w:rPr>
            </w:pPr>
            <w:r>
              <w:rPr>
                <w:rFonts w:ascii="Arial" w:cs="Arial" w:eastAsia="Arial" w:hAnsi="Arial"/>
                <w:sz w:val="13"/>
                <w:szCs w:val="13"/>
                <w:color w:val="0000FF"/>
              </w:rPr>
              <w:t>C</w:t>
            </w:r>
          </w:p>
        </w:tc>
        <w:tc>
          <w:tcPr>
            <w:tcW w:w="320" w:type="dxa"/>
            <w:vAlign w:val="bottom"/>
          </w:tcPr>
          <w:p>
            <w:pPr>
              <w:spacing w:after="0"/>
              <w:rPr>
                <w:sz w:val="21"/>
                <w:szCs w:val="21"/>
                <w:color w:val="auto"/>
              </w:rPr>
            </w:pPr>
          </w:p>
        </w:tc>
        <w:tc>
          <w:tcPr>
            <w:tcW w:w="1020" w:type="dxa"/>
            <w:vAlign w:val="bottom"/>
            <w:gridSpan w:val="2"/>
            <w:vMerge w:val="restart"/>
          </w:tcPr>
          <w:p>
            <w:pPr>
              <w:jc w:val="right"/>
              <w:ind w:right="302"/>
              <w:spacing w:after="0"/>
              <w:rPr>
                <w:sz w:val="20"/>
                <w:szCs w:val="20"/>
                <w:color w:val="auto"/>
              </w:rPr>
            </w:pPr>
            <w:r>
              <w:rPr>
                <w:rFonts w:ascii="Arial" w:cs="Arial" w:eastAsia="Arial" w:hAnsi="Arial"/>
                <w:sz w:val="17"/>
                <w:szCs w:val="17"/>
                <w:color w:val="0000FF"/>
              </w:rPr>
              <w:t>678,891</w:t>
            </w:r>
          </w:p>
        </w:tc>
        <w:tc>
          <w:tcPr>
            <w:tcW w:w="20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3"/>
            <w:vMerge w:val="restart"/>
          </w:tcPr>
          <w:p>
            <w:pPr>
              <w:jc w:val="right"/>
              <w:ind w:right="621"/>
              <w:spacing w:after="0"/>
              <w:rPr>
                <w:sz w:val="20"/>
                <w:szCs w:val="20"/>
                <w:color w:val="auto"/>
              </w:rPr>
            </w:pPr>
            <w:r>
              <w:rPr>
                <w:rFonts w:ascii="Arial" w:cs="Arial" w:eastAsia="Arial" w:hAnsi="Arial"/>
                <w:sz w:val="17"/>
                <w:szCs w:val="17"/>
                <w:color w:val="0000FF"/>
              </w:rPr>
              <w:t>2,962,325</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gridSpan w:val="16"/>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2"/>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w w:val="96"/>
              </w:rPr>
              <w:t>7. Title and Amount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8"/>
              </w:rPr>
              <w:t>Securities Underlying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14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9"/>
              </w:rPr>
              <w:t>Derivative Security (Instr.</w:t>
            </w:r>
          </w:p>
        </w:tc>
        <w:tc>
          <w:tcPr>
            <w:tcW w:w="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3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Disposed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 (Instr.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8"/>
              </w:rPr>
              <w:t>Amount 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7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500" w:type="dxa"/>
            <w:vAlign w:val="bottom"/>
            <w:vMerge w:val="restart"/>
          </w:tcPr>
          <w:p>
            <w:pPr>
              <w:jc w:val="center"/>
              <w:ind w:right="216"/>
              <w:spacing w:after="0"/>
              <w:rPr>
                <w:sz w:val="20"/>
                <w:szCs w:val="20"/>
                <w:color w:val="auto"/>
              </w:rPr>
            </w:pPr>
            <w:r>
              <w:rPr>
                <w:rFonts w:ascii="Arial" w:cs="Arial" w:eastAsia="Arial" w:hAnsi="Arial"/>
                <w:sz w:val="11"/>
                <w:szCs w:val="11"/>
                <w:color w:val="008000"/>
              </w:rPr>
              <w:t>(4)</w:t>
            </w: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w w:val="87"/>
              </w:rPr>
              <w:t>Common</w:t>
            </w:r>
          </w:p>
        </w:tc>
        <w:tc>
          <w:tcPr>
            <w:tcW w:w="800" w:type="dxa"/>
            <w:vAlign w:val="bottom"/>
            <w:gridSpan w:val="3"/>
            <w:vMerge w:val="restart"/>
          </w:tcPr>
          <w:p>
            <w:pPr>
              <w:ind w:left="120"/>
              <w:spacing w:after="0"/>
              <w:rPr>
                <w:sz w:val="20"/>
                <w:szCs w:val="20"/>
                <w:color w:val="auto"/>
              </w:rPr>
            </w:pPr>
            <w:r>
              <w:rPr>
                <w:rFonts w:ascii="Arial" w:cs="Arial" w:eastAsia="Arial" w:hAnsi="Arial"/>
                <w:sz w:val="17"/>
                <w:szCs w:val="17"/>
                <w:color w:val="0000FF"/>
                <w:w w:val="87"/>
              </w:rPr>
              <w:t>2,283,434</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008000"/>
                <w:w w:val="74"/>
              </w:rPr>
              <w:t>(4)</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06/25/2018</w:t>
            </w: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960" w:type="dxa"/>
            <w:vAlign w:val="bottom"/>
            <w:vMerge w:val="restart"/>
          </w:tcPr>
          <w:p>
            <w:pPr>
              <w:ind w:left="340"/>
              <w:spacing w:after="0"/>
              <w:rPr>
                <w:sz w:val="20"/>
                <w:szCs w:val="20"/>
                <w:color w:val="auto"/>
              </w:rPr>
            </w:pPr>
            <w:r>
              <w:rPr>
                <w:rFonts w:ascii="Arial" w:cs="Arial" w:eastAsia="Arial" w:hAnsi="Arial"/>
                <w:sz w:val="13"/>
                <w:szCs w:val="13"/>
                <w:color w:val="0000FF"/>
              </w:rPr>
              <w:t>9,435,150</w:t>
            </w:r>
          </w:p>
        </w:tc>
        <w:tc>
          <w:tcPr>
            <w:tcW w:w="6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780" w:type="dxa"/>
            <w:vAlign w:val="bottom"/>
            <w:gridSpan w:val="2"/>
            <w:vMerge w:val="restart"/>
          </w:tcPr>
          <w:p>
            <w:pPr>
              <w:jc w:val="right"/>
              <w:ind w:right="20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ind w:left="120"/>
              <w:spacing w:after="0" w:line="103" w:lineRule="exact"/>
              <w:rPr>
                <w:sz w:val="20"/>
                <w:szCs w:val="20"/>
                <w:color w:val="auto"/>
              </w:rPr>
            </w:pPr>
            <w:r>
              <w:rPr>
                <w:rFonts w:ascii="Arial" w:cs="Arial" w:eastAsia="Arial" w:hAnsi="Arial"/>
                <w:sz w:val="11"/>
                <w:szCs w:val="11"/>
                <w:color w:val="0000FF"/>
              </w:rPr>
              <w:t>Stock</w:t>
            </w:r>
          </w:p>
        </w:tc>
        <w:tc>
          <w:tcPr>
            <w:tcW w:w="8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3"/>
          </w:tcPr>
          <w:p>
            <w:pPr>
              <w:ind w:left="60"/>
              <w:spacing w:after="0" w:line="103"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500" w:type="dxa"/>
            <w:vAlign w:val="bottom"/>
            <w:vMerge w:val="restart"/>
          </w:tcPr>
          <w:p>
            <w:pPr>
              <w:jc w:val="center"/>
              <w:ind w:right="216"/>
              <w:spacing w:after="0"/>
              <w:rPr>
                <w:sz w:val="20"/>
                <w:szCs w:val="20"/>
                <w:color w:val="auto"/>
              </w:rPr>
            </w:pPr>
            <w:r>
              <w:rPr>
                <w:rFonts w:ascii="Arial" w:cs="Arial" w:eastAsia="Arial" w:hAnsi="Arial"/>
                <w:sz w:val="11"/>
                <w:szCs w:val="11"/>
                <w:color w:val="008000"/>
              </w:rPr>
              <w:t>(4)</w:t>
            </w: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w w:val="87"/>
              </w:rPr>
              <w:t>Common</w:t>
            </w:r>
          </w:p>
        </w:tc>
        <w:tc>
          <w:tcPr>
            <w:tcW w:w="20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4"/>
              </w:rPr>
              <w:t>678,891</w:t>
            </w:r>
          </w:p>
        </w:tc>
        <w:tc>
          <w:tcPr>
            <w:tcW w:w="220" w:type="dxa"/>
            <w:vAlign w:val="bottom"/>
            <w:gridSpan w:val="2"/>
            <w:vMerge w:val="restart"/>
          </w:tcPr>
          <w:p>
            <w:pPr>
              <w:jc w:val="right"/>
              <w:ind w:right="31"/>
              <w:spacing w:after="0"/>
              <w:rPr>
                <w:sz w:val="20"/>
                <w:szCs w:val="20"/>
                <w:color w:val="auto"/>
              </w:rPr>
            </w:pPr>
            <w:r>
              <w:rPr>
                <w:rFonts w:ascii="Arial" w:cs="Arial" w:eastAsia="Arial" w:hAnsi="Arial"/>
                <w:sz w:val="11"/>
                <w:szCs w:val="11"/>
                <w:color w:val="008000"/>
                <w:w w:val="74"/>
              </w:rPr>
              <w:t>(4)</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06/25/2018</w:t>
            </w: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960" w:type="dxa"/>
            <w:vAlign w:val="bottom"/>
            <w:vMerge w:val="restart"/>
          </w:tcPr>
          <w:p>
            <w:pPr>
              <w:ind w:left="340"/>
              <w:spacing w:after="0"/>
              <w:rPr>
                <w:sz w:val="20"/>
                <w:szCs w:val="20"/>
                <w:color w:val="auto"/>
              </w:rPr>
            </w:pPr>
            <w:r>
              <w:rPr>
                <w:rFonts w:ascii="Arial" w:cs="Arial" w:eastAsia="Arial" w:hAnsi="Arial"/>
                <w:sz w:val="13"/>
                <w:szCs w:val="13"/>
                <w:color w:val="0000FF"/>
              </w:rPr>
              <w:t>2,805,179</w:t>
            </w:r>
          </w:p>
        </w:tc>
        <w:tc>
          <w:tcPr>
            <w:tcW w:w="6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780" w:type="dxa"/>
            <w:vAlign w:val="bottom"/>
            <w:gridSpan w:val="2"/>
            <w:vMerge w:val="restart"/>
          </w:tcPr>
          <w:p>
            <w:pPr>
              <w:jc w:val="right"/>
              <w:ind w:right="20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ind w:left="120"/>
              <w:spacing w:after="0" w:line="103" w:lineRule="exact"/>
              <w:rPr>
                <w:sz w:val="20"/>
                <w:szCs w:val="20"/>
                <w:color w:val="auto"/>
              </w:rPr>
            </w:pPr>
            <w:r>
              <w:rPr>
                <w:rFonts w:ascii="Arial" w:cs="Arial" w:eastAsia="Arial" w:hAnsi="Arial"/>
                <w:sz w:val="11"/>
                <w:szCs w:val="11"/>
                <w:color w:val="0000FF"/>
              </w:rPr>
              <w:t>Stock</w:t>
            </w: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3"/>
          </w:tcPr>
          <w:p>
            <w:pPr>
              <w:ind w:left="60"/>
              <w:spacing w:after="0" w:line="103"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40" w:firstLine="1"/>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Clarus Lifesciences III, L.P. ("Clarus") upon the conversion of the Issuer's Series A Preferred Stock in connection with the closing of the Issuer's initial public offering.</w:t>
      </w:r>
    </w:p>
    <w:p>
      <w:pPr>
        <w:spacing w:after="0" w:line="25" w:lineRule="exact"/>
        <w:rPr>
          <w:rFonts w:ascii="Arial" w:cs="Arial" w:eastAsia="Arial" w:hAnsi="Arial"/>
          <w:sz w:val="13"/>
          <w:szCs w:val="13"/>
          <w:color w:val="008000"/>
        </w:rPr>
      </w:pPr>
    </w:p>
    <w:p>
      <w:pPr>
        <w:ind w:left="40" w:right="180" w:firstLine="1"/>
        <w:spacing w:after="0" w:line="26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directly by Clarus. The general partner of Clarus is Clarus Ventures III GP, L.P. ("GPLP"). Clarus Ventures III, LLC, ("LLC") is the general partner of GPLP. Each of Nicholas Galakatos, Dennis Henner, Robert Liptak, Scott Requadt, Nicholas Simon, and Kurt Wheeler, as individual managing directors of the LLC, may be deemed to beneficially own certain of the shares held of record by Clarus. Each of Messrs. Galakatos, Henner, Liptak, Requadt, Simon and Wheeler disclaims beneficial ownership of all shares held of record by Clarus in which he does not have an actual pecuniary interest. Mr. Requadt is a member of LLC and a member of the Issuer's board of directors. Mr. Requadt disclaims beneficial ownership of such shares, except to the extent of his proportionate pecuniary interest therein, if any.</w:t>
      </w:r>
    </w:p>
    <w:p>
      <w:pPr>
        <w:spacing w:after="0" w:line="19" w:lineRule="exact"/>
        <w:rPr>
          <w:rFonts w:ascii="Arial" w:cs="Arial" w:eastAsia="Arial" w:hAnsi="Arial"/>
          <w:sz w:val="12"/>
          <w:szCs w:val="12"/>
          <w:color w:val="008000"/>
        </w:rPr>
      </w:pPr>
    </w:p>
    <w:p>
      <w:pPr>
        <w:ind w:left="180" w:hanging="139"/>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total number of shares of Common Stock received by Clarus upon the conversion of the Issuer's Series B Preferred Stock in connection with the closing of the Issuer's initial public offering.</w:t>
      </w:r>
    </w:p>
    <w:p>
      <w:pPr>
        <w:spacing w:after="0" w:line="54" w:lineRule="exact"/>
        <w:rPr>
          <w:rFonts w:ascii="Arial" w:cs="Arial" w:eastAsia="Arial" w:hAnsi="Arial"/>
          <w:sz w:val="12"/>
          <w:szCs w:val="12"/>
          <w:color w:val="008000"/>
        </w:rPr>
      </w:pPr>
    </w:p>
    <w:p>
      <w:pPr>
        <w:ind w:left="180" w:hanging="139"/>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series of Convertible Preferred Stock automatically converted into the Issuer's Common Stock on a 4.132-for-1 basis on June 25, 2018 and had no expiration date.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Arthur McGivern, as</w:t>
            </w:r>
          </w:p>
        </w:tc>
        <w:tc>
          <w:tcPr>
            <w:tcW w:w="6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06/25/2018</w:t>
            </w:r>
          </w:p>
        </w:tc>
        <w:tc>
          <w:tcPr>
            <w:tcW w:w="0" w:type="dxa"/>
            <w:vAlign w:val="bottom"/>
          </w:tcPr>
          <w:p>
            <w:pPr>
              <w:spacing w:after="0"/>
              <w:rPr>
                <w:sz w:val="1"/>
                <w:szCs w:val="1"/>
                <w:color w:val="auto"/>
              </w:rPr>
            </w:pPr>
          </w:p>
        </w:tc>
      </w:tr>
      <w:tr>
        <w:trPr>
          <w:trHeight w:val="88"/>
        </w:trPr>
        <w:tc>
          <w:tcPr>
            <w:tcW w:w="228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6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4852"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2019-12-23T15:57:12Z</dcterms:created>
  <dcterms:modified xsi:type="dcterms:W3CDTF">2019-12-23T15:57:12Z</dcterms:modified>
</cp:coreProperties>
</file>