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01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49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49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49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line="308" w:lineRule="auto"/>
        <w:rPr>
          <w:sz w:val="20"/>
          <w:szCs w:val="20"/>
          <w:color w:val="auto"/>
        </w:rPr>
      </w:pPr>
      <w:r>
        <w:rPr>
          <w:rFonts w:ascii="Arial" w:cs="Arial" w:eastAsia="Arial" w:hAnsi="Arial"/>
          <w:sz w:val="17"/>
          <w:szCs w:val="17"/>
          <w:color w:val="auto"/>
        </w:rPr>
        <w:t>CUSIP No.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-177800</wp:posOffset>
            </wp:positionV>
            <wp:extent cx="7132320" cy="3234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234055"/>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2">
            <w:col w:w="520" w:space="420"/>
            <w:col w:w="10300"/>
          </w:cols>
          <w:pgMar w:left="320" w:top="517" w:right="339" w:bottom="1440" w:gutter="0" w:footer="0" w:header="0"/>
        </w:sectPr>
      </w:pPr>
    </w:p>
    <w:p>
      <w:pPr>
        <w:spacing w:after="0" w:line="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4900" w:hanging="529"/>
        <w:spacing w:after="0" w:line="182"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4"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3,318,956</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3,823,857</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3,826,457</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10.4 %</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 w:name="page3"/>
    <w:bookmarkEnd w:id="2"/>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AVROBIO, INC.</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One Kendall Square</w:t>
      </w:r>
    </w:p>
    <w:p>
      <w:pPr>
        <w:spacing w:after="0" w:line="1" w:lineRule="exact"/>
        <w:rPr>
          <w:rFonts w:ascii="Arial" w:cs="Arial" w:eastAsia="Arial" w:hAnsi="Arial"/>
          <w:sz w:val="18"/>
          <w:szCs w:val="18"/>
          <w:color w:val="auto"/>
        </w:rPr>
      </w:pPr>
    </w:p>
    <w:p>
      <w:pPr>
        <w:jc w:val="both"/>
        <w:ind w:left="1300" w:right="8180"/>
        <w:spacing w:after="0" w:line="323" w:lineRule="auto"/>
        <w:rPr>
          <w:rFonts w:ascii="Arial" w:cs="Arial" w:eastAsia="Arial" w:hAnsi="Arial"/>
          <w:sz w:val="18"/>
          <w:szCs w:val="18"/>
          <w:color w:val="auto"/>
        </w:rPr>
      </w:pPr>
      <w:r>
        <w:rPr>
          <w:rFonts w:ascii="Arial" w:cs="Arial" w:eastAsia="Arial" w:hAnsi="Arial"/>
          <w:sz w:val="16"/>
          <w:szCs w:val="16"/>
          <w:color w:val="auto"/>
        </w:rPr>
        <w:t>Building 300, Suite 201 Cambridge, MA 02139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$0.0001 par value per share</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05455M100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81" w:orient="portrait"/>
          <w:cols w:equalWidth="0" w:num="1">
            <w:col w:w="11200"/>
          </w:cols>
          <w:pgMar w:left="320" w:top="513" w:right="379" w:bottom="0"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700405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61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1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3,826,457</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10.4 %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3,318,956</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3,823,857</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(UK) Limited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180"/>
          </w:cols>
          <w:pgMar w:left="320" w:top="756"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November 09,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180"/>
          </w:cols>
          <w:pgMar w:left="320" w:top="756" w:right="39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sectPr>
      <w:pgSz w:w="11900" w:h="16838" w:orient="portrait"/>
      <w:cols w:equalWidth="0" w:num="1">
        <w:col w:w="11180"/>
      </w:cols>
      <w:pgMar w:left="32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2020-11-09T11:55:02Z</dcterms:created>
  <dcterms:modified xsi:type="dcterms:W3CDTF">2020-11-09T11:55:02Z</dcterms:modified>
</cp:coreProperties>
</file>