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333-232489</w:t>
      </w:r>
    </w:p>
    <w:p>
      <w:pPr>
        <w:spacing w:after="0" w:line="379" w:lineRule="exact"/>
        <w:rPr>
          <w:sz w:val="24"/>
          <w:szCs w:val="24"/>
          <w:color w:val="auto"/>
        </w:rPr>
      </w:pPr>
    </w:p>
    <w:p>
      <w:pPr>
        <w:ind w:left="200"/>
        <w:spacing w:after="0"/>
        <w:rPr>
          <w:sz w:val="20"/>
          <w:szCs w:val="20"/>
          <w:color w:val="auto"/>
        </w:rPr>
      </w:pPr>
      <w:r>
        <w:rPr>
          <w:rFonts w:ascii="Arial" w:cs="Arial" w:eastAsia="Arial" w:hAnsi="Arial"/>
          <w:sz w:val="22"/>
          <w:szCs w:val="22"/>
          <w:i w:val="1"/>
          <w:iCs w:val="1"/>
          <w:color w:val="auto"/>
        </w:rPr>
        <w:t>PROSPECTUS SUPPLEMENT</w:t>
      </w:r>
    </w:p>
    <w:p>
      <w:pPr>
        <w:spacing w:after="0" w:line="8" w:lineRule="exact"/>
        <w:rPr>
          <w:sz w:val="24"/>
          <w:szCs w:val="24"/>
          <w:color w:val="auto"/>
        </w:rPr>
      </w:pPr>
    </w:p>
    <w:p>
      <w:pPr>
        <w:ind w:left="200"/>
        <w:spacing w:after="0"/>
        <w:rPr>
          <w:sz w:val="20"/>
          <w:szCs w:val="20"/>
          <w:color w:val="auto"/>
        </w:rPr>
      </w:pPr>
      <w:r>
        <w:rPr>
          <w:rFonts w:ascii="Arial" w:cs="Arial" w:eastAsia="Arial" w:hAnsi="Arial"/>
          <w:sz w:val="22"/>
          <w:szCs w:val="22"/>
          <w:i w:val="1"/>
          <w:iCs w:val="1"/>
          <w:color w:val="auto"/>
        </w:rPr>
        <w:t>(to Prospectus dated July 10, 2019)</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32"/>
          <w:szCs w:val="32"/>
          <w:i w:val="1"/>
          <w:iCs w:val="1"/>
          <w:color w:val="auto"/>
        </w:rPr>
        <w:t>6,500,000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173355</wp:posOffset>
            </wp:positionV>
            <wp:extent cx="222948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238760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200" w:right="180"/>
        <w:spacing w:after="0" w:line="308" w:lineRule="auto"/>
        <w:rPr>
          <w:sz w:val="20"/>
          <w:szCs w:val="20"/>
          <w:color w:val="auto"/>
        </w:rPr>
      </w:pPr>
      <w:r>
        <w:rPr>
          <w:rFonts w:ascii="Arial" w:cs="Arial" w:eastAsia="Arial" w:hAnsi="Arial"/>
          <w:sz w:val="17"/>
          <w:szCs w:val="17"/>
          <w:i w:val="1"/>
          <w:iCs w:val="1"/>
          <w:color w:val="auto"/>
        </w:rPr>
        <w:t>We are offering 6,500,000 shares of our common stock, par value $0.0001 per share. Our common stock is listed on The Nasdaq Global Select Market under the symbol “AVRO.” On July 15, 2019, the last reported sale price of our common stock was $16.42 per share.</w:t>
      </w:r>
    </w:p>
    <w:p>
      <w:pPr>
        <w:spacing w:after="0" w:line="147" w:lineRule="exact"/>
        <w:rPr>
          <w:sz w:val="24"/>
          <w:szCs w:val="24"/>
          <w:color w:val="auto"/>
        </w:rPr>
      </w:pPr>
    </w:p>
    <w:p>
      <w:pPr>
        <w:ind w:left="200" w:right="320"/>
        <w:spacing w:after="0" w:line="277" w:lineRule="auto"/>
        <w:rPr>
          <w:sz w:val="20"/>
          <w:szCs w:val="20"/>
          <w:color w:val="auto"/>
        </w:rPr>
      </w:pPr>
      <w:r>
        <w:rPr>
          <w:rFonts w:ascii="Arial" w:cs="Arial" w:eastAsia="Arial" w:hAnsi="Arial"/>
          <w:sz w:val="18"/>
          <w:szCs w:val="18"/>
          <w:i w:val="1"/>
          <w:iCs w:val="1"/>
          <w:color w:val="auto"/>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00" w:right="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Our business and an investment in our common stock involve significant risks. These risks are described under the caption “</w:t>
      </w:r>
      <w:hyperlink w:anchor="page17">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S-15 of this prospectus supplement.</w:t>
      </w:r>
    </w:p>
    <w:p>
      <w:pPr>
        <w:spacing w:after="0" w:line="180" w:lineRule="exact"/>
        <w:rPr>
          <w:sz w:val="24"/>
          <w:szCs w:val="24"/>
          <w:color w:val="auto"/>
        </w:rPr>
      </w:pPr>
    </w:p>
    <w:p>
      <w:pPr>
        <w:jc w:val="both"/>
        <w:ind w:left="200" w:right="300"/>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173355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00" w:type="dxa"/>
        <w:tblCellMar>
          <w:top w:w="0" w:type="dxa"/>
          <w:left w:w="0" w:type="dxa"/>
          <w:bottom w:w="0" w:type="dxa"/>
          <w:right w:w="0" w:type="dxa"/>
        </w:tblCellMar>
      </w:tblPr>
      <w:tr>
        <w:trPr>
          <w:trHeight w:val="167"/>
        </w:trPr>
        <w:tc>
          <w:tcPr>
            <w:tcW w:w="82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1"/>
              </w:rPr>
              <w:t>Per Share</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Total</w:t>
            </w:r>
          </w:p>
        </w:tc>
        <w:tc>
          <w:tcPr>
            <w:tcW w:w="440" w:type="dxa"/>
            <w:vAlign w:val="bottom"/>
          </w:tcPr>
          <w:p>
            <w:pPr>
              <w:spacing w:after="0"/>
              <w:rPr>
                <w:sz w:val="14"/>
                <w:szCs w:val="14"/>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i w:val="1"/>
                <w:iCs w:val="1"/>
                <w:color w:val="auto"/>
              </w:rPr>
              <w:t>Public offering price</w:t>
            </w:r>
          </w:p>
        </w:tc>
        <w:tc>
          <w:tcPr>
            <w:tcW w:w="620" w:type="dxa"/>
            <w:vAlign w:val="bottom"/>
          </w:tcPr>
          <w:p>
            <w:pPr>
              <w:jc w:val="right"/>
              <w:spacing w:after="0" w:line="195" w:lineRule="exact"/>
              <w:rPr>
                <w:sz w:val="20"/>
                <w:szCs w:val="20"/>
                <w:color w:val="auto"/>
              </w:rPr>
            </w:pPr>
            <w:r>
              <w:rPr>
                <w:rFonts w:ascii="Arial" w:cs="Arial" w:eastAsia="Arial" w:hAnsi="Arial"/>
                <w:sz w:val="18"/>
                <w:szCs w:val="18"/>
                <w:i w:val="1"/>
                <w:iCs w:val="1"/>
                <w:color w:val="auto"/>
              </w:rPr>
              <w:t>$18.50</w:t>
            </w:r>
          </w:p>
        </w:tc>
        <w:tc>
          <w:tcPr>
            <w:tcW w:w="540" w:type="dxa"/>
            <w:vAlign w:val="bottom"/>
          </w:tcPr>
          <w:p>
            <w:pPr>
              <w:spacing w:after="0"/>
              <w:rPr>
                <w:sz w:val="16"/>
                <w:szCs w:val="16"/>
                <w:color w:val="auto"/>
              </w:rPr>
            </w:pPr>
          </w:p>
        </w:tc>
        <w:tc>
          <w:tcPr>
            <w:tcW w:w="760" w:type="dxa"/>
            <w:vAlign w:val="bottom"/>
          </w:tcPr>
          <w:p>
            <w:pPr>
              <w:jc w:val="right"/>
              <w:ind w:right="50"/>
              <w:spacing w:after="0" w:line="195" w:lineRule="exact"/>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w w:val="73"/>
              </w:rPr>
              <w:t>120,250,000</w:t>
            </w:r>
          </w:p>
        </w:tc>
      </w:tr>
      <w:tr>
        <w:trPr>
          <w:trHeight w:val="216"/>
        </w:trPr>
        <w:tc>
          <w:tcPr>
            <w:tcW w:w="828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15"/>
                <w:szCs w:val="15"/>
                <w:i w:val="1"/>
                <w:iCs w:val="1"/>
                <w:color w:val="auto"/>
              </w:rPr>
              <w:t>(1)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$1.11</w:t>
            </w: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$7,215,000</w:t>
            </w:r>
          </w:p>
        </w:tc>
      </w:tr>
      <w:tr>
        <w:trPr>
          <w:trHeight w:val="230"/>
        </w:trPr>
        <w:tc>
          <w:tcPr>
            <w:tcW w:w="828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$17.39</w:t>
            </w: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$113,035,000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expenses. See “Underwriting.”</w:t>
      </w:r>
    </w:p>
    <w:p>
      <w:pPr>
        <w:spacing w:after="0" w:line="225" w:lineRule="exact"/>
        <w:rPr>
          <w:sz w:val="24"/>
          <w:szCs w:val="24"/>
          <w:color w:val="auto"/>
        </w:rPr>
      </w:pPr>
    </w:p>
    <w:p>
      <w:pPr>
        <w:ind w:left="200" w:right="100"/>
        <w:spacing w:after="0" w:line="286" w:lineRule="auto"/>
        <w:rPr>
          <w:sz w:val="20"/>
          <w:szCs w:val="20"/>
          <w:color w:val="auto"/>
        </w:rPr>
      </w:pPr>
      <w:r>
        <w:rPr>
          <w:rFonts w:ascii="Arial" w:cs="Arial" w:eastAsia="Arial" w:hAnsi="Arial"/>
          <w:sz w:val="17"/>
          <w:szCs w:val="17"/>
          <w:i w:val="1"/>
          <w:iCs w:val="1"/>
          <w:color w:val="auto"/>
        </w:rPr>
        <w:t>We have granted the underwriters an option for a period of 30 days from the date of this prospectus supplement to purchase up to 975,000 additional shares of our common stock (15% of the shares sold). If the underwriters exercise their option in full, the total underwriting discounts and commissions payable by us will be $8,297,250, and the total proceeds to us, before expenses, will be $129,990,250.</w:t>
      </w:r>
    </w:p>
    <w:p>
      <w:pPr>
        <w:spacing w:after="0" w:line="166" w:lineRule="exact"/>
        <w:rPr>
          <w:sz w:val="24"/>
          <w:szCs w:val="24"/>
          <w:color w:val="auto"/>
        </w:rPr>
      </w:pPr>
    </w:p>
    <w:p>
      <w:pPr>
        <w:ind w:left="200" w:right="140"/>
        <w:spacing w:after="0" w:line="277" w:lineRule="auto"/>
        <w:rPr>
          <w:sz w:val="20"/>
          <w:szCs w:val="20"/>
          <w:color w:val="auto"/>
        </w:rPr>
      </w:pPr>
      <w:r>
        <w:rPr>
          <w:rFonts w:ascii="Arial" w:cs="Arial" w:eastAsia="Arial" w:hAnsi="Arial"/>
          <w:sz w:val="18"/>
          <w:szCs w:val="18"/>
          <w:i w:val="1"/>
          <w:iCs w:val="1"/>
          <w:color w:val="auto"/>
        </w:rPr>
        <w:t>Certain of our existing stockholders, including certain affiliates of our directors, have agreed to purchase an aggregate of approximately $15.0 million of shares of our common stock in this offering at the public offering price disclosed in this prospectus supplement.</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i w:val="1"/>
          <w:iCs w:val="1"/>
          <w:color w:val="auto"/>
        </w:rPr>
        <w:t>Delivery of the shares of common stock is expected to be made on or about July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200"/>
        <w:spacing w:after="0"/>
        <w:rPr>
          <w:sz w:val="20"/>
          <w:szCs w:val="20"/>
          <w:color w:val="auto"/>
        </w:rPr>
      </w:pPr>
      <w:r>
        <w:rPr>
          <w:rFonts w:ascii="Arial" w:cs="Arial" w:eastAsia="Arial" w:hAnsi="Arial"/>
          <w:sz w:val="19"/>
          <w:szCs w:val="19"/>
          <w:i w:val="1"/>
          <w:i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9"/>
          <w:szCs w:val="19"/>
          <w:i w:val="1"/>
          <w:iCs w:val="1"/>
          <w:color w:val="auto"/>
        </w:rPr>
        <w:t>COWEN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9"/>
          <w:szCs w:val="19"/>
          <w:i w:val="1"/>
          <w:iCs w:val="1"/>
          <w:color w:val="auto"/>
        </w:rPr>
        <w:t>WELLS FARGO SECURITIES</w:t>
      </w:r>
    </w:p>
    <w:p>
      <w:pPr>
        <w:spacing w:after="0" w:line="99" w:lineRule="exact"/>
        <w:rPr>
          <w:sz w:val="24"/>
          <w:szCs w:val="24"/>
          <w:color w:val="auto"/>
        </w:rPr>
      </w:pPr>
    </w:p>
    <w:p>
      <w:pPr>
        <w:sectPr>
          <w:pgSz w:w="11900" w:h="16838" w:orient="portrait"/>
          <w:cols w:equalWidth="0" w:num="3">
            <w:col w:w="3780" w:space="720"/>
            <w:col w:w="3380" w:space="720"/>
            <w:col w:w="2620"/>
          </w:cols>
          <w:pgMar w:left="240" w:top="230" w:right="439" w:bottom="1440" w:gutter="0" w:footer="0" w:header="0"/>
          <w:type w:val="continuous"/>
        </w:sectPr>
      </w:pPr>
    </w:p>
    <w:p>
      <w:pPr>
        <w:jc w:val="center"/>
        <w:ind w:right="-439"/>
        <w:spacing w:after="0"/>
        <w:rPr>
          <w:sz w:val="20"/>
          <w:szCs w:val="20"/>
          <w:color w:val="auto"/>
        </w:rPr>
      </w:pPr>
      <w:r>
        <w:rPr>
          <w:rFonts w:ascii="Arial" w:cs="Arial" w:eastAsia="Arial" w:hAnsi="Arial"/>
          <w:sz w:val="16"/>
          <w:szCs w:val="16"/>
          <w:i w:val="1"/>
          <w:iCs w:val="1"/>
          <w:color w:val="auto"/>
        </w:rPr>
        <w:t>GUGGENHEIM SECURITIES</w:t>
      </w:r>
    </w:p>
    <w:p>
      <w:pPr>
        <w:sectPr>
          <w:pgSz w:w="11900" w:h="16838" w:orient="portrait"/>
          <w:cols w:equalWidth="0" w:num="1">
            <w:col w:w="11220"/>
          </w:cols>
          <w:pgMar w:left="240" w:top="230" w:right="439" w:bottom="1440" w:gutter="0" w:footer="0" w:header="0"/>
          <w:type w:val="continuous"/>
        </w:sectPr>
      </w:pPr>
    </w:p>
    <w:p>
      <w:pPr>
        <w:spacing w:after="0" w:line="95" w:lineRule="exact"/>
        <w:rPr>
          <w:sz w:val="24"/>
          <w:szCs w:val="24"/>
          <w:color w:val="auto"/>
        </w:rPr>
      </w:pPr>
    </w:p>
    <w:p>
      <w:pPr>
        <w:ind w:left="200"/>
        <w:spacing w:after="0"/>
        <w:rPr>
          <w:sz w:val="20"/>
          <w:szCs w:val="20"/>
          <w:color w:val="auto"/>
        </w:rPr>
      </w:pPr>
      <w:r>
        <w:rPr>
          <w:rFonts w:ascii="Arial" w:cs="Arial" w:eastAsia="Arial" w:hAnsi="Arial"/>
          <w:sz w:val="12"/>
          <w:szCs w:val="12"/>
          <w:i w:val="1"/>
          <w:iCs w:val="1"/>
          <w:color w:val="auto"/>
        </w:rPr>
        <w:t>WEDBUSH PACGROW</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H.C. WAINWRIGHT &amp; CO.</w:t>
      </w:r>
    </w:p>
    <w:p>
      <w:pPr>
        <w:spacing w:after="0" w:line="200" w:lineRule="exact"/>
        <w:rPr>
          <w:sz w:val="24"/>
          <w:szCs w:val="24"/>
          <w:color w:val="auto"/>
        </w:rPr>
      </w:pPr>
    </w:p>
    <w:p>
      <w:pPr>
        <w:sectPr>
          <w:pgSz w:w="11900" w:h="16838" w:orient="portrait"/>
          <w:cols w:equalWidth="0" w:num="2">
            <w:col w:w="8900" w:space="720"/>
            <w:col w:w="1600"/>
          </w:cols>
          <w:pgMar w:left="240" w:top="230" w:right="439" w:bottom="1440" w:gutter="0" w:footer="0" w:header="0"/>
          <w:type w:val="continuous"/>
        </w:sectPr>
      </w:pPr>
    </w:p>
    <w:p>
      <w:pPr>
        <w:spacing w:after="0" w:line="20" w:lineRule="exact"/>
        <w:rPr>
          <w:sz w:val="24"/>
          <w:szCs w:val="24"/>
          <w:color w:val="auto"/>
        </w:rPr>
      </w:pPr>
    </w:p>
    <w:p>
      <w:pPr>
        <w:ind w:left="200"/>
        <w:spacing w:after="0"/>
        <w:rPr>
          <w:sz w:val="20"/>
          <w:szCs w:val="20"/>
          <w:color w:val="auto"/>
        </w:rPr>
      </w:pPr>
      <w:r>
        <w:rPr>
          <w:rFonts w:ascii="Arial" w:cs="Arial" w:eastAsia="Arial" w:hAnsi="Arial"/>
          <w:sz w:val="16"/>
          <w:szCs w:val="16"/>
          <w:i w:val="1"/>
          <w:iCs w:val="1"/>
          <w:color w:val="auto"/>
        </w:rPr>
        <w:t>The date of this prospectus supplement is July 16, 2019</w:t>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7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18"/>
          </w:tcPr>
          <w:p>
            <w:pPr>
              <w:ind w:left="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7"/>
          </w:tcPr>
          <w:p>
            <w:pPr>
              <w:ind w:left="240"/>
              <w:spacing w:after="0"/>
              <w:rPr>
                <w:sz w:val="20"/>
                <w:szCs w:val="20"/>
                <w:color w:val="auto"/>
              </w:rPr>
            </w:pPr>
            <w:r>
              <w:rPr>
                <w:rFonts w:ascii="Arial" w:cs="Arial" w:eastAsia="Arial" w:hAnsi="Arial"/>
                <w:sz w:val="18"/>
                <w:szCs w:val="18"/>
                <w:b w:val="1"/>
                <w:bCs w:val="1"/>
                <w:color w:val="auto"/>
              </w:rPr>
              <w:t>PROSPECTUS SUPPLEMENT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PROSPECTUS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480" w:type="dxa"/>
            <w:vAlign w:val="bottom"/>
            <w:gridSpan w:val="11"/>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About this Prospectus Supplement</w:t>
              </w:r>
            </w:hyperlink>
          </w:p>
        </w:tc>
        <w:tc>
          <w:tcPr>
            <w:tcW w:w="2040" w:type="dxa"/>
            <w:vAlign w:val="bottom"/>
            <w:gridSpan w:val="4"/>
            <w:vMerge w:val="restart"/>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380" w:type="dxa"/>
            <w:vAlign w:val="bottom"/>
            <w:vMerge w:val="restart"/>
          </w:tcPr>
          <w:p>
            <w:pPr>
              <w:spacing w:after="0"/>
              <w:rPr>
                <w:sz w:val="24"/>
                <w:szCs w:val="24"/>
                <w:color w:val="auto"/>
              </w:rPr>
            </w:pPr>
          </w:p>
        </w:tc>
        <w:tc>
          <w:tcPr>
            <w:tcW w:w="5040" w:type="dxa"/>
            <w:vAlign w:val="bottom"/>
            <w:gridSpan w:val="15"/>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1"/>
            <w:vMerge w:val="continue"/>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380" w:type="dxa"/>
            <w:vAlign w:val="bottom"/>
            <w:vMerge w:val="continue"/>
          </w:tcPr>
          <w:p>
            <w:pPr>
              <w:spacing w:after="0"/>
              <w:rPr>
                <w:sz w:val="13"/>
                <w:szCs w:val="13"/>
                <w:color w:val="auto"/>
              </w:rPr>
            </w:pPr>
          </w:p>
        </w:tc>
        <w:tc>
          <w:tcPr>
            <w:tcW w:w="504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4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520" w:type="dxa"/>
            <w:vAlign w:val="bottom"/>
            <w:gridSpan w:val="15"/>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Regarding Forward-Looking Statements</w:t>
              </w:r>
            </w:hyperlink>
          </w:p>
        </w:tc>
        <w:tc>
          <w:tcPr>
            <w:tcW w:w="3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c>
          <w:tcPr>
            <w:tcW w:w="5420" w:type="dxa"/>
            <w:vAlign w:val="bottom"/>
            <w:gridSpan w:val="16"/>
          </w:tcPr>
          <w:p>
            <w:pPr>
              <w:ind w:left="38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80" w:type="dxa"/>
            <w:vAlign w:val="bottom"/>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Supplement Summary</w:t>
              </w:r>
            </w:hyperlink>
          </w:p>
        </w:tc>
        <w:tc>
          <w:tcPr>
            <w:tcW w:w="20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Cautionary Statement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580" w:type="dxa"/>
            <w:vAlign w:val="bottom"/>
            <w:tcBorders>
              <w:top w:val="single" w:sz="8" w:color="0000EE"/>
            </w:tcBorders>
            <w:gridSpan w:val="8"/>
          </w:tcPr>
          <w:p>
            <w:pPr>
              <w:spacing w:after="0"/>
              <w:rPr>
                <w:sz w:val="17"/>
                <w:szCs w:val="17"/>
                <w:color w:val="auto"/>
              </w:rPr>
            </w:pPr>
          </w:p>
        </w:tc>
        <w:tc>
          <w:tcPr>
            <w:tcW w:w="20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S-15</w:t>
            </w:r>
          </w:p>
        </w:tc>
        <w:tc>
          <w:tcPr>
            <w:tcW w:w="3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The Company</w:t>
              </w:r>
            </w:hyperlink>
          </w:p>
        </w:tc>
        <w:tc>
          <w:tcPr>
            <w:tcW w:w="3480" w:type="dxa"/>
            <w:vAlign w:val="bottom"/>
            <w:tcBorders>
              <w:top w:val="single" w:sz="8" w:color="0000EE"/>
            </w:tcBorders>
            <w:gridSpan w:val="10"/>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Use of Proceeds</w:t>
              </w:r>
            </w:hyperlink>
          </w:p>
        </w:tc>
        <w:tc>
          <w:tcPr>
            <w:tcW w:w="336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38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Use of Proceeds</w:t>
              </w:r>
            </w:hyperlink>
          </w:p>
        </w:tc>
        <w:tc>
          <w:tcPr>
            <w:tcW w:w="38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940" w:type="dxa"/>
            <w:vAlign w:val="bottom"/>
            <w:gridSpan w:val="1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Common Stock</w:t>
              </w:r>
            </w:hyperlink>
          </w:p>
        </w:tc>
        <w:tc>
          <w:tcPr>
            <w:tcW w:w="25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S-21</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Securities We May Offer</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94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25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S-22</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Capitalization</w:t>
              </w:r>
            </w:hyperlink>
          </w:p>
        </w:tc>
        <w:tc>
          <w:tcPr>
            <w:tcW w:w="140" w:type="dxa"/>
            <w:vAlign w:val="bottom"/>
            <w:gridSpan w:val="2"/>
          </w:tcPr>
          <w:p>
            <w:pPr>
              <w:spacing w:after="0"/>
              <w:rPr>
                <w:sz w:val="17"/>
                <w:szCs w:val="17"/>
                <w:color w:val="auto"/>
              </w:rPr>
            </w:pPr>
          </w:p>
        </w:tc>
        <w:tc>
          <w:tcPr>
            <w:tcW w:w="336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S-23</w:t>
            </w:r>
          </w:p>
        </w:tc>
        <w:tc>
          <w:tcPr>
            <w:tcW w:w="380" w:type="dxa"/>
            <w:vAlign w:val="bottom"/>
          </w:tcPr>
          <w:p>
            <w:pPr>
              <w:spacing w:after="0"/>
              <w:rPr>
                <w:sz w:val="17"/>
                <w:szCs w:val="17"/>
                <w:color w:val="auto"/>
              </w:rPr>
            </w:pPr>
          </w:p>
        </w:tc>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Description of Debt Securities</w:t>
              </w:r>
            </w:hyperlink>
          </w:p>
        </w:tc>
        <w:tc>
          <w:tcPr>
            <w:tcW w:w="28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Dilution</w:t>
              </w:r>
            </w:hyperlink>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S-24</w:t>
            </w:r>
          </w:p>
        </w:tc>
        <w:tc>
          <w:tcPr>
            <w:tcW w:w="5420" w:type="dxa"/>
            <w:vAlign w:val="bottom"/>
            <w:gridSpan w:val="16"/>
          </w:tcPr>
          <w:p>
            <w:pPr>
              <w:ind w:left="38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Warrants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Underwriting</w:t>
              </w:r>
            </w:hyperlink>
          </w:p>
        </w:tc>
        <w:tc>
          <w:tcPr>
            <w:tcW w:w="3560" w:type="dxa"/>
            <w:vAlign w:val="bottom"/>
            <w:gridSpan w:val="11"/>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S-25</w:t>
            </w:r>
          </w:p>
        </w:tc>
        <w:tc>
          <w:tcPr>
            <w:tcW w:w="38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Description of Units</w:t>
              </w:r>
            </w:hyperlink>
          </w:p>
        </w:tc>
        <w:tc>
          <w:tcPr>
            <w:tcW w:w="35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Material U.S. Federal Income Tax Considerations for</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gridSpan w:val="16"/>
          </w:tcPr>
          <w:p>
            <w:pPr>
              <w:ind w:left="3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Non-U.S. Holders</w:t>
              </w:r>
            </w:hyperlink>
          </w:p>
        </w:tc>
        <w:tc>
          <w:tcPr>
            <w:tcW w:w="2340" w:type="dxa"/>
            <w:vAlign w:val="bottom"/>
            <w:tcBorders>
              <w:top w:val="single" w:sz="8" w:color="0000EE"/>
            </w:tcBorders>
            <w:gridSpan w:val="4"/>
          </w:tcPr>
          <w:p>
            <w:pPr>
              <w:spacing w:after="0"/>
              <w:rPr>
                <w:sz w:val="17"/>
                <w:szCs w:val="17"/>
                <w:color w:val="auto"/>
              </w:rPr>
            </w:pPr>
          </w:p>
        </w:tc>
        <w:tc>
          <w:tcPr>
            <w:tcW w:w="7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S-31</w:t>
            </w:r>
          </w:p>
        </w:tc>
        <w:tc>
          <w:tcPr>
            <w:tcW w:w="3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Legal Matters</w:t>
              </w:r>
            </w:hyperlink>
          </w:p>
        </w:tc>
        <w:tc>
          <w:tcPr>
            <w:tcW w:w="420" w:type="dxa"/>
            <w:vAlign w:val="bottom"/>
            <w:tcBorders>
              <w:top w:val="single" w:sz="8" w:color="0000EE"/>
            </w:tcBorders>
            <w:gridSpan w:val="3"/>
          </w:tcPr>
          <w:p>
            <w:pPr>
              <w:spacing w:after="0"/>
              <w:rPr>
                <w:sz w:val="17"/>
                <w:szCs w:val="17"/>
                <w:color w:val="auto"/>
              </w:rPr>
            </w:pPr>
          </w:p>
        </w:tc>
        <w:tc>
          <w:tcPr>
            <w:tcW w:w="36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Legal Matters</w:t>
              </w:r>
            </w:hyperlink>
          </w:p>
        </w:tc>
        <w:tc>
          <w:tcPr>
            <w:tcW w:w="352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S-35</w:t>
            </w:r>
          </w:p>
        </w:tc>
        <w:tc>
          <w:tcPr>
            <w:tcW w:w="3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Experts</w:t>
              </w:r>
            </w:hyperlink>
          </w:p>
        </w:tc>
        <w:tc>
          <w:tcPr>
            <w:tcW w:w="44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3940" w:type="dxa"/>
            <w:vAlign w:val="bottom"/>
            <w:gridSpan w:val="1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S-35</w:t>
            </w:r>
          </w:p>
        </w:tc>
        <w:tc>
          <w:tcPr>
            <w:tcW w:w="38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Where You Can Find More Information</w:t>
              </w:r>
            </w:hyperlink>
          </w:p>
        </w:tc>
        <w:tc>
          <w:tcPr>
            <w:tcW w:w="21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gridSpan w:val="1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Where You Can Find More Information</w:t>
              </w:r>
            </w:hyperlink>
          </w:p>
        </w:tc>
        <w:tc>
          <w:tcPr>
            <w:tcW w:w="16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S-35</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Incorporation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Incorporation by Reference</w:t>
              </w:r>
            </w:hyperlink>
          </w:p>
        </w:tc>
        <w:tc>
          <w:tcPr>
            <w:tcW w:w="16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S-35</w:t>
            </w:r>
          </w:p>
        </w:tc>
        <w:tc>
          <w:tcPr>
            <w:tcW w:w="38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ectPr>
          <w:pgSz w:w="11900" w:h="16838" w:orient="portrait"/>
          <w:cols w:equalWidth="0" w:num="1">
            <w:col w:w="11160"/>
          </w:cols>
          <w:pgMar w:left="24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8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$200.0 million, of which this offering is a part.</w:t>
      </w:r>
    </w:p>
    <w:p>
      <w:pPr>
        <w:spacing w:after="0" w:line="17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78"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93"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This prospectus supplement and the accompanying prospectus, including the documents that we incorporate by reference,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9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8" w:lineRule="exact"/>
        <w:rPr>
          <w:sz w:val="20"/>
          <w:szCs w:val="20"/>
          <w:color w:val="auto"/>
        </w:rPr>
      </w:pPr>
    </w:p>
    <w:p>
      <w:pPr>
        <w:ind w:left="1060" w:right="10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right="220" w:hanging="424"/>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94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“Risk Factors” beginning on page S-15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1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AVR-RD-01 for Fabry disease</w:t>
      </w:r>
    </w:p>
    <w:p>
      <w:pPr>
        <w:spacing w:after="0" w:line="121"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color w:val="auto"/>
        </w:rPr>
        <w:t>In July 2019,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patients with Fabry disease who have been previously treated with enzyme replacement therapy, or ERT, for at least six months have been enrolled and enrollment is complete. In addition, we are sponsoring a Phase 2 open-label, multinational clinical trial of AVR-RD-01, with expected enrollment of eight to 12 treatment-naïve males, 16 years and older, with classic Fabry disease, who have not been treated with ERT within 10 years prior to enrollment or chaperone therapy at any time. As of July 15, 2019, three patients in Australia have enrolled in this Phase 2 clinical trial, and we currently have the necessary regulatory clearances to expand enrollment to sites in Canada and the United States.</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80"/>
        <w:spacing w:after="0" w:line="277" w:lineRule="auto"/>
        <w:rPr>
          <w:sz w:val="20"/>
          <w:szCs w:val="20"/>
          <w:color w:val="auto"/>
        </w:rPr>
      </w:pPr>
      <w:r>
        <w:rPr>
          <w:rFonts w:ascii="Arial" w:cs="Arial" w:eastAsia="Arial" w:hAnsi="Arial"/>
          <w:sz w:val="18"/>
          <w:szCs w:val="18"/>
          <w:color w:val="auto"/>
        </w:rPr>
        <w:t>VCN, is being measured in these trials to assess the potential durability of the gene therapy. Safety and tolerability parameters also are being assessed in these trials.</w:t>
      </w:r>
    </w:p>
    <w:p>
      <w:pPr>
        <w:spacing w:after="0" w:line="76" w:lineRule="exact"/>
        <w:rPr>
          <w:sz w:val="20"/>
          <w:szCs w:val="20"/>
          <w:color w:val="auto"/>
        </w:rPr>
      </w:pPr>
    </w:p>
    <w:p>
      <w:pPr>
        <w:ind w:left="1220" w:right="80" w:hanging="415"/>
        <w:spacing w:after="0" w:line="276"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biopsy / Gb3 PTC reductions. </w:t>
      </w:r>
      <w:r>
        <w:rPr>
          <w:rFonts w:ascii="Arial" w:cs="Arial" w:eastAsia="Arial" w:hAnsi="Arial"/>
          <w:sz w:val="17"/>
          <w:szCs w:val="17"/>
          <w:color w:val="auto"/>
        </w:rPr>
        <w:t>The primary efficacy endpoint of our Phase 2 clinical trial is the change, from baseline to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64" w:lineRule="exact"/>
        <w:rPr>
          <w:sz w:val="20"/>
          <w:szCs w:val="20"/>
          <w:color w:val="auto"/>
        </w:rPr>
      </w:pPr>
    </w:p>
    <w:p>
      <w:pPr>
        <w:jc w:val="both"/>
        <w:ind w:left="1240" w:right="80"/>
        <w:spacing w:after="0" w:line="259" w:lineRule="auto"/>
        <w:rPr>
          <w:sz w:val="20"/>
          <w:szCs w:val="20"/>
          <w:color w:val="auto"/>
        </w:rPr>
      </w:pPr>
      <w:r>
        <w:rPr>
          <w:rFonts w:ascii="Arial" w:cs="Arial" w:eastAsia="Arial" w:hAnsi="Arial"/>
          <w:sz w:val="18"/>
          <w:szCs w:val="18"/>
          <w:color w:val="auto"/>
        </w:rPr>
        <w:t>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29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Phase 2 Patient 1: 87% substrate reduction in kidney biopsy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ind w:left="520"/>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With respect to Fabry disease clinical trials, Gb3 inclusions per PTC is interchangeable with GL-3 inclusions per KIC</w:t>
      </w:r>
    </w:p>
    <w:p>
      <w:pPr>
        <w:spacing w:after="0" w:line="291" w:lineRule="exact"/>
        <w:rPr>
          <w:sz w:val="20"/>
          <w:szCs w:val="20"/>
          <w:color w:val="auto"/>
        </w:rPr>
      </w:pPr>
    </w:p>
    <w:p>
      <w:pPr>
        <w:ind w:left="1220" w:hanging="415"/>
        <w:spacing w:after="0" w:line="25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Plasma lyso-Gb3 reductions. </w:t>
      </w:r>
      <w:r>
        <w:rPr>
          <w:rFonts w:ascii="Arial" w:cs="Arial" w:eastAsia="Arial" w:hAnsi="Arial"/>
          <w:sz w:val="18"/>
          <w:szCs w:val="18"/>
          <w:color w:val="auto"/>
        </w:rPr>
        <w:t>The first patient in our Phase 2 trial (who was treatment-naïve) had an 87% reduction in plasma lyso-Gb3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one year after treatment with AVR-RD-01. In addition, in the first four patients in the Phase 1 clinical trial of AVR-RD-01 for whom efficacy data is available at six months or more post-treatment with AVR-RD-01, we observed consistent reductions in plasma lyso-Gb3 levels. In these first four Phase 1 patients,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These first four Phase 1 patients exhibited reductions in plasma lyso-Gb3 levels between 33% and 41% compared to their baseline ERT levels.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80"/>
          </w:cols>
          <w:pgMar w:left="24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following figures summarize the plasma lyso-Gb3 data observed in the first four patients from the ongoing Phase 1 clinical trial of</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AVR-RD-01:</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Phase 1: Plasma lyso-Gb3 consistently reduced by 33-41% vs. baseline* ERT at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mean of the values reported prior to initiating mobilization</w:t>
      </w:r>
    </w:p>
    <w:p>
      <w:pPr>
        <w:ind w:left="520"/>
        <w:spacing w:after="0"/>
        <w:rPr>
          <w:sz w:val="20"/>
          <w:szCs w:val="20"/>
          <w:color w:val="auto"/>
        </w:rPr>
      </w:pPr>
      <w:r>
        <w:rPr>
          <w:rFonts w:ascii="Arial" w:cs="Arial" w:eastAsia="Arial" w:hAnsi="Arial"/>
          <w:sz w:val="14"/>
          <w:szCs w:val="14"/>
          <w:b w:val="1"/>
          <w:bCs w:val="1"/>
          <w:i w:val="1"/>
          <w:iCs w:val="1"/>
          <w:color w:val="auto"/>
        </w:rPr>
        <w:t>Percent reduction</w:t>
      </w:r>
      <w:r>
        <w:rPr>
          <w:rFonts w:ascii="Arial" w:cs="Arial" w:eastAsia="Arial" w:hAnsi="Arial"/>
          <w:sz w:val="14"/>
          <w:szCs w:val="14"/>
          <w:i w:val="1"/>
          <w:iCs w:val="1"/>
          <w:color w:val="auto"/>
        </w:rPr>
        <w:t>: As measured from baseline to last assessment</w:t>
      </w:r>
    </w:p>
    <w:p>
      <w:pPr>
        <w:spacing w:after="0" w:line="372" w:lineRule="exact"/>
        <w:rPr>
          <w:sz w:val="20"/>
          <w:szCs w:val="20"/>
          <w:color w:val="auto"/>
        </w:rPr>
      </w:pPr>
    </w:p>
    <w:p>
      <w:pPr>
        <w:ind w:left="1240" w:right="140"/>
        <w:spacing w:after="0" w:line="291" w:lineRule="auto"/>
        <w:rPr>
          <w:sz w:val="20"/>
          <w:szCs w:val="20"/>
          <w:color w:val="auto"/>
        </w:rPr>
      </w:pPr>
      <w:r>
        <w:rPr>
          <w:rFonts w:ascii="Arial" w:cs="Arial" w:eastAsia="Arial" w:hAnsi="Arial"/>
          <w:sz w:val="16"/>
          <w:szCs w:val="16"/>
          <w:color w:val="auto"/>
        </w:rPr>
        <w:t>Plasma lyso-Gb3 data are also available for Patient 5 in the Phase 1 trial, up to three months post-treatment with AVR-RD-01. This patient’s baseline ERT (as defined above) was 15.84 nM, and his plasma lyso-Gb3 levels were 17.8 nM and 14.56 nM at 1 month and</w:t>
      </w:r>
    </w:p>
    <w:p>
      <w:pPr>
        <w:ind w:left="1240"/>
        <w:spacing w:after="0" w:line="252" w:lineRule="auto"/>
        <w:rPr>
          <w:sz w:val="20"/>
          <w:szCs w:val="20"/>
          <w:color w:val="auto"/>
        </w:rPr>
      </w:pPr>
      <w:r>
        <w:rPr>
          <w:rFonts w:ascii="Arial" w:cs="Arial" w:eastAsia="Arial" w:hAnsi="Arial"/>
          <w:sz w:val="18"/>
          <w:szCs w:val="18"/>
          <w:color w:val="auto"/>
        </w:rPr>
        <w:t>3 months post-treatment with AVR-RD-01, respectively. Plasma lyso-Gb3 data are also available for Patient 2 in the Phase 2 trial, up to six months post-treatment with AVR-RD-01. This patient has an N215S genotype, which is associated with a late-onset cardiac variant phenotype and lower plasma lyso-Gb3 levels. His plasma lyso-Gb3 levels were 7.59 nM, 5.9 nM, 5.8 nM, 5.9 nM, and 6.71 nM at baseline, one month, two months, three months, and six months post-treatment with AVR-RD-01, respectively.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97" w:lineRule="exact"/>
        <w:rPr>
          <w:sz w:val="20"/>
          <w:szCs w:val="20"/>
          <w:color w:val="auto"/>
        </w:rPr>
      </w:pPr>
    </w:p>
    <w:p>
      <w:pPr>
        <w:ind w:left="1220" w:right="100" w:hanging="415"/>
        <w:spacing w:after="0" w:line="271"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AGA enzyme activity as measured in plasma and leukocytes. </w:t>
      </w:r>
      <w:r>
        <w:rPr>
          <w:rFonts w:ascii="Arial" w:cs="Arial" w:eastAsia="Arial" w:hAnsi="Arial"/>
          <w:sz w:val="17"/>
          <w:szCs w:val="17"/>
          <w:color w:val="auto"/>
        </w:rPr>
        <w:t>We believe, based on years of observations of Fabry patients prescribed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ERT, that 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559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75596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All six patients in our Phase 2 and Phase 1 clinical trials for whom data are reported at six months or longer post-treatment with AVR-RD-01 (out of a total of eight patients enrolled to date) have exhibited sustained AGA enzyme activity in both the plasma and leukocytes. The following figures summarize the plasma and leukocyte AGA enzyme activity reported from the ongoing clinical trials of AVR-RD-01 as of July 15, 2019.</w:t>
      </w:r>
    </w:p>
    <w:p>
      <w:pPr>
        <w:spacing w:after="0" w:line="29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Phase 2 Patient 1: Sustained leukocyte and plasma enzyme activity at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spacing w:after="0" w:line="38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Phase 2 Patient 2: Sustained leukocyte and plasma enzyme activity at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Patient 3 had plasma AGA activity of 0.740, leukocyte AGA activity of 9.94 as of 1 month</w:t>
      </w:r>
    </w:p>
    <w:p>
      <w:pPr>
        <w:ind w:left="520"/>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last available, non-missing observation prior to AVR-RD-01 infusion</w:t>
      </w:r>
    </w:p>
    <w:p>
      <w:pPr>
        <w:spacing w:after="0" w:line="36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Phase 1: Leukocyte and plasma enzyme activity levels trend consistently across all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Enzyme measurements are taken at ERT troughs; Note: Dotted line illustrative only</w:t>
      </w:r>
    </w:p>
    <w:p>
      <w:pPr>
        <w:ind w:left="880"/>
        <w:spacing w:after="0"/>
        <w:rPr>
          <w:sz w:val="20"/>
          <w:szCs w:val="20"/>
          <w:color w:val="auto"/>
        </w:rPr>
      </w:pPr>
      <w:r>
        <w:rPr>
          <w:rFonts w:ascii="Arial" w:cs="Arial" w:eastAsia="Arial" w:hAnsi="Arial"/>
          <w:sz w:val="14"/>
          <w:szCs w:val="14"/>
          <w:i w:val="1"/>
          <w:iCs w:val="1"/>
          <w:color w:val="auto"/>
        </w:rPr>
        <w:t>Patient #5’s Day 12 data point was utilized since the one month data was not obtained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240" w:top="459" w:right="7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72"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Vector Copy Number, or VCN, refers to the average number of copies of the lentiviral-vector inserted gene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represents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70" w:lineRule="exact"/>
        <w:rPr>
          <w:sz w:val="20"/>
          <w:szCs w:val="20"/>
          <w:color w:val="auto"/>
        </w:rPr>
      </w:pPr>
    </w:p>
    <w:p>
      <w:pPr>
        <w:ind w:left="1240"/>
        <w:spacing w:after="0" w:line="286" w:lineRule="auto"/>
        <w:rPr>
          <w:sz w:val="20"/>
          <w:szCs w:val="20"/>
          <w:color w:val="auto"/>
        </w:rPr>
      </w:pPr>
      <w:r>
        <w:rPr>
          <w:rFonts w:ascii="Arial" w:cs="Arial" w:eastAsia="Arial" w:hAnsi="Arial"/>
          <w:sz w:val="17"/>
          <w:szCs w:val="17"/>
          <w:color w:val="auto"/>
        </w:rPr>
        <w:t>All six patients in our Phase 2 and Phase 1 clinical trials for whom data are reported at six months or longer following administration of AVR-RD-01 have exhibited consistent VCN trends, with VCN levels for the first Phase 1 patient stable at over two years post-treatment. The following figures summarize the VCN observations from the ongoing clinical trials of AVR-RD-01.</w:t>
      </w: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Patient 1 in Phase 2 Trial: VCN stable at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38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Patient 2 in Phase 2 Trial: VCN at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Patient 3 had VCN of 0.12 as of 1 month</w:t>
      </w: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0.1 </w:t>
      </w:r>
      <w:r>
        <w:rPr>
          <w:rFonts w:ascii="Arial" w:cs="Arial" w:eastAsia="Arial" w:hAnsi="Arial"/>
          <w:sz w:val="14"/>
          <w:szCs w:val="14"/>
          <w:i w:val="1"/>
          <w:iCs w:val="1"/>
          <w:color w:val="auto"/>
        </w:rPr>
        <w:t>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86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49866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Phase 1 Trial: Consistent VCN trend across all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200" w:lineRule="exact"/>
        <w:rPr>
          <w:sz w:val="20"/>
          <w:szCs w:val="20"/>
          <w:color w:val="auto"/>
        </w:rPr>
      </w:pPr>
    </w:p>
    <w:p>
      <w:pPr>
        <w:spacing w:after="0" w:line="211" w:lineRule="exact"/>
        <w:rPr>
          <w:sz w:val="20"/>
          <w:szCs w:val="20"/>
          <w:color w:val="auto"/>
        </w:rPr>
      </w:pPr>
    </w:p>
    <w:p>
      <w:pPr>
        <w:ind w:left="1220" w:hanging="415"/>
        <w:spacing w:after="0" w:line="271"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and cardiac function stability. </w:t>
      </w:r>
      <w:r>
        <w:rPr>
          <w:rFonts w:ascii="Arial" w:cs="Arial" w:eastAsia="Arial" w:hAnsi="Arial"/>
          <w:sz w:val="17"/>
          <w:szCs w:val="17"/>
          <w:color w:val="auto"/>
        </w:rPr>
        <w:t>Secondary endpoints of our Phase 2 trial include measurements of kidney function, as measured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estimated glomerular filtration rate, or eGFR, and measured glomerular filtration rate, or mGFR, as well as measures of cardiac function, as assessed by Left Ventricular Mass Index, or LVMI. eGFR is determined using the Chronic Kidney Disease Epidemiology Collaboration (CKD-EPI) formula and mGFR is determined using plasma clearance of iohexol. The left ventricular mass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In the case of the first patient in our Phase 2 clinical trial, a 9% reduction in LVM was observed from baseline to one year post-treatment with AVR-RD-01.</w:t>
      </w:r>
    </w:p>
    <w:p>
      <w:pPr>
        <w:spacing w:after="0" w:line="84" w:lineRule="exact"/>
        <w:rPr>
          <w:rFonts w:ascii="Arial" w:cs="Arial" w:eastAsia="Arial" w:hAnsi="Arial"/>
          <w:sz w:val="17"/>
          <w:szCs w:val="17"/>
          <w:color w:val="auto"/>
        </w:rPr>
      </w:pPr>
    </w:p>
    <w:p>
      <w:pPr>
        <w:ind w:left="1220" w:right="120" w:hanging="415"/>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Halting the progression of organ damage and improving outcomes of patients is a key mission of our Company and our investigational gene therapy programs. Assessment of kidney and cardiac function versus baseline is a secondary efficacy measure in our Phase 2 protocol. Such assessment is not, however, included in the Phase 1 protocol, and therefore such parameters are not discussed for Phase 1.</w:t>
      </w:r>
    </w:p>
    <w:p>
      <w:pPr>
        <w:spacing w:after="0" w:line="92" w:lineRule="exact"/>
        <w:rPr>
          <w:rFonts w:ascii="Arial" w:cs="Arial" w:eastAsia="Arial" w:hAnsi="Arial"/>
          <w:sz w:val="18"/>
          <w:szCs w:val="18"/>
          <w:color w:val="auto"/>
        </w:rPr>
      </w:pPr>
    </w:p>
    <w:p>
      <w:pPr>
        <w:ind w:left="1220" w:right="4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shown below, interim data-to-date in the first patient in our Phase 2 trial indicates kidney and cardiac functions have been stable and in the normal range at one year following administration of AVR-RD-01 investigational gene therapy.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470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780"/>
        <w:spacing w:after="0"/>
        <w:rPr>
          <w:sz w:val="20"/>
          <w:szCs w:val="20"/>
          <w:color w:val="auto"/>
        </w:rPr>
      </w:pPr>
      <w:r>
        <w:rPr>
          <w:rFonts w:ascii="Arial" w:cs="Arial" w:eastAsia="Arial" w:hAnsi="Arial"/>
          <w:sz w:val="18"/>
          <w:szCs w:val="18"/>
          <w:b w:val="1"/>
          <w:bCs w:val="1"/>
          <w:color w:val="auto"/>
        </w:rPr>
        <w:t>Phase 2 Patient 1: Kidney and cardiac function stable at one year</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u w:val="single" w:color="auto"/>
          <w:color w:val="auto"/>
        </w:rPr>
        <w:t>https://www.kidney.org/atoz/content/gfr</w:t>
      </w:r>
    </w:p>
    <w:p>
      <w:pPr>
        <w:ind w:left="940" w:right="480" w:hanging="377"/>
        <w:spacing w:after="0" w:line="237" w:lineRule="auto"/>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mGFR is measured Glomerular Filtration Rate, eGFR is estimated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Glomerular Filtration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 Alfakih K et al, J Magn Reson Imaging, 2003</w:t>
      </w:r>
    </w:p>
    <w:p>
      <w:pPr>
        <w:spacing w:after="0"/>
        <w:rPr>
          <w:sz w:val="20"/>
          <w:szCs w:val="20"/>
          <w:color w:val="auto"/>
        </w:rPr>
      </w:pPr>
      <w:r>
        <w:rPr>
          <w:rFonts w:ascii="Arial" w:cs="Arial" w:eastAsia="Arial" w:hAnsi="Arial"/>
          <w:sz w:val="13"/>
          <w:szCs w:val="13"/>
          <w:b w:val="1"/>
          <w:bCs w:val="1"/>
          <w:i w:val="1"/>
          <w:iCs w:val="1"/>
          <w:color w:val="auto"/>
        </w:rPr>
        <w:t>Note</w:t>
      </w:r>
      <w:r>
        <w:rPr>
          <w:rFonts w:ascii="Arial" w:cs="Arial" w:eastAsia="Arial" w:hAnsi="Arial"/>
          <w:sz w:val="13"/>
          <w:szCs w:val="13"/>
          <w:i w:val="1"/>
          <w:iCs w:val="1"/>
          <w:color w:val="auto"/>
        </w:rPr>
        <w:t>: EF is Ejection Fraction, LVMI is Left Ventricular Mass Index</w:t>
      </w:r>
    </w:p>
    <w:p>
      <w:pPr>
        <w:spacing w:after="0" w:line="368" w:lineRule="exact"/>
        <w:rPr>
          <w:sz w:val="20"/>
          <w:szCs w:val="20"/>
          <w:color w:val="auto"/>
        </w:rPr>
      </w:pPr>
    </w:p>
    <w:p>
      <w:pPr>
        <w:sectPr>
          <w:pgSz w:w="11900" w:h="16838" w:orient="portrait"/>
          <w:cols w:equalWidth="0" w:num="2">
            <w:col w:w="5260" w:space="720"/>
            <w:col w:w="5020"/>
          </w:cols>
          <w:pgMar w:left="240" w:top="459" w:right="659" w:bottom="1440" w:gutter="0" w:footer="0" w:header="0"/>
          <w:type w:val="continuous"/>
        </w:sectPr>
      </w:pPr>
    </w:p>
    <w:p>
      <w:pPr>
        <w:spacing w:after="0" w:line="231" w:lineRule="exact"/>
        <w:rPr>
          <w:sz w:val="20"/>
          <w:szCs w:val="20"/>
          <w:color w:val="auto"/>
        </w:rPr>
      </w:pPr>
    </w:p>
    <w:p>
      <w:pPr>
        <w:ind w:left="1220" w:right="20" w:hanging="415"/>
        <w:spacing w:after="0" w:line="312"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ERT Discontinuation by Phase 1 Patients. </w:t>
      </w:r>
      <w:r>
        <w:rPr>
          <w:rFonts w:ascii="Arial" w:cs="Arial" w:eastAsia="Arial" w:hAnsi="Arial"/>
          <w:sz w:val="16"/>
          <w:szCs w:val="16"/>
          <w:color w:val="auto"/>
        </w:rPr>
        <w:t>Three patients in the Phase 1 clinical trial who have been treated with AVR-RD-01,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52" w:lineRule="exact"/>
        <w:rPr>
          <w:rFonts w:ascii="Arial" w:cs="Arial" w:eastAsia="Arial" w:hAnsi="Arial"/>
          <w:sz w:val="16"/>
          <w:szCs w:val="16"/>
          <w:color w:val="auto"/>
        </w:rPr>
      </w:pPr>
    </w:p>
    <w:p>
      <w:pPr>
        <w:ind w:left="1220" w:hanging="415"/>
        <w:spacing w:after="0" w:line="273" w:lineRule="auto"/>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Update. </w:t>
      </w:r>
      <w:r>
        <w:rPr>
          <w:rFonts w:ascii="Arial" w:cs="Arial" w:eastAsia="Arial" w:hAnsi="Arial"/>
          <w:sz w:val="17"/>
          <w:szCs w:val="17"/>
          <w:color w:val="auto"/>
        </w:rPr>
        <w:t>Interim clinical data for all eight patients dosed to date in the Phase 2 and Phase 1 clinical trials appear to indicate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AVR-RD-01 investigational gene therapy has been generally well tolerated with no unexpected trends or safety events identified. No serious adverse events, or SAEs, related to the AVR-RD-01 drug product were reported as of the safety data cut-off dates of July 10, 2019 for the Phase 2 trial and May 24, 2019 for the Phase 1 trial. As of the respective safety data cut-off dates, four SAEs were reported in the Phase 2 trial and two SAEs were reported in the Phase 1 trial and were consistent with expectations for the myeloablative conditioning regimen, underlying Fabry disease, or pre-existing conditions.</w:t>
      </w:r>
    </w:p>
    <w:p>
      <w:pPr>
        <w:spacing w:after="0" w:line="70" w:lineRule="exact"/>
        <w:rPr>
          <w:sz w:val="20"/>
          <w:szCs w:val="20"/>
          <w:color w:val="auto"/>
        </w:rPr>
      </w:pPr>
    </w:p>
    <w:p>
      <w:pPr>
        <w:ind w:left="1240" w:right="140"/>
        <w:spacing w:after="0" w:line="276" w:lineRule="auto"/>
        <w:rPr>
          <w:sz w:val="20"/>
          <w:szCs w:val="20"/>
          <w:color w:val="auto"/>
        </w:rPr>
      </w:pPr>
      <w:r>
        <w:rPr>
          <w:rFonts w:ascii="Arial" w:cs="Arial" w:eastAsia="Arial" w:hAnsi="Arial"/>
          <w:sz w:val="17"/>
          <w:szCs w:val="17"/>
          <w:color w:val="auto"/>
        </w:rPr>
        <w:t>In the Phase 2 trial, the four SAEs that were reported through the safety data cut-off date of July 10,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w:t>
      </w:r>
    </w:p>
    <w:p>
      <w:pPr>
        <w:spacing w:after="0" w:line="64"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In the Phase 1 trial, the two SAEs that were reported through the safety data cut-off date of May 24, 2019 included one report of Grade 3 febrile neutropenia and one report of Grade 2 thrombophlebitis, each occurring following the conditioning regimen and treatment with AVR-RD-01. Both SAEs have subsequently resolved, with the thrombophlebitis SAE verbally reported to the Company as resolved following the safety data cut-off date.</w:t>
      </w:r>
    </w:p>
    <w:p>
      <w:pPr>
        <w:spacing w:after="0" w:line="79" w:lineRule="exact"/>
        <w:rPr>
          <w:sz w:val="20"/>
          <w:szCs w:val="20"/>
          <w:color w:val="auto"/>
        </w:rPr>
      </w:pPr>
    </w:p>
    <w:p>
      <w:pPr>
        <w:ind w:left="1240" w:right="580"/>
        <w:spacing w:after="0" w:line="277" w:lineRule="auto"/>
        <w:rPr>
          <w:sz w:val="20"/>
          <w:szCs w:val="20"/>
          <w:color w:val="auto"/>
        </w:rPr>
      </w:pPr>
      <w:r>
        <w:rPr>
          <w:rFonts w:ascii="Arial" w:cs="Arial" w:eastAsia="Arial" w:hAnsi="Arial"/>
          <w:sz w:val="18"/>
          <w:szCs w:val="18"/>
          <w:color w:val="auto"/>
        </w:rPr>
        <w:t>Low anti-AGA antibody titers have been detected in two patients, one in each of the trials, and the Company believes neither is considered to be of clinical relevance.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24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 xml:space="preserve">Clinical measurements of data, such as AGA enzyme activity and VCN, can provide valuable insight into the potential effectiveness of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CD34+ hematopoietic stem cell gene therapy following administration in a patient. However, such measurements can vary greatly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weeks following administration of the therapy. We believe that the first meaningful measurements of AGA enzyme activity and VCN only start to emerge after 30 to 60 days have passed following administration of the gene-modified CD34+ hematopoietic stem cells. For example, data collected during the early weeks following administration of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 For these reasons, we have presented in the figures above, and in the future intend to present, AGA enzyme activity data and VCN for patients only after which sufficient time has passed following administration of AVR-RD-01 to allow what we believe to be a meaningful interpretation of results.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Pipeline Programs</w:t>
      </w:r>
    </w:p>
    <w:p>
      <w:pPr>
        <w:spacing w:after="0" w:line="121" w:lineRule="exact"/>
        <w:rPr>
          <w:sz w:val="20"/>
          <w:szCs w:val="20"/>
          <w:color w:val="auto"/>
        </w:rPr>
      </w:pPr>
    </w:p>
    <w:p>
      <w:pPr>
        <w:ind w:left="380" w:right="200" w:firstLine="426"/>
        <w:spacing w:after="0" w:line="286" w:lineRule="auto"/>
        <w:rPr>
          <w:sz w:val="20"/>
          <w:szCs w:val="20"/>
          <w:color w:val="auto"/>
        </w:rPr>
      </w:pPr>
      <w:r>
        <w:rPr>
          <w:rFonts w:ascii="Arial" w:cs="Arial" w:eastAsia="Arial" w:hAnsi="Arial"/>
          <w:sz w:val="17"/>
          <w:szCs w:val="17"/>
          <w:color w:val="auto"/>
        </w:rPr>
        <w:t>Our Company-sponsored Phase 1/2 clinical trial evaluating AVR-RD-02 in Gaucher disease, or GAU-201, has commenced active recruitment. The initial clinical site is in Canada and we intend to open additional clinical sites in Australia, the United States and other countries pending regulatory clearances. The first patient in this clinical trial is expected to be dosed in the second half of 2019.</w:t>
      </w:r>
    </w:p>
    <w:p>
      <w:pPr>
        <w:spacing w:after="0" w:line="166"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investigator-sponsored Phase 1/2 clinical trial evaluating AVR-RD-04 in cystinosis has commenced active recruitment. This is a single site investigator-sponsored trial being conducted by our collaborators at the University of California, San Diego, or UCSD. The first patient in this clinical trial is expected to be dosed in the second half of 2019. In June 2019, the UCSD cystinosis study group announced that it had been awarded a grant from the California Institute of Regenerative Medicine, or CIRM, of approximately $12 million to directly fund this phase of the cystinosis clinical trial.</w:t>
      </w:r>
    </w:p>
    <w:p>
      <w:pPr>
        <w:spacing w:after="0" w:line="188"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The Pompe disease program is advancing in early pre-clinical development. The IND-enabling pre-clinical program is anticipated to be initiated in 2019.</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Plato Platform</w:t>
      </w:r>
    </w:p>
    <w:p>
      <w:pPr>
        <w:spacing w:after="0" w:line="12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Plato is our commercial-stage platform. It is an ex vivo gene therapy platform incorporating multiple recent upgrades including an optimized lentiviral vector, which we refer to as LV2, a closed, automated manufacturing system, and a refined approach to conditioning using busulfan with therapeutic drug monitoring. These three process changes, or upgrades, were recently cleared by applicable regulatory bodies in the United States, Canada and Australia for use in the Phase 2 clinical trial of AVR-RD-01 for Fabry disease and in Canada for the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cash, cash equivalents and available-for-sale investments was approximately $90.3 million at June 30, 2019, as compared to</w:t>
      </w:r>
    </w:p>
    <w:p>
      <w:pPr>
        <w:spacing w:after="0" w:line="35" w:lineRule="exact"/>
        <w:rPr>
          <w:sz w:val="20"/>
          <w:szCs w:val="20"/>
          <w:color w:val="auto"/>
        </w:rPr>
      </w:pPr>
    </w:p>
    <w:p>
      <w:pPr>
        <w:ind w:left="380" w:right="100"/>
        <w:spacing w:after="0" w:line="253" w:lineRule="auto"/>
        <w:rPr>
          <w:sz w:val="20"/>
          <w:szCs w:val="20"/>
          <w:color w:val="auto"/>
        </w:rPr>
      </w:pPr>
      <w:r>
        <w:rPr>
          <w:rFonts w:ascii="Arial" w:cs="Arial" w:eastAsia="Arial" w:hAnsi="Arial"/>
          <w:sz w:val="18"/>
          <w:szCs w:val="18"/>
          <w:color w:val="auto"/>
        </w:rPr>
        <w:t>$108.5 million at March 31, 2019. This financial data as of June 30, 2019 is preliminary and may change, and is based on information available to management as of the date of this prospectus supplement and is subject to completion by management of our financial statements as of and for the quarter ended June 30, 2019. There can be no assurance that our final results of operations for this period or cash position as of June 30, 2019 will not differ from these estimates, including as a result of review adjustments and any such changes could be material. Our independent registered public accountants have not audited, reviewed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87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0"/>
        <w:spacing w:after="0" w:line="264" w:lineRule="auto"/>
        <w:rPr>
          <w:sz w:val="20"/>
          <w:szCs w:val="20"/>
          <w:color w:val="auto"/>
        </w:rPr>
      </w:pPr>
      <w:r>
        <w:rPr>
          <w:rFonts w:ascii="Arial" w:cs="Arial" w:eastAsia="Arial" w:hAnsi="Arial"/>
          <w:sz w:val="18"/>
          <w:szCs w:val="18"/>
          <w:color w:val="auto"/>
        </w:rPr>
        <w:t>performed any procedures with respect to such preliminary financial data and accordingly do not express an opinion or any other form of assurance with respect thereto. These results could change as a result of further review. Complete quarterly results will be included in our Quarterly Report on Form 10-Q for the quarter ended June 30, 2019.</w:t>
      </w:r>
    </w:p>
    <w:p>
      <w:pPr>
        <w:spacing w:after="0" w:line="1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1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80" w:right="440" w:firstLine="426"/>
        <w:spacing w:after="0" w:line="342" w:lineRule="auto"/>
        <w:rPr>
          <w:sz w:val="20"/>
          <w:szCs w:val="20"/>
          <w:color w:val="auto"/>
        </w:rPr>
      </w:pPr>
      <w:r>
        <w:rPr>
          <w:rFonts w:ascii="Arial" w:cs="Arial" w:eastAsia="Arial" w:hAnsi="Arial"/>
          <w:sz w:val="16"/>
          <w:szCs w:val="16"/>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29" w:lineRule="exact"/>
        <w:rPr>
          <w:sz w:val="20"/>
          <w:szCs w:val="20"/>
          <w:color w:val="auto"/>
        </w:rPr>
      </w:pPr>
    </w:p>
    <w:p>
      <w:pPr>
        <w:ind w:left="1220" w:right="140" w:hanging="415"/>
        <w:spacing w:after="0" w:line="308"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220" w:right="280" w:hanging="415"/>
        <w:spacing w:after="0" w:line="342"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w:t>
      </w:r>
    </w:p>
    <w:p>
      <w:pPr>
        <w:ind w:left="380" w:right="20" w:firstLine="6"/>
        <w:spacing w:after="0" w:line="252"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94"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4823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4823460"/>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Underwriters’ option to purchase additional shares</w:t>
      </w:r>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6,500,000 of shares of common stock</w:t>
      </w:r>
    </w:p>
    <w:p>
      <w:pPr>
        <w:spacing w:after="0" w:line="293" w:lineRule="exact"/>
        <w:rPr>
          <w:sz w:val="20"/>
          <w:szCs w:val="20"/>
          <w:color w:val="auto"/>
        </w:rPr>
      </w:pPr>
    </w:p>
    <w:p>
      <w:pPr>
        <w:ind w:left="1200" w:right="80" w:hanging="179"/>
        <w:spacing w:after="0" w:line="277" w:lineRule="auto"/>
        <w:rPr>
          <w:sz w:val="20"/>
          <w:szCs w:val="20"/>
          <w:color w:val="auto"/>
        </w:rPr>
      </w:pPr>
      <w:r>
        <w:rPr>
          <w:rFonts w:ascii="Arial" w:cs="Arial" w:eastAsia="Arial" w:hAnsi="Arial"/>
          <w:sz w:val="18"/>
          <w:szCs w:val="18"/>
          <w:color w:val="auto"/>
        </w:rPr>
        <w:t>30,576,762 shares (or 31,551,762 shares if the underwriters exercise their option to purchase additional shares in full).</w:t>
      </w:r>
    </w:p>
    <w:p>
      <w:pPr>
        <w:spacing w:after="0" w:line="35" w:lineRule="exact"/>
        <w:rPr>
          <w:sz w:val="20"/>
          <w:szCs w:val="20"/>
          <w:color w:val="auto"/>
        </w:rPr>
      </w:pPr>
    </w:p>
    <w:p>
      <w:pPr>
        <w:jc w:val="center"/>
        <w:ind w:left="-219"/>
        <w:spacing w:after="0"/>
        <w:rPr>
          <w:sz w:val="20"/>
          <w:szCs w:val="20"/>
          <w:color w:val="auto"/>
        </w:rPr>
      </w:pPr>
      <w:r>
        <w:rPr>
          <w:rFonts w:ascii="Arial" w:cs="Arial" w:eastAsia="Arial" w:hAnsi="Arial"/>
          <w:sz w:val="17"/>
          <w:szCs w:val="17"/>
          <w:color w:val="auto"/>
        </w:rPr>
        <w:t>We have granted the underwriters an option for a period of 30 days</w:t>
      </w:r>
    </w:p>
    <w:p>
      <w:pPr>
        <w:spacing w:after="0" w:line="35" w:lineRule="exact"/>
        <w:rPr>
          <w:sz w:val="20"/>
          <w:szCs w:val="20"/>
          <w:color w:val="auto"/>
        </w:rPr>
      </w:pPr>
    </w:p>
    <w:p>
      <w:pPr>
        <w:jc w:val="center"/>
        <w:ind w:left="-219"/>
        <w:spacing w:after="0"/>
        <w:rPr>
          <w:sz w:val="20"/>
          <w:szCs w:val="20"/>
          <w:color w:val="auto"/>
        </w:rPr>
      </w:pPr>
      <w:r>
        <w:rPr>
          <w:rFonts w:ascii="Arial" w:cs="Arial" w:eastAsia="Arial" w:hAnsi="Arial"/>
          <w:sz w:val="18"/>
          <w:szCs w:val="18"/>
          <w:color w:val="auto"/>
        </w:rPr>
        <w:t>to purchase up to 975,000 additional shares of common stock.</w:t>
      </w:r>
    </w:p>
    <w:p>
      <w:pPr>
        <w:spacing w:after="0" w:line="62" w:lineRule="exact"/>
        <w:rPr>
          <w:sz w:val="20"/>
          <w:szCs w:val="20"/>
          <w:color w:val="auto"/>
        </w:rPr>
      </w:pPr>
    </w:p>
    <w:p>
      <w:pPr>
        <w:ind w:left="1200" w:hanging="179"/>
        <w:spacing w:after="0" w:line="268" w:lineRule="auto"/>
        <w:rPr>
          <w:sz w:val="20"/>
          <w:szCs w:val="20"/>
          <w:color w:val="auto"/>
        </w:rPr>
      </w:pPr>
      <w:r>
        <w:rPr>
          <w:rFonts w:ascii="Arial" w:cs="Arial" w:eastAsia="Arial" w:hAnsi="Arial"/>
          <w:sz w:val="17"/>
          <w:szCs w:val="17"/>
          <w:color w:val="auto"/>
        </w:rPr>
        <w:t>We intend to use the proceeds from this offering, after deducting underwriting discounts and commissions and estimated offering expenses payable by us, to fund the support of our current programs in Fabry disease, Gaucher disease, Pompe disease and cystinosis, fund external and internal manufacturing and process development activities related to our programs and to fund research and development activities that relate to all of our clinical and preclinical activities, including the cost of research and development personnel, and the remainder for planned general and administrative expenses, working capital and other general corporate purposes. For a more complete description of our intended use of the proceeds from this offering, see “Use of Proceeds” on page S-20.</w:t>
      </w:r>
    </w:p>
    <w:p>
      <w:pPr>
        <w:spacing w:after="0" w:line="39" w:lineRule="exact"/>
        <w:rPr>
          <w:sz w:val="20"/>
          <w:szCs w:val="20"/>
          <w:color w:val="auto"/>
        </w:rPr>
      </w:pPr>
    </w:p>
    <w:p>
      <w:pPr>
        <w:ind w:left="1200" w:right="20" w:hanging="179"/>
        <w:spacing w:after="0" w:line="273" w:lineRule="auto"/>
        <w:rPr>
          <w:sz w:val="20"/>
          <w:szCs w:val="20"/>
          <w:color w:val="auto"/>
        </w:rPr>
      </w:pPr>
      <w:r>
        <w:rPr>
          <w:rFonts w:ascii="Arial" w:cs="Arial" w:eastAsia="Arial" w:hAnsi="Arial"/>
          <w:sz w:val="17"/>
          <w:szCs w:val="17"/>
          <w:color w:val="auto"/>
        </w:rPr>
        <w:t>This investment involves a high degree of risk. You should carefully read “Risk Factors” on page S-15 of this prospectus supplement or otherwise incorporated by reference in this prospectus supplement and the accompanying prospectus for a discussion of factors that you should consider before deciding to invest in our common stock.</w:t>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“AVRO”</w:t>
      </w:r>
    </w:p>
    <w:p>
      <w:pPr>
        <w:spacing w:after="0" w:line="200" w:lineRule="exact"/>
        <w:rPr>
          <w:sz w:val="20"/>
          <w:szCs w:val="20"/>
          <w:color w:val="auto"/>
        </w:rPr>
      </w:pPr>
    </w:p>
    <w:p>
      <w:pPr>
        <w:sectPr>
          <w:pgSz w:w="11900" w:h="16838" w:orient="portrait"/>
          <w:cols w:equalWidth="0" w:num="2">
            <w:col w:w="4400" w:space="620"/>
            <w:col w:w="6020"/>
          </w:cols>
          <w:pgMar w:left="240" w:top="459" w:right="619" w:bottom="1440" w:gutter="0" w:footer="0" w:header="0"/>
          <w:type w:val="continuous"/>
        </w:sectPr>
      </w:pPr>
    </w:p>
    <w:p>
      <w:pPr>
        <w:spacing w:after="0" w:line="25" w:lineRule="exact"/>
        <w:rPr>
          <w:sz w:val="20"/>
          <w:szCs w:val="20"/>
          <w:color w:val="auto"/>
        </w:rPr>
      </w:pPr>
    </w:p>
    <w:p>
      <w:pPr>
        <w:ind w:left="380" w:right="460" w:firstLine="426"/>
        <w:spacing w:after="0" w:line="342" w:lineRule="auto"/>
        <w:rPr>
          <w:sz w:val="20"/>
          <w:szCs w:val="20"/>
          <w:color w:val="auto"/>
        </w:rPr>
      </w:pPr>
      <w:r>
        <w:rPr>
          <w:rFonts w:ascii="Arial" w:cs="Arial" w:eastAsia="Arial" w:hAnsi="Arial"/>
          <w:sz w:val="16"/>
          <w:szCs w:val="16"/>
          <w:color w:val="auto"/>
        </w:rPr>
        <w:t>Certain of our existing stockholders, including certain affiliates of our directors, have agreed to purchase an aggregate of approximately $15.0 million of shares of our common stock in this offering at the public offering price disclosed in this prospectus supplement.</w:t>
      </w: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40"/>
          </w:cols>
          <w:pgMar w:left="240" w:top="459" w:right="6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242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2242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60" w:firstLine="426"/>
        <w:spacing w:after="0" w:line="264" w:lineRule="auto"/>
        <w:rPr>
          <w:sz w:val="20"/>
          <w:szCs w:val="20"/>
          <w:color w:val="auto"/>
        </w:rPr>
      </w:pPr>
      <w:r>
        <w:rPr>
          <w:rFonts w:ascii="Arial" w:cs="Arial" w:eastAsia="Arial" w:hAnsi="Arial"/>
          <w:sz w:val="18"/>
          <w:szCs w:val="18"/>
          <w:color w:val="auto"/>
        </w:rPr>
        <w:t>All information in this prospectus supplement related to the number of shares of our common stock to be outstanding immediately after this offering is based on 24,076,762 shares of our common stock outstanding as of March 31, 2019 and gives effect to the sale of 6,500,000 shares of common stock at the public offering price of $18.50 per share, and does not include:</w:t>
      </w:r>
    </w:p>
    <w:p>
      <w:pPr>
        <w:spacing w:after="0" w:line="87" w:lineRule="exact"/>
        <w:rPr>
          <w:sz w:val="20"/>
          <w:szCs w:val="20"/>
          <w:color w:val="auto"/>
        </w:rPr>
      </w:pPr>
    </w:p>
    <w:p>
      <w:pPr>
        <w:ind w:left="12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225"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40"/>
          </w:cols>
          <w:pgMar w:left="24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the offering price.</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in June 2018, or our IPO,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94" w:lineRule="exact"/>
        <w:rPr>
          <w:sz w:val="20"/>
          <w:szCs w:val="20"/>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Based on shares outstanding as of May 31, 2019, our executive officers, directors, five percent stockholders and their affiliates beneficially owned approximately 49% of our outstanding voting stock, not accounting for any shares purchased in this offering by certain of our existing stockholders, including certain affiliates of our directors, who have agreed to purchase an aggregate of approximately $15.0 million of our common stock in this offering.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best interest as one of our stockholders. Some of these persons or entities may have interests different than yours. For example, because 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295"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6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54"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$11.33 per share, based on the public offering price of $18.50 per share and our as adjusted net tangible book value as of</w:t>
      </w:r>
    </w:p>
    <w:p>
      <w:pPr>
        <w:ind w:left="200"/>
        <w:spacing w:after="0" w:line="255" w:lineRule="auto"/>
        <w:rPr>
          <w:sz w:val="20"/>
          <w:szCs w:val="20"/>
          <w:color w:val="auto"/>
        </w:rPr>
      </w:pPr>
      <w:r>
        <w:rPr>
          <w:rFonts w:ascii="Arial" w:cs="Arial" w:eastAsia="Arial" w:hAnsi="Arial"/>
          <w:sz w:val="18"/>
          <w:szCs w:val="18"/>
          <w:color w:val="auto"/>
        </w:rPr>
        <w:t>March 31, 2019. Further, based on these assumptions, investors purchasing shares of common stock in this offering will contribute approximately 37.2% of the total amount invested by stockholders since our inception, but will own only approximately 21.3% of the shares of common stock outstanding. For information on how the foregoing amounts were calculated, see “Dilution.”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March 31, 2019, we had outstanding 24,076,762 shares of our common stock, options to purchase 2,986,048 shares of our common stock (of which 673,946 were exercisable as of that date) and 2,300 shares of common stock issuable upon the vesting of restricted stock units (none of which were vested as of that date). The sale or the availability for sale of a large number of shares of our common stock in the public market could cause the price of our common stock to decline.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95"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as amended (the “Securities Act”)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On December 19, 2018,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On January 17, 2019, the decision was appealed to the Delaware Supreme Court. While the Delaware Supreme Court dismissed the appeal on jurisdictional grounds, we expect that the appeal will be re-filed once the Court of Chancery issues a final judgment. Unless and until the Court of Chancery’s decision in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estimate that the net proceeds from this offering, after deducting underwriting discounts and commissions and estimated offering expenses payable by us, will be approximately $112.5 million. If the underwriters exercise in full their option to purchase additional shares, we estimate that our net proceeds from this offering will be approximately $129.5 million.</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principal purpose of this offering is to obtain additional capital to support our operations. We expect to use the net proceeds of this offering, in addition to our existing cash resources, as follows:</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the support of our current programs in Fabry disease, Gaucher disease, Pompe disease and cystinosis;</w:t>
      </w:r>
    </w:p>
    <w:p>
      <w:pPr>
        <w:spacing w:after="0" w:line="130"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external and internal manufacturing and process development activities related to our programs and to fund research and development activities that relate to all of our clinical and preclinical activities, including the cost of research and development personnel;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working capital and other general corporate purposes.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Based on our current plans, we believe our existing cash and cash equivalents, together with the net proceeds from this offering, will be sufficient to fund our operations into 2021.</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“AVRO” since June 21, 2018. Prior to that time, there was no public market for our common stock.</w:t>
      </w:r>
    </w:p>
    <w:p>
      <w:pPr>
        <w:spacing w:after="0" w:line="17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On July 15, 2019, the closing price of our common stock as reported on The Nasdaq Global Select Market was $16.42 per share. As of July 15, 2019, we had approximately 13 record holders of our common stock (not including beneficial owners whose shares are held in street name).</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24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capitalization as of March 31, 2019:</w:t>
      </w:r>
    </w:p>
    <w:p>
      <w:pPr>
        <w:spacing w:after="0" w:line="131"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60" w:right="300" w:hanging="424"/>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an as adjusted basis, giving effect to the sale of 6,500,000 shares of common stock by us in this offering at the public offering price of $18.50 per share, and after deducting the underwriting discounts and commissions and estimated offering expenses payable by us.</w:t>
      </w:r>
    </w:p>
    <w:p>
      <w:pPr>
        <w:spacing w:after="0" w:line="124"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2018 and our subsequent quarterly report on Form 10-Q, and incorporated by reference herein and therein.</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As of March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$ 108,476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$0.0001 par value, 10,000,000 shares authorized and no shares issued or outstanding, actual and as adjusted</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150,000,000 shares authorized, 24,076,762 issued and 23,954,241 shares outstanding,</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w w:val="98"/>
              </w:rPr>
              <w:t>actual; 150,000,000 shares authorized, 30,576,762 shares issued and 30,454,241 shares outstanding, as adjusted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(88,842)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$ 106,788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$ 219,323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actual and adjusted information set forth in the table above excludes the following:</w:t>
      </w:r>
    </w:p>
    <w:p>
      <w:pPr>
        <w:spacing w:after="0" w:line="131" w:lineRule="exact"/>
        <w:rPr>
          <w:sz w:val="20"/>
          <w:szCs w:val="20"/>
          <w:color w:val="auto"/>
        </w:rPr>
      </w:pPr>
    </w:p>
    <w:p>
      <w:pPr>
        <w:ind w:left="1060" w:right="4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March 31, 2019 was approximately $106.8 million, or approximately $4.44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8"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After giving effect to the sale by us of 6,500,000 shares of our common stock at the public offering price of $18.50 per share, and after deducting the underwriting discounts and commissions and estimated offering expenses payable by us, our net tangible book value as of March 31, 2019 would have been approximately $219.3 million, or $7.17 per share of common stock. This amount represents an immediate increase in net tangible book value of $2.73 per share to existing stockholders and an immediate dilution of $11.33 per share to purchasers in this offering.</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The following table illustrates the dilution:</w:t>
            </w:r>
          </w:p>
        </w:tc>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tangible book value per share as of March 31, 2019</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Certain of our existing stockholders, including certain affiliates of our directors, have agreed to purchase an aggregate of approximately $15.0 million of shares of our common stock in this offering at the public offering price disclosed in this prospectus supplement.</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If the underwriters exercise their option to purchase 975,000 additional shares, the as adjusted net tangible book value per share after this offering would be $7.49 per share, and the dilution in as adjusted net tangible book value per share to new investors purchasing common shares in this offering would be $11.01 per share, after deducting underwriting discounts and commissions and estimated offering expenses payable by us.</w:t>
      </w:r>
    </w:p>
    <w:p>
      <w:pPr>
        <w:spacing w:after="0" w:line="14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information above and in the foregoing table is based upon 24,076,762 shares of our common stock outstanding as of March 31, 2019. The information above and in the foregoing table excludes as of March 31, 2019:</w:t>
      </w:r>
    </w:p>
    <w:p>
      <w:pPr>
        <w:spacing w:after="0" w:line="76" w:lineRule="exact"/>
        <w:rPr>
          <w:sz w:val="20"/>
          <w:szCs w:val="20"/>
          <w:color w:val="auto"/>
        </w:rPr>
      </w:pPr>
    </w:p>
    <w:p>
      <w:pPr>
        <w:ind w:left="1060" w:right="4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1,787,500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682,500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Wedbush Securities Inc.</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358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After the initial offering of the shares of common stock, the offering price and other selling terms may from time to time be varied by the representatives.</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975,000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975,000 shares of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54"/>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Share</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No Exercise</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120,250,000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138,287,500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8,297,250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113,035,000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129,990,250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140" w:firstLine="441"/>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$500,000. We have agreed to reimburse the underwriters for expenses relating to clearance of this offering with the Financial Industry Regulatory Authority up to $30,000.</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symbol “AVRO.”</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and all of our directors and officers and certain holders of our outstanding stock have agreed that, without the prior written consent of Morgan Stanley &amp; Co. LLC and Cowen and Company, LLC, on behalf of the underwriters, we and they will not, during the period ending 90 days after the date of this prospectus supplement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us, file any registration statement with the Securities and Exchange Commission relating to the offering of any shares of common stock or any securities convertible into or exercisable or exchangeable for common stock, other than a registration statement relating to securities under our equity incentive plans; or</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restrictions described in the immediately preceding paragraph to do not apply to our directors and officers and certain holders of our outstanding stock for the following:</w:t>
      </w:r>
    </w:p>
    <w:p>
      <w:pPr>
        <w:spacing w:after="0" w:line="76" w:lineRule="exact"/>
        <w:rPr>
          <w:sz w:val="20"/>
          <w:szCs w:val="20"/>
          <w:color w:val="auto"/>
        </w:rPr>
      </w:pPr>
    </w:p>
    <w:p>
      <w:pPr>
        <w:ind w:left="1060" w:right="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or exercisable or exchangeable into common stock as a bona fide gift;</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40" w:hanging="424"/>
        <w:spacing w:after="0" w:line="291"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7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80"/>
        <w:spacing w:after="0" w:line="277" w:lineRule="auto"/>
        <w:rPr>
          <w:sz w:val="20"/>
          <w:szCs w:val="20"/>
          <w:color w:val="auto"/>
        </w:rPr>
      </w:pPr>
      <w:r>
        <w:rPr>
          <w:rFonts w:ascii="Arial" w:cs="Arial" w:eastAsia="Arial" w:hAnsi="Arial"/>
          <w:sz w:val="18"/>
          <w:szCs w:val="18"/>
          <w:color w:val="auto"/>
        </w:rPr>
        <w:t>immediate family of the signatory upon the death of the signatory, or (ii) by operation of law pursuant to a domestic order or negotiated divorce settlement;</w:t>
      </w:r>
    </w:p>
    <w:p>
      <w:pPr>
        <w:spacing w:after="0" w:line="76" w:lineRule="exact"/>
        <w:rPr>
          <w:sz w:val="20"/>
          <w:szCs w:val="20"/>
          <w:color w:val="auto"/>
        </w:rPr>
      </w:pPr>
    </w:p>
    <w:p>
      <w:pPr>
        <w:ind w:left="1060" w:right="20" w:hanging="424"/>
        <w:spacing w:after="0" w:line="270"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87" w:lineRule="exact"/>
        <w:rPr>
          <w:rFonts w:ascii="Arial" w:cs="Arial" w:eastAsia="Arial" w:hAnsi="Arial"/>
          <w:sz w:val="17"/>
          <w:szCs w:val="17"/>
          <w:color w:val="auto"/>
        </w:rPr>
      </w:pPr>
    </w:p>
    <w:p>
      <w:pPr>
        <w:ind w:left="1060" w:right="100" w:hanging="424"/>
        <w:spacing w:after="0" w:line="25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conversion of any convertible preferred stock described in the prospectus supplement and outstanding as of the date hereof, or 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97" w:lineRule="exact"/>
        <w:rPr>
          <w:rFonts w:ascii="Arial" w:cs="Arial" w:eastAsia="Arial" w:hAnsi="Arial"/>
          <w:sz w:val="18"/>
          <w:szCs w:val="18"/>
          <w:color w:val="auto"/>
        </w:rPr>
      </w:pPr>
    </w:p>
    <w:p>
      <w:pPr>
        <w:jc w:val="both"/>
        <w:ind w:left="1060" w:right="80" w:hanging="424"/>
        <w:spacing w:after="0" w:line="286"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supplement pursuant to stock plans disclosed in this prospectus supplement;</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86" w:lineRule="auto"/>
        <w:rPr>
          <w:sz w:val="20"/>
          <w:szCs w:val="20"/>
          <w:color w:val="auto"/>
        </w:rPr>
      </w:pPr>
      <w:r>
        <w:rPr>
          <w:rFonts w:ascii="Arial" w:cs="Arial" w:eastAsia="Arial" w:hAnsi="Arial"/>
          <w:sz w:val="17"/>
          <w:szCs w:val="17"/>
          <w:color w:val="auto"/>
        </w:rPr>
        <w:t>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or</w:t>
      </w:r>
    </w:p>
    <w:p>
      <w:pPr>
        <w:spacing w:after="0" w:line="71" w:lineRule="exact"/>
        <w:rPr>
          <w:sz w:val="20"/>
          <w:szCs w:val="20"/>
          <w:color w:val="auto"/>
        </w:rPr>
      </w:pPr>
    </w:p>
    <w:p>
      <w:pPr>
        <w:ind w:left="1060" w:right="100" w:hanging="424"/>
        <w:spacing w:after="0" w:line="273"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78"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provided that, in the case of any transfer or distribution as described in the fourth bullet point above, we shall agree to be subject to the restrictions described in the paragraph preceding the immediately preceding paragraph.</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200" w:right="40" w:firstLine="4"/>
        <w:spacing w:after="0" w:line="252" w:lineRule="auto"/>
        <w:tabs>
          <w:tab w:leader="none" w:pos="4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80" w:hanging="299"/>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60" w:hanging="310"/>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7"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89"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u w:val="single" w:color="auto"/>
          <w:color w:val="auto"/>
        </w:rPr>
        <w:t>Risk Factors</w:t>
      </w:r>
      <w:r>
        <w:rPr>
          <w:rFonts w:ascii="Arial" w:cs="Arial" w:eastAsia="Arial" w:hAnsi="Arial"/>
          <w:sz w:val="18"/>
          <w:szCs w:val="18"/>
          <w:color w:val="auto"/>
        </w:rPr>
        <w:t>”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8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40" w:hanging="424"/>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hanging="424"/>
        <w:spacing w:after="0" w:line="27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8"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9" w:lineRule="exact"/>
        <w:rPr>
          <w:sz w:val="20"/>
          <w:szCs w:val="20"/>
          <w:color w:val="auto"/>
        </w:rPr>
      </w:pPr>
    </w:p>
    <w:p>
      <w:pPr>
        <w:jc w:val="both"/>
        <w:ind w:left="200" w:right="140" w:firstLine="441"/>
        <w:spacing w:after="0" w:line="314"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t>
      </w:r>
      <w:r>
        <w:rPr>
          <w:rFonts w:ascii="Arial" w:cs="Arial" w:eastAsia="Arial" w:hAnsi="Arial"/>
          <w:sz w:val="17"/>
          <w:szCs w:val="17"/>
          <w:i w:val="1"/>
          <w:iCs w:val="1"/>
          <w:color w:val="auto"/>
        </w:rPr>
        <w:t>www.avrobio.com.</w:t>
      </w:r>
      <w:r>
        <w:rPr>
          <w:rFonts w:ascii="Arial" w:cs="Arial" w:eastAsia="Arial" w:hAnsi="Arial"/>
          <w:sz w:val="17"/>
          <w:szCs w:val="17"/>
          <w:color w:val="auto"/>
        </w:rPr>
        <w:t xml:space="preserve"> Information contained on our website is not incorporated by reference into this prospectus and, therefore, is not part of this prospectus supplement or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as amended,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reference or the exhibits, 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060" w:right="10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w:t>
      </w:r>
      <w:hyperlink r:id="rId6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66">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our Current Report on Form 8-K/A filed with the SEC on</w:t>
      </w:r>
    </w:p>
    <w:p>
      <w:pPr>
        <w:spacing w:after="0" w:line="23" w:lineRule="exact"/>
        <w:rPr>
          <w:rFonts w:ascii="Arial" w:cs="Arial" w:eastAsia="Arial" w:hAnsi="Arial"/>
          <w:sz w:val="18"/>
          <w:szCs w:val="18"/>
          <w:color w:val="auto"/>
        </w:rPr>
      </w:pPr>
    </w:p>
    <w:p>
      <w:pPr>
        <w:ind w:left="1060" w:right="20"/>
        <w:spacing w:after="0" w:line="290" w:lineRule="auto"/>
        <w:rPr>
          <w:rFonts w:ascii="Arial" w:cs="Arial" w:eastAsia="Arial" w:hAnsi="Arial"/>
          <w:sz w:val="17"/>
          <w:szCs w:val="17"/>
          <w:color w:val="0000EE"/>
        </w:rPr>
      </w:pPr>
      <w:hyperlink r:id="rId67">
        <w:r>
          <w:rPr>
            <w:rFonts w:ascii="Arial" w:cs="Arial" w:eastAsia="Arial" w:hAnsi="Arial"/>
            <w:sz w:val="17"/>
            <w:szCs w:val="17"/>
            <w:u w:val="single" w:color="auto"/>
            <w:color w:val="0000EE"/>
          </w:rPr>
          <w:t>January 11, 2019</w:t>
        </w:r>
        <w:r>
          <w:rPr>
            <w:rFonts w:ascii="Arial" w:cs="Arial" w:eastAsia="Arial" w:hAnsi="Arial"/>
            <w:sz w:val="17"/>
            <w:szCs w:val="17"/>
            <w:color w:val="0000EE"/>
          </w:rPr>
          <w:t xml:space="preserve"> </w:t>
        </w:r>
        <w:r>
          <w:rPr>
            <w:rFonts w:ascii="Arial" w:cs="Arial" w:eastAsia="Arial" w:hAnsi="Arial"/>
            <w:sz w:val="17"/>
            <w:szCs w:val="17"/>
            <w:color w:val="000000"/>
          </w:rPr>
          <w:t>and our Current Reports on Form 8-K filed with the SEC on</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January 22,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29,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12,</w:t>
        </w:r>
      </w:hyperlink>
      <w:r>
        <w:rPr>
          <w:rFonts w:ascii="Arial" w:cs="Arial" w:eastAsia="Arial" w:hAnsi="Arial"/>
          <w:sz w:val="17"/>
          <w:szCs w:val="17"/>
          <w:color w:val="0000EE"/>
        </w:rPr>
        <w:t xml:space="preserve"> </w:t>
      </w:r>
      <w:hyperlink r:id="rId67">
        <w:r>
          <w:rPr>
            <w:rFonts w:ascii="Arial" w:cs="Arial" w:eastAsia="Arial" w:hAnsi="Arial"/>
            <w:sz w:val="17"/>
            <w:szCs w:val="17"/>
            <w:u w:val="single" w:color="auto"/>
            <w:color w:val="0000EE"/>
          </w:rPr>
          <w:t>2019</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68">
        <w:r>
          <w:rPr>
            <w:rFonts w:ascii="Arial" w:cs="Arial" w:eastAsia="Arial" w:hAnsi="Arial"/>
            <w:sz w:val="17"/>
            <w:szCs w:val="17"/>
            <w:u w:val="single" w:color="auto"/>
            <w:color w:val="0000EE"/>
          </w:rPr>
          <w:t xml:space="preserve">July 15, 2019 </w:t>
        </w:r>
      </w:hyperlink>
      <w:hyperlink r:id="rId67">
        <w:r>
          <w:rPr>
            <w:rFonts w:ascii="Arial" w:cs="Arial" w:eastAsia="Arial" w:hAnsi="Arial"/>
            <w:sz w:val="17"/>
            <w:szCs w:val="17"/>
            <w:color w:val="000000"/>
          </w:rPr>
          <w:t>(in each case, except for information contained therein which is furnished rather than filed); and</w:t>
        </w:r>
      </w:hyperlink>
    </w:p>
    <w:p>
      <w:pPr>
        <w:spacing w:after="0" w:line="67" w:lineRule="exact"/>
        <w:rPr>
          <w:rFonts w:ascii="Arial" w:cs="Arial" w:eastAsia="Arial" w:hAnsi="Arial"/>
          <w:sz w:val="17"/>
          <w:szCs w:val="17"/>
          <w:color w:val="0000EE"/>
        </w:rPr>
      </w:pPr>
    </w:p>
    <w:p>
      <w:pPr>
        <w:ind w:left="1060" w:right="2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7"/>
          <w:szCs w:val="17"/>
          <w:color w:val="0000EE"/>
        </w:rPr>
      </w:pPr>
    </w:p>
    <w:p>
      <w:pPr>
        <w:ind w:left="200" w:right="60" w:firstLine="441"/>
        <w:spacing w:after="0" w:line="279" w:lineRule="auto"/>
        <w:rPr>
          <w:sz w:val="20"/>
          <w:szCs w:val="20"/>
          <w:color w:val="auto"/>
        </w:rPr>
      </w:pPr>
      <w:r>
        <w:rPr>
          <w:rFonts w:ascii="Arial" w:cs="Arial" w:eastAsia="Arial" w:hAnsi="Arial"/>
          <w:sz w:val="17"/>
          <w:szCs w:val="17"/>
          <w:color w:val="auto"/>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71" w:lineRule="exact"/>
        <w:rPr>
          <w:rFonts w:ascii="Arial" w:cs="Arial" w:eastAsia="Arial" w:hAnsi="Arial"/>
          <w:sz w:val="17"/>
          <w:szCs w:val="17"/>
          <w:color w:val="0000EE"/>
        </w:rPr>
      </w:pPr>
    </w:p>
    <w:p>
      <w:pPr>
        <w:ind w:left="200" w:right="40" w:firstLine="441"/>
        <w:spacing w:after="0" w:line="273" w:lineRule="auto"/>
        <w:rPr>
          <w:sz w:val="20"/>
          <w:szCs w:val="20"/>
          <w:color w:val="auto"/>
        </w:rPr>
      </w:pPr>
      <w:r>
        <w:rPr>
          <w:rFonts w:ascii="Arial" w:cs="Arial" w:eastAsia="Arial" w:hAnsi="Arial"/>
          <w:sz w:val="17"/>
          <w:szCs w:val="17"/>
          <w:color w:val="auto"/>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8" w:lineRule="exact"/>
        <w:rPr>
          <w:rFonts w:ascii="Arial" w:cs="Arial" w:eastAsia="Arial" w:hAnsi="Arial"/>
          <w:sz w:val="17"/>
          <w:szCs w:val="17"/>
          <w:color w:val="0000EE"/>
        </w:rPr>
      </w:pPr>
    </w:p>
    <w:p>
      <w:pPr>
        <w:ind w:left="200" w:right="220" w:firstLine="441"/>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81" w:lineRule="exact"/>
        <w:rPr>
          <w:rFonts w:ascii="Arial" w:cs="Arial" w:eastAsia="Arial" w:hAnsi="Arial"/>
          <w:sz w:val="17"/>
          <w:szCs w:val="17"/>
          <w:color w:val="0000EE"/>
        </w:rPr>
      </w:pPr>
    </w:p>
    <w:p>
      <w:pPr>
        <w:ind w:left="200" w:firstLine="441"/>
        <w:spacing w:after="0" w:line="276"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05" w:lineRule="exact"/>
        <w:rPr>
          <w:rFonts w:ascii="Arial" w:cs="Arial" w:eastAsia="Arial" w:hAnsi="Arial"/>
          <w:sz w:val="17"/>
          <w:szCs w:val="17"/>
          <w:color w:val="0000EE"/>
        </w:rPr>
      </w:pPr>
    </w:p>
    <w:p>
      <w:pPr>
        <w:jc w:val="center"/>
        <w:ind w:right="-1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617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977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227965</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We may from time to time issue, in one or more series or classes, up to $200,000,000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05"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Our common stock is listed on The Nasdaq Global Select Market under the symbol “AVRO.” On June 27, 2019, the closing price for our common stock, as reported on The Nasdaq Global Select Market, was $15.36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215265</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right="6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hyperlink w:anchor="page4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91"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July 10, 2019</w:t>
      </w:r>
    </w:p>
    <w:p>
      <w:pPr>
        <w:sectPr>
          <w:pgSz w:w="11900" w:h="16838" w:orient="portrait"/>
          <w:cols w:equalWidth="0" w:num="1">
            <w:col w:w="11220"/>
          </w:cols>
          <w:pgMar w:left="240" w:top="459"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70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gridSpan w:val="2"/>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553"/>
        </w:trPr>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0" w:type="dxa"/>
            <w:vAlign w:val="bottom"/>
          </w:tcPr>
          <w:p>
            <w:pPr>
              <w:spacing w:after="0"/>
              <w:rPr>
                <w:sz w:val="15"/>
                <w:szCs w:val="15"/>
                <w:color w:val="auto"/>
              </w:rPr>
            </w:pPr>
          </w:p>
        </w:tc>
        <w:tc>
          <w:tcPr>
            <w:tcW w:w="176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About this Prospectus</w:t>
              </w:r>
            </w:hyperlink>
          </w:p>
        </w:tc>
        <w:tc>
          <w:tcPr>
            <w:tcW w:w="6740" w:type="dxa"/>
            <w:vAlign w:val="bottom"/>
            <w:gridSpan w:val="7"/>
          </w:tcPr>
          <w:p>
            <w:pPr>
              <w:spacing w:after="0"/>
              <w:rPr>
                <w:sz w:val="15"/>
                <w:szCs w:val="15"/>
                <w:color w:val="auto"/>
              </w:rPr>
            </w:pPr>
          </w:p>
        </w:tc>
        <w:tc>
          <w:tcPr>
            <w:tcW w:w="24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Cautionary Statement Regarding Forward-Looking Statements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The Company</w:t>
              </w:r>
            </w:hyperlink>
          </w:p>
        </w:tc>
        <w:tc>
          <w:tcPr>
            <w:tcW w:w="3840" w:type="dxa"/>
            <w:vAlign w:val="bottom"/>
            <w:tcBorders>
              <w:top w:val="single" w:sz="8" w:color="0000EE"/>
            </w:tcBorders>
            <w:gridSpan w:val="11"/>
          </w:tcPr>
          <w:p>
            <w:pPr>
              <w:spacing w:after="0"/>
              <w:rPr>
                <w:sz w:val="15"/>
                <w:szCs w:val="15"/>
                <w:color w:val="auto"/>
              </w:rPr>
            </w:pPr>
          </w:p>
        </w:tc>
        <w:tc>
          <w:tcPr>
            <w:tcW w:w="3520" w:type="dxa"/>
            <w:vAlign w:val="bottom"/>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Use of Proceeds</w:t>
              </w:r>
            </w:hyperlink>
          </w:p>
        </w:tc>
        <w:tc>
          <w:tcPr>
            <w:tcW w:w="7160" w:type="dxa"/>
            <w:vAlign w:val="bottom"/>
            <w:gridSpan w:val="10"/>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Securities We May Offer</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Description of Capital Stock</w:t>
              </w:r>
            </w:hyperlink>
          </w:p>
        </w:tc>
        <w:tc>
          <w:tcPr>
            <w:tcW w:w="6280" w:type="dxa"/>
            <w:vAlign w:val="bottom"/>
            <w:gridSpan w:val="4"/>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23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Description of Debt Securities</w:t>
              </w:r>
            </w:hyperlink>
          </w:p>
        </w:tc>
        <w:tc>
          <w:tcPr>
            <w:tcW w:w="6120" w:type="dxa"/>
            <w:vAlign w:val="bottom"/>
            <w:gridSpan w:val="3"/>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194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Warrants</w:t>
              </w:r>
            </w:hyperlink>
          </w:p>
        </w:tc>
        <w:tc>
          <w:tcPr>
            <w:tcW w:w="6560" w:type="dxa"/>
            <w:vAlign w:val="bottom"/>
            <w:gridSpan w:val="6"/>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Units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0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Plan of Distribution</w:t>
              </w:r>
            </w:hyperlink>
          </w:p>
        </w:tc>
        <w:tc>
          <w:tcPr>
            <w:tcW w:w="40" w:type="dxa"/>
            <w:vAlign w:val="bottom"/>
            <w:tcBorders>
              <w:top w:val="single" w:sz="8" w:color="0000EE"/>
            </w:tcBorders>
          </w:tcPr>
          <w:p>
            <w:pPr>
              <w:spacing w:after="0"/>
              <w:rPr>
                <w:sz w:val="15"/>
                <w:szCs w:val="15"/>
                <w:color w:val="auto"/>
              </w:rPr>
            </w:pPr>
          </w:p>
        </w:tc>
        <w:tc>
          <w:tcPr>
            <w:tcW w:w="6940" w:type="dxa"/>
            <w:vAlign w:val="bottom"/>
            <w:gridSpan w:val="8"/>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0" w:type="dxa"/>
            <w:vAlign w:val="bottom"/>
          </w:tcPr>
          <w:p>
            <w:pPr>
              <w:spacing w:after="0"/>
              <w:rPr>
                <w:sz w:val="15"/>
                <w:szCs w:val="15"/>
                <w:color w:val="auto"/>
              </w:rPr>
            </w:pPr>
          </w:p>
        </w:tc>
        <w:tc>
          <w:tcPr>
            <w:tcW w:w="11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Legal Matters</w:t>
              </w:r>
            </w:hyperlink>
          </w:p>
        </w:tc>
        <w:tc>
          <w:tcPr>
            <w:tcW w:w="7400" w:type="dxa"/>
            <w:vAlign w:val="bottom"/>
            <w:gridSpan w:val="13"/>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Experts</w:t>
              </w:r>
            </w:hyperlink>
          </w:p>
        </w:tc>
        <w:tc>
          <w:tcPr>
            <w:tcW w:w="7880" w:type="dxa"/>
            <w:vAlign w:val="bottom"/>
            <w:gridSpan w:val="15"/>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Where You Can Find More Information</w:t>
              </w:r>
            </w:hyperlink>
          </w:p>
        </w:tc>
        <w:tc>
          <w:tcPr>
            <w:tcW w:w="5420" w:type="dxa"/>
            <w:vAlign w:val="bottom"/>
            <w:gridSpan w:val="2"/>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21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Incorporation by Reference</w:t>
              </w:r>
            </w:hyperlink>
          </w:p>
        </w:tc>
        <w:tc>
          <w:tcPr>
            <w:tcW w:w="6320" w:type="dxa"/>
            <w:vAlign w:val="bottom"/>
            <w:gridSpan w:val="5"/>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bl>
    <w:p>
      <w:pPr>
        <w:jc w:val="right"/>
        <w:spacing w:after="0" w:line="182"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$200,000,000.</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6" w:lineRule="exact"/>
        <w:rPr>
          <w:sz w:val="20"/>
          <w:szCs w:val="20"/>
          <w:color w:val="auto"/>
        </w:rPr>
      </w:pPr>
    </w:p>
    <w:p>
      <w:pPr>
        <w:ind w:left="200" w:right="1020" w:firstLine="331"/>
        <w:spacing w:after="0" w:line="271"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76"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and, where appropriate, our subsidiaries.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 on Form 10-Q for the quarter ended March 31, 2019, which is on file with the SEC and is incorporated herein by reference and (iii) other documents we file with the SEC that are deemed incorporated by reference into this prospectus.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20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0" w:lineRule="exact"/>
        <w:rPr>
          <w:sz w:val="20"/>
          <w:szCs w:val="20"/>
          <w:color w:val="auto"/>
        </w:rPr>
      </w:pPr>
    </w:p>
    <w:p>
      <w:pPr>
        <w:ind w:left="960" w:right="300" w:hanging="432"/>
        <w:spacing w:after="0" w:line="223"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scope or likelihood of regulatory filings and approvals;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and advance product candidates into, and successfully complete, 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26" w:lineRule="exact"/>
        <w:rPr>
          <w:rFonts w:ascii="MS PGothic" w:cs="MS PGothic" w:eastAsia="MS PGothic" w:hAnsi="MS PGothic"/>
          <w:sz w:val="25"/>
          <w:szCs w:val="25"/>
          <w:color w:val="auto"/>
          <w:vertAlign w:val="superscript"/>
        </w:rPr>
      </w:pPr>
    </w:p>
    <w:p>
      <w:pPr>
        <w:jc w:val="both"/>
        <w:ind w:left="960" w:right="340" w:hanging="432"/>
        <w:spacing w:after="0" w:line="223"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commercialization, marketing and manufacturing capabilities and strategy;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pricing and reimbursement of our product candidates, if approved;</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establish or maintain collaborations or strategic relationships or obtain additional funding;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competitive position;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financial performance;</w:t>
      </w:r>
    </w:p>
    <w:p>
      <w:pPr>
        <w:spacing w:after="0" w:line="26"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and projections relating to our competitors and our industry;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 capital requirements and needs for additional financing;</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laws and regulations, including without limitation recently enacted tax reform legislation;</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under the caption “Risk Factors”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3"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324"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20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14"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5"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230" w:lineRule="exact"/>
        <w:rPr>
          <w:sz w:val="20"/>
          <w:szCs w:val="20"/>
          <w:color w:val="auto"/>
        </w:rPr>
      </w:pPr>
    </w:p>
    <w:p>
      <w:pPr>
        <w:ind w:left="960" w:right="10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about our executive compensation arrangements;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advisory votes on executive compensation or golden parachute arrangements;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80" w:hanging="432"/>
        <w:spacing w:after="0" w:line="223"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20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207"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324"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2019, 24,076,762 shares of our common stock were outstanding and held by 15 stockholders of record.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2019, there were outstanding options to purchase an aggregate of 2,986,048 shares of our common stock.</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As of June 30, 2019, the holders of 4,756,478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holders of 4,756,478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9"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85"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 month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85" w:lineRule="exact"/>
        <w:rPr>
          <w:sz w:val="20"/>
          <w:szCs w:val="20"/>
          <w:color w:val="auto"/>
        </w:rPr>
      </w:pPr>
    </w:p>
    <w:p>
      <w:pPr>
        <w:jc w:val="both"/>
        <w:ind w:left="200" w:right="40" w:firstLine="331"/>
        <w:spacing w:after="0" w:line="23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Our amended and restated bylaws provides that, unless we consent in writing to the selection of an alternative forum, the Court of Chancery of the State of Delaware will be the sole and exclusive forum for: (1) any derivative action or proceeding brought on our behalf;</w:t>
      </w:r>
    </w:p>
    <w:p>
      <w:pPr>
        <w:spacing w:after="0" w:line="1" w:lineRule="exact"/>
        <w:rPr>
          <w:sz w:val="20"/>
          <w:szCs w:val="20"/>
          <w:color w:val="auto"/>
        </w:rPr>
      </w:pPr>
    </w:p>
    <w:p>
      <w:pPr>
        <w:ind w:left="200" w:right="20" w:firstLine="4"/>
        <w:spacing w:after="0" w:line="237" w:lineRule="auto"/>
        <w:tabs>
          <w:tab w:leader="none" w:pos="4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20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30" w:lineRule="exact"/>
        <w:rPr>
          <w:sz w:val="20"/>
          <w:szCs w:val="20"/>
          <w:color w:val="auto"/>
        </w:rPr>
      </w:pPr>
    </w:p>
    <w:p>
      <w:pPr>
        <w:ind w:left="960" w:right="30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203 defines a business combination to include:</w:t>
      </w:r>
    </w:p>
    <w:p>
      <w:pPr>
        <w:spacing w:after="0" w:line="203"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merger or consolidation involving the corporation and the interested stockholder;</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34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indentures:</w:t>
      </w:r>
    </w:p>
    <w:p>
      <w:pPr>
        <w:spacing w:after="0" w:line="203"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limit the amount of debt securities that we may issue;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issue debt securities in one or more series;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require us to issue all of the debt securities of a series at the same time; and</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reopen a series to issue additional debt securities without the consent of the holders of the debt securities of such series.</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03" w:lineRule="exact"/>
        <w:rPr>
          <w:sz w:val="20"/>
          <w:szCs w:val="20"/>
          <w:color w:val="auto"/>
        </w:rPr>
      </w:pPr>
    </w:p>
    <w:p>
      <w:pPr>
        <w:ind w:left="960" w:hanging="432"/>
        <w:spacing w:after="0"/>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title of the debt securities and whether they are senior or subordinated;</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3"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from which interest will accrue;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interest will be payable;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record dates for interest payment dates, or the method by which such dates will be determined;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persons to whom interest will be payable;</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debt securities may be surrendered for registration of transfer or conversion or exchange;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times, prices and other terms and conditions upon which we may redeem the debt securities;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28" w:lineRule="exact"/>
        <w:rPr>
          <w:rFonts w:ascii="MS PGothic" w:cs="MS PGothic" w:eastAsia="MS PGothic" w:hAnsi="MS PGothic"/>
          <w:sz w:val="25"/>
          <w:szCs w:val="25"/>
          <w:color w:val="auto"/>
          <w:vertAlign w:val="superscript"/>
        </w:rPr>
      </w:pPr>
    </w:p>
    <w:p>
      <w:pPr>
        <w:jc w:val="both"/>
        <w:ind w:left="960" w:right="240" w:hanging="432"/>
        <w:spacing w:after="0" w:line="223"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8"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8"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27" w:lineRule="exact"/>
        <w:rPr>
          <w:rFonts w:ascii="MS PGothic" w:cs="MS PGothic" w:eastAsia="MS PGothic" w:hAnsi="MS PGothic"/>
          <w:sz w:val="25"/>
          <w:szCs w:val="25"/>
          <w:color w:val="auto"/>
          <w:vertAlign w:val="superscript"/>
        </w:rPr>
      </w:pPr>
    </w:p>
    <w:p>
      <w:pPr>
        <w:ind w:left="960" w:right="84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such debt securities not inconsistent with the provisions of the applicable indenture.</w:t>
      </w:r>
    </w:p>
    <w:p>
      <w:pPr>
        <w:spacing w:after="0" w:line="202"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12"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224" w:lineRule="exact"/>
        <w:rPr>
          <w:sz w:val="20"/>
          <w:szCs w:val="20"/>
          <w:color w:val="auto"/>
        </w:rPr>
      </w:pPr>
    </w:p>
    <w:p>
      <w:pPr>
        <w:ind w:left="960" w:right="280" w:hanging="432"/>
        <w:spacing w:after="0" w:line="223"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Neither we, nor any trustee, will be required to:</w:t>
      </w:r>
    </w:p>
    <w:p>
      <w:pPr>
        <w:spacing w:after="0" w:line="188" w:lineRule="exact"/>
        <w:rPr>
          <w:sz w:val="20"/>
          <w:szCs w:val="20"/>
          <w:color w:val="auto"/>
        </w:rPr>
      </w:pPr>
    </w:p>
    <w:p>
      <w:pPr>
        <w:ind w:left="960" w:hanging="432"/>
        <w:spacing w:after="0"/>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debt securities of any series during a period beginning at the opening of business</w:t>
      </w:r>
    </w:p>
    <w:p>
      <w:pPr>
        <w:ind w:left="960" w:right="220"/>
        <w:spacing w:after="0" w:line="244"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15 days before the day that the notice of redemption of any debt securities selected for redemption is mailed and ending at the close of business on the day of such mailing;</w:t>
      </w:r>
    </w:p>
    <w:p>
      <w:pPr>
        <w:spacing w:after="0" w:line="24"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224" w:lineRule="exact"/>
        <w:rPr>
          <w:sz w:val="20"/>
          <w:szCs w:val="20"/>
          <w:color w:val="auto"/>
        </w:rPr>
      </w:pPr>
    </w:p>
    <w:p>
      <w:pPr>
        <w:ind w:left="960" w:right="60" w:hanging="432"/>
        <w:spacing w:after="0" w:line="223"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legal opinion covering such conditions are delivered to each applicable trustee.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Notice and Waiver</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224" w:lineRule="exact"/>
        <w:rPr>
          <w:sz w:val="20"/>
          <w:szCs w:val="20"/>
          <w:color w:val="auto"/>
        </w:rPr>
      </w:pPr>
    </w:p>
    <w:p>
      <w:pPr>
        <w:ind w:left="960" w:right="1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bankruptcy, insolvency or reorganization, or court appointment of a receiver, liquidator or trustee of us;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event of default provided with respect to a particular series of debt securities.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235" w:lineRule="exact"/>
        <w:rPr>
          <w:sz w:val="20"/>
          <w:szCs w:val="20"/>
          <w:color w:val="auto"/>
        </w:rPr>
      </w:pPr>
    </w:p>
    <w:p>
      <w:pPr>
        <w:ind w:left="960" w:right="560" w:hanging="432"/>
        <w:spacing w:after="0" w:line="223"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28"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responsible officer of such trustee, unless such default has been cured or waived. However, the trustee may withhold notice if specified persons of such trustee consider such withholding to be in the interest of the holders of debt securities.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6" w:lineRule="exact"/>
        <w:rPr>
          <w:sz w:val="20"/>
          <w:szCs w:val="20"/>
          <w:color w:val="auto"/>
        </w:rPr>
      </w:pPr>
    </w:p>
    <w:p>
      <w:pPr>
        <w:ind w:left="960" w:hanging="432"/>
        <w:spacing w:after="0"/>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is in conflict with any law or the applicable indenture;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involve the trustee in personal liability;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be unduly prejudicial to the holders of debt securities of the series not joining the proceeding.</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9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88" w:lineRule="exact"/>
        <w:rPr>
          <w:sz w:val="20"/>
          <w:szCs w:val="20"/>
          <w:color w:val="auto"/>
        </w:rPr>
      </w:pPr>
    </w:p>
    <w:p>
      <w:pPr>
        <w:ind w:left="960" w:hanging="432"/>
        <w:spacing w:after="0"/>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succession of another person to us as obligor under such indenture;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uncertificated debt securities in addition to or in place of certificated debt securities;</w:t>
      </w:r>
    </w:p>
    <w:p>
      <w:pPr>
        <w:spacing w:after="0" w:line="26"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events of default for the benefit of the holders of all or any series of debt securities;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change that does not adversely affect the rights of any securityholder in any material respect;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establish the form or terms of debt securities of any series;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0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99"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w:t>
      </w:r>
    </w:p>
    <w:p>
      <w:pPr>
        <w:spacing w:after="0" w:line="85"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1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224" w:lineRule="exact"/>
        <w:rPr>
          <w:sz w:val="20"/>
          <w:szCs w:val="20"/>
          <w:color w:val="auto"/>
        </w:rPr>
      </w:pPr>
    </w:p>
    <w:p>
      <w:pPr>
        <w:ind w:left="960" w:right="120" w:hanging="432"/>
        <w:spacing w:after="0" w:line="211"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w:t>
      </w:r>
    </w:p>
    <w:p>
      <w:pPr>
        <w:ind w:left="960" w:right="100"/>
        <w:spacing w:after="0"/>
        <w:tabs>
          <w:tab w:leader="none" w:pos="123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spacing w:after="0"/>
        <w:rPr>
          <w:sz w:val="20"/>
          <w:szCs w:val="20"/>
          <w:color w:val="auto"/>
        </w:rPr>
      </w:pPr>
      <w:r>
        <w:rPr>
          <w:rFonts w:ascii="Arial" w:cs="Arial" w:eastAsia="Arial" w:hAnsi="Arial"/>
          <w:sz w:val="18"/>
          <w:szCs w:val="18"/>
          <w:color w:val="auto"/>
        </w:rPr>
        <w:t>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ind w:left="960" w:hanging="432"/>
        <w:spacing w:after="0" w:line="231"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paid or caused to be paid all other sums payable; and</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207"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202" w:lineRule="exact"/>
        <w:rPr>
          <w:sz w:val="20"/>
          <w:szCs w:val="20"/>
          <w:color w:val="auto"/>
        </w:rPr>
      </w:pPr>
    </w:p>
    <w:p>
      <w:pPr>
        <w:ind w:left="200" w:right="480" w:firstLine="331"/>
        <w:spacing w:after="0"/>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99"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Recourse</w:t>
      </w:r>
    </w:p>
    <w:p>
      <w:pPr>
        <w:spacing w:after="0" w:line="85"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85"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03" w:lineRule="exact"/>
        <w:rPr>
          <w:sz w:val="20"/>
          <w:szCs w:val="20"/>
          <w:color w:val="auto"/>
        </w:rPr>
      </w:pPr>
    </w:p>
    <w:p>
      <w:pPr>
        <w:ind w:left="960" w:hanging="432"/>
        <w:spacing w:after="0"/>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offering price and aggregate number of warrants offered;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for which the warrants may be purchased;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date on and after which the warrants and the related securities will be separately transferable;</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7" w:lineRule="exact"/>
        <w:rPr>
          <w:rFonts w:ascii="MS PGothic" w:cs="MS PGothic" w:eastAsia="MS PGothic" w:hAnsi="MS PGothic"/>
          <w:sz w:val="25"/>
          <w:szCs w:val="25"/>
          <w:color w:val="auto"/>
          <w:vertAlign w:val="superscript"/>
        </w:rPr>
      </w:pPr>
    </w:p>
    <w:p>
      <w:pPr>
        <w:jc w:val="both"/>
        <w:ind w:left="960" w:right="60" w:hanging="432"/>
        <w:spacing w:after="0" w:line="223"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any rights to redeem or call the warrants;</w:t>
      </w:r>
    </w:p>
    <w:p>
      <w:pPr>
        <w:spacing w:after="0" w:line="26"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periods during which, and places at which, the warrants are exercisable;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of exercise;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the right to exercise the warrants will commence and expire;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in which the warrant agreement and warrants may be modified;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federal income tax consequences of holding or exercising the warrants;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the securities issuable upon exercise of the warrants;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specific terms, preferences, rights or limitations of or restrictions on the warrants.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207"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229" w:lineRule="exact"/>
        <w:rPr>
          <w:sz w:val="20"/>
          <w:szCs w:val="20"/>
          <w:color w:val="auto"/>
        </w:rPr>
      </w:pPr>
    </w:p>
    <w:p>
      <w:pPr>
        <w:ind w:left="960" w:right="11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of the governing unit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or prices at which such units will be issued;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United States federal income tax considerations relating to the units;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the units and of the securities comprising the units.</w:t>
      </w:r>
    </w:p>
    <w:p>
      <w:pPr>
        <w:spacing w:after="0" w:line="202"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6"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6"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03" w:lineRule="exact"/>
        <w:rPr>
          <w:sz w:val="20"/>
          <w:szCs w:val="20"/>
          <w:color w:val="auto"/>
        </w:rPr>
      </w:pPr>
    </w:p>
    <w:p>
      <w:pPr>
        <w:ind w:left="960" w:hanging="432"/>
        <w:spacing w:after="0"/>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correct or supplement any defective or inconsistent provision; or</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85"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224" w:lineRule="exact"/>
        <w:rPr>
          <w:sz w:val="20"/>
          <w:szCs w:val="20"/>
          <w:color w:val="auto"/>
        </w:rPr>
      </w:pPr>
    </w:p>
    <w:p>
      <w:pPr>
        <w:ind w:left="960" w:right="42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960" w:right="50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204"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12"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24" w:lineRule="exact"/>
        <w:rPr>
          <w:sz w:val="20"/>
          <w:szCs w:val="20"/>
          <w:color w:val="auto"/>
        </w:rPr>
      </w:pPr>
    </w:p>
    <w:p>
      <w:pPr>
        <w:ind w:left="960" w:right="26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9"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85"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200" w:right="240" w:firstLine="331"/>
        <w:spacing w:after="0" w:line="234" w:lineRule="auto"/>
        <w:rPr>
          <w:sz w:val="20"/>
          <w:szCs w:val="20"/>
          <w:color w:val="auto"/>
        </w:rPr>
      </w:pPr>
      <w:r>
        <w:rPr>
          <w:rFonts w:ascii="Arial" w:cs="Arial" w:eastAsia="Arial" w:hAnsi="Arial"/>
          <w:sz w:val="18"/>
          <w:szCs w:val="18"/>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w:t>
      </w:r>
    </w:p>
    <w:p>
      <w:pPr>
        <w:spacing w:after="0" w:line="2" w:lineRule="exact"/>
        <w:rPr>
          <w:sz w:val="20"/>
          <w:szCs w:val="20"/>
          <w:color w:val="auto"/>
        </w:rPr>
      </w:pPr>
    </w:p>
    <w:p>
      <w:pPr>
        <w:ind w:left="200" w:right="120" w:firstLine="4"/>
        <w:spacing w:after="0" w:line="275" w:lineRule="auto"/>
        <w:tabs>
          <w:tab w:leader="none" w:pos="47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through agents, or (4) 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200" w:lineRule="exact"/>
        <w:rPr>
          <w:rFonts w:ascii="Arial" w:cs="Arial" w:eastAsia="Arial" w:hAnsi="Arial"/>
          <w:sz w:val="17"/>
          <w:szCs w:val="17"/>
          <w:color w:val="auto"/>
        </w:rPr>
      </w:pPr>
    </w:p>
    <w:p>
      <w:pPr>
        <w:ind w:left="960" w:right="120" w:hanging="432"/>
        <w:spacing w:after="0" w:line="218" w:lineRule="auto"/>
        <w:tabs>
          <w:tab w:leader="none" w:pos="960" w:val="left"/>
        </w:tabs>
        <w:numPr>
          <w:ilvl w:val="1"/>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27"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1"/>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1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88" w:lineRule="exact"/>
        <w:rPr>
          <w:sz w:val="20"/>
          <w:szCs w:val="20"/>
          <w:color w:val="auto"/>
        </w:rPr>
      </w:pPr>
    </w:p>
    <w:p>
      <w:pPr>
        <w:ind w:left="960" w:hanging="432"/>
        <w:spacing w:after="0"/>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type and amount of securities we are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agent or any underwriters;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public offering or purchase price;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the agent or underwriters;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other items constituting underwriting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dealers;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exchanges on which the securities will be listed.</w:t>
      </w:r>
    </w:p>
    <w:p>
      <w:pPr>
        <w:spacing w:after="0" w:line="203" w:lineRule="exact"/>
        <w:rPr>
          <w:sz w:val="20"/>
          <w:szCs w:val="20"/>
          <w:color w:val="auto"/>
        </w:rPr>
      </w:pPr>
    </w:p>
    <w:p>
      <w:pPr>
        <w:jc w:val="both"/>
        <w:ind w:left="200" w:firstLine="331"/>
        <w:spacing w:after="0" w:line="261"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203"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2" w:lineRule="exact"/>
        <w:rPr>
          <w:sz w:val="20"/>
          <w:szCs w:val="20"/>
          <w:color w:val="auto"/>
        </w:rPr>
      </w:pPr>
    </w:p>
    <w:p>
      <w:pPr>
        <w:ind w:left="200" w:right="440" w:firstLine="331"/>
        <w:spacing w:after="0"/>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30" w:lineRule="exact"/>
        <w:rPr>
          <w:sz w:val="20"/>
          <w:szCs w:val="20"/>
          <w:color w:val="auto"/>
        </w:rPr>
      </w:pPr>
    </w:p>
    <w:p>
      <w:pPr>
        <w:ind w:left="960" w:right="200" w:hanging="432"/>
        <w:spacing w:after="0" w:line="218"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4"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203" w:lineRule="exact"/>
        <w:rPr>
          <w:sz w:val="20"/>
          <w:szCs w:val="20"/>
          <w:color w:val="auto"/>
        </w:rPr>
      </w:pPr>
    </w:p>
    <w:p>
      <w:pPr>
        <w:ind w:left="200" w:right="20" w:firstLine="331"/>
        <w:spacing w:after="0" w:line="261"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6"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05"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23"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left="460" w:right="320"/>
        <w:spacing w:after="0" w:line="418" w:lineRule="auto"/>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 30</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www.avrobio.com.</w:t>
      </w:r>
      <w:r>
        <w:rPr>
          <w:rFonts w:ascii="Arial" w:cs="Arial" w:eastAsia="Arial" w:hAnsi="Arial"/>
          <w:sz w:val="18"/>
          <w:szCs w:val="18"/>
          <w:color w:val="auto"/>
        </w:rPr>
        <w:t xml:space="preserve"> Information contained on our website is not incorporated by reference into this prospectus and, therefore, is not part of this prospectus or any accompanying prospectus supplement.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194" w:lineRule="exact"/>
        <w:rPr>
          <w:sz w:val="20"/>
          <w:szCs w:val="20"/>
          <w:color w:val="auto"/>
        </w:rPr>
      </w:pPr>
    </w:p>
    <w:p>
      <w:pPr>
        <w:ind w:left="960" w:hanging="4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26" w:lineRule="exact"/>
        <w:rPr>
          <w:rFonts w:ascii="Arial" w:cs="Arial" w:eastAsia="Arial" w:hAnsi="Arial"/>
          <w:sz w:val="18"/>
          <w:szCs w:val="18"/>
          <w:color w:val="auto"/>
        </w:rPr>
      </w:pPr>
    </w:p>
    <w:p>
      <w:pPr>
        <w:jc w:val="both"/>
        <w:ind w:left="960" w:right="280" w:hanging="432"/>
        <w:spacing w:after="0" w:line="22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w:t>
      </w:r>
      <w:hyperlink r:id="rId6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which was filed with the SEC on April 26, 2019;</w:t>
      </w:r>
    </w:p>
    <w:p>
      <w:pPr>
        <w:spacing w:after="0" w:line="2" w:lineRule="exact"/>
        <w:rPr>
          <w:rFonts w:ascii="Arial" w:cs="Arial" w:eastAsia="Arial" w:hAnsi="Arial"/>
          <w:sz w:val="18"/>
          <w:szCs w:val="18"/>
          <w:color w:val="auto"/>
        </w:rPr>
      </w:pPr>
    </w:p>
    <w:p>
      <w:pPr>
        <w:ind w:left="960" w:hanging="432"/>
        <w:spacing w:after="0" w:line="230"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26" w:lineRule="exact"/>
        <w:rPr>
          <w:rFonts w:ascii="Arial" w:cs="Arial" w:eastAsia="Arial" w:hAnsi="Arial"/>
          <w:sz w:val="18"/>
          <w:szCs w:val="18"/>
          <w:color w:val="auto"/>
        </w:rPr>
      </w:pPr>
    </w:p>
    <w:p>
      <w:pPr>
        <w:ind w:left="960" w:right="80" w:hanging="432"/>
        <w:spacing w:after="0" w:line="223" w:lineRule="auto"/>
        <w:tabs>
          <w:tab w:leader="none" w:pos="960" w:val="left"/>
        </w:tabs>
        <w:numPr>
          <w:ilvl w:val="0"/>
          <w:numId w:val="63"/>
        </w:numPr>
        <w:rPr>
          <w:rFonts w:ascii="Arial" w:cs="Arial" w:eastAsia="Arial" w:hAnsi="Arial"/>
          <w:sz w:val="18"/>
          <w:szCs w:val="18"/>
          <w:color w:val="0000EE"/>
        </w:rPr>
      </w:pPr>
      <w:r>
        <w:rPr>
          <w:rFonts w:ascii="Arial" w:cs="Arial" w:eastAsia="Arial" w:hAnsi="Arial"/>
          <w:sz w:val="18"/>
          <w:szCs w:val="18"/>
          <w:color w:val="auto"/>
        </w:rPr>
        <w:t xml:space="preserve">our Current Report on Form 8-K filed with the SEC on </w:t>
      </w:r>
      <w:hyperlink r:id="rId66">
        <w:r>
          <w:rPr>
            <w:rFonts w:ascii="Arial" w:cs="Arial" w:eastAsia="Arial" w:hAnsi="Arial"/>
            <w:sz w:val="18"/>
            <w:szCs w:val="18"/>
            <w:u w:val="single" w:color="auto"/>
            <w:color w:val="0000EE"/>
          </w:rPr>
          <w:t>January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our Current Report on Form 8-K/A filed with the SEC on </w:t>
      </w:r>
      <w:hyperlink r:id="rId107">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r>
          <w:rPr>
            <w:rFonts w:ascii="Arial" w:cs="Arial" w:eastAsia="Arial" w:hAnsi="Arial"/>
            <w:sz w:val="18"/>
            <w:szCs w:val="18"/>
            <w:color w:val="000000"/>
          </w:rPr>
          <w:t>and our Current Reports on Form 8-K filed with the SEC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22, 2019, February 6, 2019, April 29,</w:t>
        </w:r>
      </w:hyperlink>
      <w:r>
        <w:rPr>
          <w:rFonts w:ascii="Arial" w:cs="Arial" w:eastAsia="Arial" w:hAnsi="Arial"/>
          <w:sz w:val="18"/>
          <w:szCs w:val="18"/>
          <w:color w:val="0000EE"/>
        </w:rPr>
        <w:t xml:space="preserve"> </w:t>
      </w:r>
      <w:hyperlink r:id="rId107">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 xml:space="preserve">June 12, 2019 </w:t>
        </w:r>
      </w:hyperlink>
      <w:hyperlink r:id="rId107">
        <w:r>
          <w:rPr>
            <w:rFonts w:ascii="Arial" w:cs="Arial" w:eastAsia="Arial" w:hAnsi="Arial"/>
            <w:sz w:val="18"/>
            <w:szCs w:val="18"/>
            <w:color w:val="000000"/>
          </w:rPr>
          <w:t>(in each case, except for information contained therein which is furnished rather than filed); and</w:t>
        </w:r>
      </w:hyperlink>
    </w:p>
    <w:p>
      <w:pPr>
        <w:spacing w:after="0" w:line="28" w:lineRule="exact"/>
        <w:rPr>
          <w:rFonts w:ascii="Arial" w:cs="Arial" w:eastAsia="Arial" w:hAnsi="Arial"/>
          <w:sz w:val="18"/>
          <w:szCs w:val="18"/>
          <w:color w:val="0000EE"/>
        </w:rPr>
      </w:pPr>
    </w:p>
    <w:p>
      <w:pPr>
        <w:ind w:left="960" w:right="220" w:hanging="432"/>
        <w:spacing w:after="0" w:line="218"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203" w:lineRule="exact"/>
        <w:rPr>
          <w:rFonts w:ascii="Arial" w:cs="Arial" w:eastAsia="Arial" w:hAnsi="Arial"/>
          <w:sz w:val="18"/>
          <w:szCs w:val="18"/>
          <w:color w:val="0000EE"/>
        </w:rPr>
      </w:pPr>
    </w:p>
    <w:p>
      <w:pPr>
        <w:ind w:left="200" w:right="80" w:firstLine="331"/>
        <w:spacing w:after="0" w:line="238"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203" w:lineRule="exact"/>
        <w:rPr>
          <w:rFonts w:ascii="Arial" w:cs="Arial" w:eastAsia="Arial" w:hAnsi="Arial"/>
          <w:sz w:val="18"/>
          <w:szCs w:val="18"/>
          <w:color w:val="0000EE"/>
        </w:rPr>
      </w:pPr>
    </w:p>
    <w:p>
      <w:pPr>
        <w:ind w:left="200" w:right="840" w:firstLine="331"/>
        <w:spacing w:after="0" w:line="246"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97" w:lineRule="exact"/>
        <w:rPr>
          <w:rFonts w:ascii="Arial" w:cs="Arial" w:eastAsia="Arial" w:hAnsi="Arial"/>
          <w:sz w:val="18"/>
          <w:szCs w:val="18"/>
          <w:color w:val="0000EE"/>
        </w:rPr>
      </w:pPr>
    </w:p>
    <w:p>
      <w:pPr>
        <w:ind w:left="200" w:firstLine="331"/>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0"/>
        <w:spacing w:after="0"/>
        <w:rPr>
          <w:sz w:val="20"/>
          <w:szCs w:val="20"/>
          <w:color w:val="auto"/>
        </w:rPr>
      </w:pPr>
      <w:r>
        <w:rPr>
          <w:rFonts w:ascii="Arial" w:cs="Arial" w:eastAsia="Arial" w:hAnsi="Arial"/>
          <w:sz w:val="32"/>
          <w:szCs w:val="32"/>
          <w:i w:val="1"/>
          <w:iCs w:val="1"/>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1090930</wp:posOffset>
            </wp:positionV>
            <wp:extent cx="2229485" cy="531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22948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60"/>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32"/>
          <w:szCs w:val="32"/>
          <w:i w:val="1"/>
          <w:iCs w:val="1"/>
          <w:color w:val="auto"/>
        </w:rPr>
        <w:t>MORGAN STANLEY</w:t>
      </w:r>
    </w:p>
    <w:p>
      <w:pPr>
        <w:spacing w:after="0" w:line="105" w:lineRule="exact"/>
        <w:rPr>
          <w:sz w:val="20"/>
          <w:szCs w:val="20"/>
          <w:color w:val="auto"/>
        </w:rPr>
      </w:pPr>
    </w:p>
    <w:p>
      <w:pPr>
        <w:ind w:left="5140"/>
        <w:spacing w:after="0"/>
        <w:rPr>
          <w:sz w:val="20"/>
          <w:szCs w:val="20"/>
          <w:color w:val="auto"/>
        </w:rPr>
      </w:pPr>
      <w:r>
        <w:rPr>
          <w:rFonts w:ascii="Arial" w:cs="Arial" w:eastAsia="Arial" w:hAnsi="Arial"/>
          <w:sz w:val="32"/>
          <w:szCs w:val="32"/>
          <w:i w:val="1"/>
          <w:iCs w:val="1"/>
          <w:color w:val="auto"/>
        </w:rPr>
        <w:t>COWEN</w:t>
      </w:r>
    </w:p>
    <w:p>
      <w:pPr>
        <w:spacing w:after="0" w:line="25" w:lineRule="exact"/>
        <w:rPr>
          <w:sz w:val="20"/>
          <w:szCs w:val="20"/>
          <w:color w:val="auto"/>
        </w:rPr>
      </w:pPr>
    </w:p>
    <w:p>
      <w:pPr>
        <w:jc w:val="center"/>
        <w:ind w:right="-1220"/>
        <w:spacing w:after="0"/>
        <w:rPr>
          <w:sz w:val="20"/>
          <w:szCs w:val="20"/>
          <w:color w:val="auto"/>
        </w:rPr>
      </w:pPr>
      <w:r>
        <w:rPr>
          <w:rFonts w:ascii="Arial" w:cs="Arial" w:eastAsia="Arial" w:hAnsi="Arial"/>
          <w:sz w:val="29"/>
          <w:szCs w:val="29"/>
          <w:i w:val="1"/>
          <w:iCs w:val="1"/>
          <w:color w:val="auto"/>
        </w:rPr>
        <w:t>WELLS FARGO SECURITIES</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30"/>
          <w:szCs w:val="30"/>
          <w:i w:val="1"/>
          <w:iCs w:val="1"/>
          <w:color w:val="auto"/>
        </w:rPr>
        <w:t>GUGGENHEIM SECURITIES</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WEDBUSH PACGROW</w:t>
      </w:r>
    </w:p>
    <w:p>
      <w:pPr>
        <w:jc w:val="center"/>
        <w:ind w:right="-1220"/>
        <w:spacing w:after="0"/>
        <w:rPr>
          <w:sz w:val="20"/>
          <w:szCs w:val="20"/>
          <w:color w:val="auto"/>
        </w:rPr>
      </w:pPr>
      <w:r>
        <w:rPr>
          <w:rFonts w:ascii="Arial" w:cs="Arial" w:eastAsia="Arial" w:hAnsi="Arial"/>
          <w:sz w:val="32"/>
          <w:szCs w:val="32"/>
          <w:i w:val="1"/>
          <w:i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July 16, 2019</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lowerRoman"/>
      <w:start w:val="3"/>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2"/>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lvl w:ilvl="1">
      <w:lvlJc w:val="left"/>
      <w:lvlText w:val="(%2)"/>
      <w:numFmt w:val="lowerLetter"/>
      <w:start w:val="2"/>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3"/>
    </w:lvl>
    <w:lvl w:ilvl="1">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jpeg"/><Relationship Id="rId63" Type="http://schemas.openxmlformats.org/officeDocument/2006/relationships/hyperlink" Target="http://www.sec.gov/Archives/edgar/data/1681087/000119312519085321/d677215d10k.htm" TargetMode="External"/><Relationship Id="rId64" Type="http://schemas.openxmlformats.org/officeDocument/2006/relationships/hyperlink" Target="http://www.sec.gov/Archives/edgar/data/1681087/000119312519120864/d677210ddef14a.htm" TargetMode="External"/><Relationship Id="rId65" Type="http://schemas.openxmlformats.org/officeDocument/2006/relationships/hyperlink" Target="http://www.sec.gov/Archives/edgar/data/1681087/000119312519145337/d704561d10q.htm" TargetMode="External"/><Relationship Id="rId66" Type="http://schemas.openxmlformats.org/officeDocument/2006/relationships/hyperlink" Target="http://www.sec.gov/Archives/edgar/data/1681087/000119312519003876/d667521d8k.htm" TargetMode="External"/><Relationship Id="rId67" Type="http://schemas.openxmlformats.org/officeDocument/2006/relationships/hyperlink" Target="http://www.sec.gov/Archives/edgar/data/1681087/000119312519170745/d766114d8k.htm" TargetMode="External"/><Relationship Id="rId68" Type="http://schemas.openxmlformats.org/officeDocument/2006/relationships/hyperlink" Target="http://www.sec.gov/Archives/edgar/data/1681087/000119312519193574/d753129d8k.htm" TargetMode="External"/><Relationship Id="rId69" Type="http://schemas.openxmlformats.org/officeDocument/2006/relationships/hyperlink" Target="http://www.sec.gov/Archives/edgar/data/1681087/000119312518195637/d562006d8a12b.htm" TargetMode="External"/><Relationship Id="rId107" Type="http://schemas.openxmlformats.org/officeDocument/2006/relationships/hyperlink" Target="http://www.sec.gov/Archives/edgar/data/1681087/000119312519123672/d66805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2019-12-01T00:02:47Z</dcterms:created>
  <dcterms:modified xsi:type="dcterms:W3CDTF">2019-12-01T00:02:47Z</dcterms:modified>
</cp:coreProperties>
</file>