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Donenberg Phillip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AVROBIO,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TECHNOLOGY SQUARE,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AVROBIO, Inc.</w:t>
              </w:r>
            </w:hyperlink>
            <w:r>
              <w:rPr/>
              <w:t xml:space="preserve"> [ </w:t>
            </w:r>
            <w:r>
              <w:rPr>
                <w:rFonts w:ascii="Times;serif" w:hAnsi="Times;serif"/>
                <w:color w:val="0000FF"/>
                <w:sz w:val="24"/>
                <w:shd w:fill="FFFFFF" w:val="clear"/>
              </w:rPr>
              <w:t>AVRO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06/06/2023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17,643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17,643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shall vest in full upon the earlier of June 6, 2024 or the date of the Issuer's 2024 Annual Meeting of Stockholders, subject to the reporting person's continued service as a director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N. Avruch, Attorney-in-Fact for Phillip B. Donenberg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38120" TargetMode="External"/><Relationship Id="rId4" Type="http://schemas.openxmlformats.org/officeDocument/2006/relationships/hyperlink" Target="http://www.sec.gov/cgi-bin/browse-edgar?action=getcompany&amp;CIK=000168108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3291</Characters>
  <CharactersWithSpaces>3835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