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64135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92710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 w:lineRule="exact"/>
        <w:rPr>
          <w:sz w:val="24"/>
          <w:szCs w:val="24"/>
          <w:color w:val="auto"/>
        </w:rPr>
      </w:pPr>
    </w:p>
    <w:p>
      <w:pPr>
        <w:ind w:left="3660" w:right="1580" w:hanging="3652"/>
        <w:spacing w:after="0" w:line="360" w:lineRule="auto"/>
        <w:tabs>
          <w:tab w:leader="none" w:pos="511"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-375920</wp:posOffset>
            </wp:positionV>
            <wp:extent cx="86995" cy="88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210"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-104140</wp:posOffset>
            </wp:positionV>
            <wp:extent cx="86995" cy="882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43" w:lineRule="exact"/>
        <w:rPr>
          <w:sz w:val="24"/>
          <w:szCs w:val="24"/>
          <w:color w:val="auto"/>
        </w:rPr>
      </w:pPr>
    </w:p>
    <w:tbl>
      <w:tblPr>
        <w:tblLayout w:type="fixed"/>
        <w:tblInd w:w="3600" w:type="dxa"/>
        <w:tblCellMar>
          <w:top w:w="0" w:type="dxa"/>
          <w:left w:w="0" w:type="dxa"/>
          <w:bottom w:w="0" w:type="dxa"/>
          <w:right w:w="0" w:type="dxa"/>
        </w:tblCellMar>
      </w:tblPr>
      <w:tr>
        <w:trPr>
          <w:trHeight w:val="207"/>
        </w:trPr>
        <w:tc>
          <w:tcPr>
            <w:tcW w:w="2360" w:type="dxa"/>
            <w:vAlign w:val="bottom"/>
          </w:tcPr>
          <w:p>
            <w:pPr>
              <w:spacing w:after="0"/>
              <w:rPr>
                <w:sz w:val="20"/>
                <w:szCs w:val="20"/>
                <w:color w:val="auto"/>
              </w:rPr>
            </w:pPr>
            <w:r>
              <w:rPr>
                <w:rFonts w:ascii="Arial" w:cs="Arial" w:eastAsia="Arial" w:hAnsi="Arial"/>
                <w:sz w:val="18"/>
                <w:szCs w:val="18"/>
                <w:b w:val="1"/>
                <w:bCs w:val="1"/>
                <w:color w:val="auto"/>
                <w:w w:val="92"/>
              </w:rPr>
              <w:t>For the transition period from</w:t>
            </w:r>
          </w:p>
        </w:tc>
        <w:tc>
          <w:tcPr>
            <w:tcW w:w="720" w:type="dxa"/>
            <w:vAlign w:val="bottom"/>
            <w:tcBorders>
              <w:bottom w:val="single" w:sz="8" w:color="auto"/>
            </w:tcBorders>
          </w:tcPr>
          <w:p>
            <w:pPr>
              <w:spacing w:after="0"/>
              <w:rPr>
                <w:sz w:val="17"/>
                <w:szCs w:val="17"/>
                <w:color w:val="auto"/>
              </w:rPr>
            </w:pPr>
          </w:p>
        </w:tc>
        <w:tc>
          <w:tcPr>
            <w:tcW w:w="240" w:type="dxa"/>
            <w:vAlign w:val="bottom"/>
          </w:tcPr>
          <w:p>
            <w:pPr>
              <w:ind w:left="60"/>
              <w:spacing w:after="0"/>
              <w:rPr>
                <w:sz w:val="20"/>
                <w:szCs w:val="20"/>
                <w:color w:val="auto"/>
              </w:rPr>
            </w:pPr>
            <w:r>
              <w:rPr>
                <w:rFonts w:ascii="Arial" w:cs="Arial" w:eastAsia="Arial" w:hAnsi="Arial"/>
                <w:sz w:val="18"/>
                <w:szCs w:val="18"/>
                <w:b w:val="1"/>
                <w:bCs w:val="1"/>
                <w:color w:val="auto"/>
                <w:w w:val="93"/>
              </w:rPr>
              <w:t>to</w:t>
            </w:r>
          </w:p>
        </w:tc>
        <w:tc>
          <w:tcPr>
            <w:tcW w:w="720" w:type="dxa"/>
            <w:vAlign w:val="bottom"/>
            <w:tcBorders>
              <w:bottom w:val="single" w:sz="8" w:color="auto"/>
            </w:tcBorders>
          </w:tcPr>
          <w:p>
            <w:pPr>
              <w:spacing w:after="0"/>
              <w:rPr>
                <w:sz w:val="17"/>
                <w:szCs w:val="17"/>
                <w:color w:val="auto"/>
              </w:rPr>
            </w:pPr>
          </w:p>
        </w:tc>
      </w:tr>
      <w:tr>
        <w:trPr>
          <w:trHeight w:val="318"/>
        </w:trPr>
        <w:tc>
          <w:tcPr>
            <w:tcW w:w="4040" w:type="dxa"/>
            <w:vAlign w:val="bottom"/>
            <w:gridSpan w:val="4"/>
          </w:tcPr>
          <w:p>
            <w:pPr>
              <w:ind w:left="600"/>
              <w:spacing w:after="0"/>
              <w:rPr>
                <w:sz w:val="20"/>
                <w:szCs w:val="20"/>
                <w:color w:val="auto"/>
              </w:rPr>
            </w:pPr>
            <w:r>
              <w:rPr>
                <w:rFonts w:ascii="Arial" w:cs="Arial" w:eastAsia="Arial" w:hAnsi="Arial"/>
                <w:sz w:val="18"/>
                <w:szCs w:val="18"/>
                <w:b w:val="1"/>
                <w:bCs w:val="1"/>
                <w:color w:val="auto"/>
              </w:rPr>
              <w:t>Commission File Number: 001-38537</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248285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AVROBIO,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2" w:lineRule="exact"/>
        <w:rPr>
          <w:sz w:val="24"/>
          <w:szCs w:val="24"/>
          <w:color w:val="auto"/>
        </w:rPr>
      </w:pPr>
    </w:p>
    <w:tbl>
      <w:tblPr>
        <w:tblLayout w:type="fixed"/>
        <w:tblInd w:w="1600" w:type="dxa"/>
        <w:tblCellMar>
          <w:top w:w="0" w:type="dxa"/>
          <w:left w:w="0" w:type="dxa"/>
          <w:bottom w:w="0" w:type="dxa"/>
          <w:right w:w="0" w:type="dxa"/>
        </w:tblCellMar>
      </w:tblPr>
      <w:tr>
        <w:trPr>
          <w:trHeight w:val="212"/>
        </w:trPr>
        <w:tc>
          <w:tcPr>
            <w:tcW w:w="4340" w:type="dxa"/>
            <w:vAlign w:val="bottom"/>
          </w:tcPr>
          <w:p>
            <w:pPr>
              <w:jc w:val="center"/>
              <w:ind w:right="1898"/>
              <w:spacing w:after="0"/>
              <w:rPr>
                <w:sz w:val="20"/>
                <w:szCs w:val="20"/>
                <w:color w:val="auto"/>
              </w:rPr>
            </w:pPr>
            <w:r>
              <w:rPr>
                <w:rFonts w:ascii="Arial" w:cs="Arial" w:eastAsia="Arial" w:hAnsi="Arial"/>
                <w:sz w:val="18"/>
                <w:szCs w:val="18"/>
                <w:b w:val="1"/>
                <w:bCs w:val="1"/>
                <w:color w:val="auto"/>
                <w:w w:val="91"/>
              </w:rPr>
              <w:t>Delaware</w:t>
            </w:r>
          </w:p>
        </w:tc>
        <w:tc>
          <w:tcPr>
            <w:tcW w:w="3080" w:type="dxa"/>
            <w:vAlign w:val="bottom"/>
          </w:tcPr>
          <w:p>
            <w:pPr>
              <w:jc w:val="right"/>
              <w:ind w:right="61"/>
              <w:spacing w:after="0"/>
              <w:rPr>
                <w:sz w:val="20"/>
                <w:szCs w:val="20"/>
                <w:color w:val="auto"/>
              </w:rPr>
            </w:pPr>
            <w:r>
              <w:rPr>
                <w:rFonts w:ascii="Arial" w:cs="Arial" w:eastAsia="Arial" w:hAnsi="Arial"/>
                <w:sz w:val="18"/>
                <w:szCs w:val="18"/>
                <w:b w:val="1"/>
                <w:bCs w:val="1"/>
                <w:color w:val="auto"/>
              </w:rPr>
              <w:t>81-0710585</w:t>
            </w:r>
          </w:p>
        </w:tc>
      </w:tr>
      <w:tr>
        <w:trPr>
          <w:trHeight w:val="148"/>
        </w:trPr>
        <w:tc>
          <w:tcPr>
            <w:tcW w:w="4340" w:type="dxa"/>
            <w:vAlign w:val="bottom"/>
          </w:tcPr>
          <w:p>
            <w:pPr>
              <w:jc w:val="center"/>
              <w:ind w:right="1898"/>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080" w:type="dxa"/>
            <w:vAlign w:val="bottom"/>
          </w:tcPr>
          <w:p>
            <w:pPr>
              <w:jc w:val="center"/>
              <w:ind w:left="188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340" w:type="dxa"/>
            <w:vAlign w:val="bottom"/>
          </w:tcPr>
          <w:p>
            <w:pPr>
              <w:jc w:val="center"/>
              <w:ind w:right="1898"/>
              <w:spacing w:after="0"/>
              <w:rPr>
                <w:sz w:val="20"/>
                <w:szCs w:val="20"/>
                <w:color w:val="auto"/>
              </w:rPr>
            </w:pPr>
            <w:r>
              <w:rPr>
                <w:rFonts w:ascii="Arial" w:cs="Arial" w:eastAsia="Arial" w:hAnsi="Arial"/>
                <w:sz w:val="14"/>
                <w:szCs w:val="14"/>
                <w:b w:val="1"/>
                <w:bCs w:val="1"/>
                <w:color w:val="auto"/>
                <w:w w:val="94"/>
              </w:rPr>
              <w:t>incorporation or organization)</w:t>
            </w:r>
          </w:p>
        </w:tc>
        <w:tc>
          <w:tcPr>
            <w:tcW w:w="3080" w:type="dxa"/>
            <w:vAlign w:val="bottom"/>
          </w:tcPr>
          <w:p>
            <w:pPr>
              <w:jc w:val="center"/>
              <w:ind w:left="1861"/>
              <w:spacing w:after="0"/>
              <w:rPr>
                <w:sz w:val="20"/>
                <w:szCs w:val="20"/>
                <w:color w:val="auto"/>
              </w:rPr>
            </w:pPr>
            <w:r>
              <w:rPr>
                <w:rFonts w:ascii="Arial" w:cs="Arial" w:eastAsia="Arial" w:hAnsi="Arial"/>
                <w:sz w:val="14"/>
                <w:szCs w:val="14"/>
                <w:b w:val="1"/>
                <w:bCs w:val="1"/>
                <w:color w:val="auto"/>
                <w:w w:val="96"/>
              </w:rPr>
              <w:t>Identification No.)</w:t>
            </w:r>
          </w:p>
        </w:tc>
      </w:tr>
      <w:tr>
        <w:trPr>
          <w:trHeight w:val="264"/>
        </w:trPr>
        <w:tc>
          <w:tcPr>
            <w:tcW w:w="4340" w:type="dxa"/>
            <w:vAlign w:val="bottom"/>
          </w:tcPr>
          <w:p>
            <w:pPr>
              <w:jc w:val="center"/>
              <w:ind w:right="1898"/>
              <w:spacing w:after="0"/>
              <w:rPr>
                <w:sz w:val="20"/>
                <w:szCs w:val="20"/>
                <w:color w:val="auto"/>
              </w:rPr>
            </w:pPr>
            <w:r>
              <w:rPr>
                <w:rFonts w:ascii="Arial" w:cs="Arial" w:eastAsia="Arial" w:hAnsi="Arial"/>
                <w:sz w:val="18"/>
                <w:szCs w:val="18"/>
                <w:b w:val="1"/>
                <w:bCs w:val="1"/>
                <w:color w:val="auto"/>
                <w:w w:val="91"/>
              </w:rPr>
              <w:t>One Kendall Square</w:t>
            </w:r>
          </w:p>
        </w:tc>
        <w:tc>
          <w:tcPr>
            <w:tcW w:w="3080" w:type="dxa"/>
            <w:vAlign w:val="bottom"/>
          </w:tcPr>
          <w:p>
            <w:pPr>
              <w:spacing w:after="0"/>
              <w:rPr>
                <w:sz w:val="22"/>
                <w:szCs w:val="22"/>
                <w:color w:val="auto"/>
              </w:rPr>
            </w:pPr>
          </w:p>
        </w:tc>
      </w:tr>
      <w:tr>
        <w:trPr>
          <w:trHeight w:val="216"/>
        </w:trPr>
        <w:tc>
          <w:tcPr>
            <w:tcW w:w="4340" w:type="dxa"/>
            <w:vAlign w:val="bottom"/>
          </w:tcPr>
          <w:p>
            <w:pPr>
              <w:jc w:val="center"/>
              <w:ind w:right="1898"/>
              <w:spacing w:after="0"/>
              <w:rPr>
                <w:sz w:val="20"/>
                <w:szCs w:val="20"/>
                <w:color w:val="auto"/>
              </w:rPr>
            </w:pPr>
            <w:r>
              <w:rPr>
                <w:rFonts w:ascii="Arial" w:cs="Arial" w:eastAsia="Arial" w:hAnsi="Arial"/>
                <w:sz w:val="18"/>
                <w:szCs w:val="18"/>
                <w:b w:val="1"/>
                <w:bCs w:val="1"/>
                <w:color w:val="auto"/>
                <w:w w:val="89"/>
              </w:rPr>
              <w:t>Building 300, Suite 201</w:t>
            </w:r>
          </w:p>
        </w:tc>
        <w:tc>
          <w:tcPr>
            <w:tcW w:w="3080" w:type="dxa"/>
            <w:vAlign w:val="bottom"/>
          </w:tcPr>
          <w:p>
            <w:pPr>
              <w:jc w:val="right"/>
              <w:ind w:right="261"/>
              <w:spacing w:after="0"/>
              <w:rPr>
                <w:sz w:val="20"/>
                <w:szCs w:val="20"/>
                <w:color w:val="auto"/>
              </w:rPr>
            </w:pPr>
            <w:r>
              <w:rPr>
                <w:rFonts w:ascii="Arial" w:cs="Arial" w:eastAsia="Arial" w:hAnsi="Arial"/>
                <w:sz w:val="18"/>
                <w:szCs w:val="18"/>
                <w:b w:val="1"/>
                <w:bCs w:val="1"/>
                <w:color w:val="auto"/>
              </w:rPr>
              <w:t>02139</w:t>
            </w:r>
          </w:p>
        </w:tc>
      </w:tr>
      <w:tr>
        <w:trPr>
          <w:trHeight w:val="212"/>
        </w:trPr>
        <w:tc>
          <w:tcPr>
            <w:tcW w:w="4340" w:type="dxa"/>
            <w:vAlign w:val="bottom"/>
          </w:tcPr>
          <w:p>
            <w:pPr>
              <w:jc w:val="center"/>
              <w:ind w:right="1878"/>
              <w:spacing w:after="0"/>
              <w:rPr>
                <w:sz w:val="20"/>
                <w:szCs w:val="20"/>
                <w:color w:val="auto"/>
              </w:rPr>
            </w:pPr>
            <w:r>
              <w:rPr>
                <w:rFonts w:ascii="Arial" w:cs="Arial" w:eastAsia="Arial" w:hAnsi="Arial"/>
                <w:sz w:val="18"/>
                <w:szCs w:val="18"/>
                <w:b w:val="1"/>
                <w:bCs w:val="1"/>
                <w:color w:val="auto"/>
                <w:w w:val="95"/>
              </w:rPr>
              <w:t>Cambridge, MA</w:t>
            </w:r>
          </w:p>
        </w:tc>
        <w:tc>
          <w:tcPr>
            <w:tcW w:w="3080" w:type="dxa"/>
            <w:vAlign w:val="bottom"/>
          </w:tcPr>
          <w:p>
            <w:pPr>
              <w:spacing w:after="0"/>
              <w:rPr>
                <w:sz w:val="18"/>
                <w:szCs w:val="18"/>
                <w:color w:val="auto"/>
              </w:rPr>
            </w:pPr>
          </w:p>
        </w:tc>
      </w:tr>
      <w:tr>
        <w:trPr>
          <w:trHeight w:val="186"/>
        </w:trPr>
        <w:tc>
          <w:tcPr>
            <w:tcW w:w="4340" w:type="dxa"/>
            <w:vAlign w:val="bottom"/>
          </w:tcPr>
          <w:p>
            <w:pPr>
              <w:jc w:val="center"/>
              <w:ind w:right="187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080" w:type="dxa"/>
            <w:vAlign w:val="bottom"/>
          </w:tcPr>
          <w:p>
            <w:pPr>
              <w:jc w:val="center"/>
              <w:ind w:left="1861"/>
              <w:spacing w:after="0"/>
              <w:rPr>
                <w:sz w:val="20"/>
                <w:szCs w:val="20"/>
                <w:color w:val="auto"/>
              </w:rPr>
            </w:pPr>
            <w:r>
              <w:rPr>
                <w:rFonts w:ascii="Arial" w:cs="Arial" w:eastAsia="Arial" w:hAnsi="Arial"/>
                <w:sz w:val="14"/>
                <w:szCs w:val="14"/>
                <w:b w:val="1"/>
                <w:bCs w:val="1"/>
                <w:color w:val="auto"/>
                <w:w w:val="95"/>
              </w:rPr>
              <w:t>(Zip Code)</w:t>
            </w:r>
          </w:p>
        </w:tc>
      </w:tr>
    </w:tbl>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(617) 914-8420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40" w:type="dxa"/>
            <w:vAlign w:val="bottom"/>
            <w:vMerge w:val="restart"/>
          </w:tcPr>
          <w:p>
            <w:pPr>
              <w:spacing w:after="0"/>
              <w:rPr>
                <w:sz w:val="14"/>
                <w:szCs w:val="14"/>
                <w:color w:val="auto"/>
              </w:rPr>
            </w:pPr>
          </w:p>
        </w:tc>
        <w:tc>
          <w:tcPr>
            <w:tcW w:w="3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Trading</w:t>
            </w:r>
          </w:p>
        </w:tc>
        <w:tc>
          <w:tcPr>
            <w:tcW w:w="362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71"/>
        </w:trPr>
        <w:tc>
          <w:tcPr>
            <w:tcW w:w="4240" w:type="dxa"/>
            <w:vAlign w:val="bottom"/>
            <w:tcBorders>
              <w:bottom w:val="single" w:sz="8" w:color="auto"/>
            </w:tcBorders>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3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Symbol(s)</w:t>
            </w:r>
          </w:p>
        </w:tc>
        <w:tc>
          <w:tcPr>
            <w:tcW w:w="120" w:type="dxa"/>
            <w:vAlign w:val="bottom"/>
          </w:tcPr>
          <w:p>
            <w:pPr>
              <w:spacing w:after="0"/>
              <w:rPr>
                <w:sz w:val="14"/>
                <w:szCs w:val="14"/>
                <w:color w:val="auto"/>
              </w:rPr>
            </w:pPr>
          </w:p>
        </w:tc>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50"/>
        </w:trPr>
        <w:tc>
          <w:tcPr>
            <w:tcW w:w="43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Common Stock, $0.0001 par value per share</w:t>
            </w:r>
          </w:p>
        </w:tc>
        <w:tc>
          <w:tcPr>
            <w:tcW w:w="3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AVRO</w:t>
            </w:r>
          </w:p>
        </w:tc>
        <w:tc>
          <w:tcPr>
            <w:tcW w:w="3620" w:type="dxa"/>
            <w:vAlign w:val="bottom"/>
          </w:tcPr>
          <w:p>
            <w:pPr>
              <w:jc w:val="center"/>
              <w:spacing w:after="0"/>
              <w:rPr>
                <w:sz w:val="20"/>
                <w:szCs w:val="20"/>
                <w:color w:val="auto"/>
              </w:rPr>
            </w:pPr>
            <w:r>
              <w:rPr>
                <w:rFonts w:ascii="Arial" w:cs="Arial" w:eastAsia="Arial" w:hAnsi="Arial"/>
                <w:sz w:val="18"/>
                <w:szCs w:val="18"/>
                <w:b w:val="1"/>
                <w:bCs w:val="1"/>
                <w:color w:val="auto"/>
                <w:w w:val="91"/>
              </w:rPr>
              <w:t>Nasdaq Global Select Market</w:t>
            </w:r>
          </w:p>
        </w:tc>
        <w:tc>
          <w:tcPr>
            <w:tcW w:w="0" w:type="dxa"/>
            <w:vAlign w:val="bottom"/>
          </w:tcPr>
          <w:p>
            <w:pPr>
              <w:spacing w:after="0"/>
              <w:rPr>
                <w:sz w:val="1"/>
                <w:szCs w:val="1"/>
                <w:color w:val="auto"/>
              </w:rPr>
            </w:pPr>
          </w:p>
        </w:tc>
      </w:tr>
    </w:tbl>
    <w:p>
      <w:pPr>
        <w:spacing w:after="0" w:line="53" w:lineRule="exact"/>
        <w:rPr>
          <w:sz w:val="24"/>
          <w:szCs w:val="24"/>
          <w:color w:val="auto"/>
        </w:rPr>
      </w:pPr>
    </w:p>
    <w:p>
      <w:pPr>
        <w:ind w:right="30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ind w:right="36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ind w:right="4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66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380" w:type="dxa"/>
            <w:vAlign w:val="bottom"/>
          </w:tcPr>
          <w:p>
            <w:pPr>
              <w:ind w:left="3260"/>
              <w:spacing w:after="0"/>
              <w:rPr>
                <w:sz w:val="20"/>
                <w:szCs w:val="20"/>
                <w:color w:val="auto"/>
              </w:rPr>
            </w:pPr>
            <w:r>
              <w:rPr>
                <w:rFonts w:ascii="Arial" w:cs="Arial" w:eastAsia="Arial" w:hAnsi="Arial"/>
                <w:sz w:val="18"/>
                <w:szCs w:val="18"/>
                <w:color w:val="auto"/>
              </w:rPr>
              <w:t>Accelerated filer</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Non-accelerated filer</w:t>
            </w:r>
          </w:p>
        </w:tc>
        <w:tc>
          <w:tcPr>
            <w:tcW w:w="366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380" w:type="dxa"/>
            <w:vAlign w:val="bottom"/>
          </w:tcPr>
          <w:p>
            <w:pPr>
              <w:ind w:left="3260"/>
              <w:spacing w:after="0"/>
              <w:rPr>
                <w:sz w:val="20"/>
                <w:szCs w:val="20"/>
                <w:color w:val="auto"/>
              </w:rPr>
            </w:pPr>
            <w:r>
              <w:rPr>
                <w:rFonts w:ascii="Arial" w:cs="Arial" w:eastAsia="Arial" w:hAnsi="Arial"/>
                <w:sz w:val="18"/>
                <w:szCs w:val="18"/>
                <w:color w:val="auto"/>
                <w:w w:val="97"/>
              </w:rPr>
              <w:t>Smaller reporting company</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8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5380" w:type="dxa"/>
            <w:vAlign w:val="bottom"/>
          </w:tcPr>
          <w:p>
            <w:pPr>
              <w:ind w:left="3260"/>
              <w:spacing w:after="0"/>
              <w:rPr>
                <w:sz w:val="20"/>
                <w:szCs w:val="20"/>
                <w:color w:val="auto"/>
              </w:rPr>
            </w:pPr>
            <w:r>
              <w:rPr>
                <w:rFonts w:ascii="Arial" w:cs="Arial" w:eastAsia="Arial" w:hAnsi="Arial"/>
                <w:sz w:val="18"/>
                <w:szCs w:val="18"/>
                <w:color w:val="auto"/>
                <w:w w:val="98"/>
              </w:rPr>
              <w:t>Emerging growth company</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33"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 w:lineRule="exact"/>
        <w:rPr>
          <w:sz w:val="24"/>
          <w:szCs w:val="24"/>
          <w:color w:val="auto"/>
        </w:rPr>
      </w:pPr>
    </w:p>
    <w:p>
      <w:pPr>
        <w:ind w:right="1720"/>
        <w:spacing w:after="0" w:line="273"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October 30, 2020, the registrant had 36,450,950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497840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 w:name="page2"/>
    <w:bookmarkEnd w:id="1"/>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Item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Item 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Item 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Item 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Item 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Item 1A.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Item 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Item 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Item 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Item 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Item 6.</w:t>
      </w:r>
    </w:p>
    <w:p>
      <w:pPr>
        <w:spacing w:after="0" w:line="20" w:lineRule="exact"/>
        <w:rPr>
          <w:sz w:val="20"/>
          <w:szCs w:val="20"/>
          <w:color w:val="auto"/>
        </w:rPr>
      </w:pPr>
      <w:r>
        <w:rPr>
          <w:sz w:val="20"/>
          <w:szCs w:val="20"/>
          <w:color w:val="auto"/>
        </w:rPr>
        <w:br w:type="column"/>
      </w:r>
    </w:p>
    <w:p>
      <w:pPr>
        <w:jc w:val="center"/>
        <w:ind w:left="-319"/>
        <w:spacing w:after="0"/>
        <w:rPr>
          <w:sz w:val="20"/>
          <w:szCs w:val="20"/>
          <w:color w:val="auto"/>
        </w:rPr>
      </w:pPr>
      <w:r>
        <w:rPr>
          <w:rFonts w:ascii="Arial" w:cs="Arial" w:eastAsia="Arial" w:hAnsi="Arial"/>
          <w:sz w:val="18"/>
          <w:szCs w:val="18"/>
          <w:b w:val="1"/>
          <w:bCs w:val="1"/>
          <w:color w:val="auto"/>
        </w:rPr>
        <w:t>Table of Contents</w:t>
      </w:r>
    </w:p>
    <w:p>
      <w:pPr>
        <w:spacing w:after="0" w:line="387"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FINANCIAL INFORMATION</w:t>
        </w:r>
      </w:hyperlink>
    </w:p>
    <w:p>
      <w:pPr>
        <w:spacing w:after="0" w:line="27" w:lineRule="exact"/>
        <w:rPr>
          <w:sz w:val="20"/>
          <w:szCs w:val="20"/>
          <w:color w:val="auto"/>
        </w:rPr>
      </w:pPr>
    </w:p>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Condensed Consolidated Financial Statements (Unaudited)</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Balance Sheets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Statements of Operations and Comprehensive Loss</w:t>
        </w:r>
      </w:hyperlink>
    </w:p>
    <w:p>
      <w:pPr>
        <w:spacing w:after="0" w:line="33" w:lineRule="exact"/>
        <w:rPr>
          <w:sz w:val="20"/>
          <w:szCs w:val="20"/>
          <w:color w:val="auto"/>
        </w:rPr>
      </w:pPr>
    </w:p>
    <w:p>
      <w:pPr>
        <w:spacing w:after="0"/>
        <w:rPr>
          <w:rFonts w:ascii="Arial" w:cs="Arial" w:eastAsia="Arial" w:hAnsi="Arial"/>
          <w:sz w:val="18"/>
          <w:szCs w:val="18"/>
          <w:color w:val="0000EE"/>
        </w:rPr>
      </w:pPr>
      <w:hyperlink w:anchor="page9">
        <w:r>
          <w:rPr>
            <w:rFonts w:ascii="Arial" w:cs="Arial" w:eastAsia="Arial" w:hAnsi="Arial"/>
            <w:sz w:val="18"/>
            <w:szCs w:val="18"/>
            <w:u w:val="single" w:color="auto"/>
            <w:color w:val="0000EE"/>
          </w:rPr>
          <w:t>Statements o</w:t>
        </w:r>
        <w:r>
          <w:rPr>
            <w:rFonts w:ascii="Arial" w:cs="Arial" w:eastAsia="Arial" w:hAnsi="Arial"/>
            <w:sz w:val="21"/>
            <w:szCs w:val="21"/>
            <w:color w:val="0000EE"/>
          </w:rPr>
          <w:t>f</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Stockholders’ Equity</w:t>
        </w:r>
      </w:hyperlink>
    </w:p>
    <w:p>
      <w:pPr>
        <w:spacing w:after="0" w:line="1" w:lineRule="exact"/>
        <w:rPr>
          <w:sz w:val="20"/>
          <w:szCs w:val="20"/>
          <w:color w:val="auto"/>
        </w:rPr>
      </w:pPr>
    </w:p>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Statements of Cash Flows</w:t>
        </w:r>
      </w:hyperlink>
    </w:p>
    <w:p>
      <w:pPr>
        <w:spacing w:after="0" w:line="13" w:lineRule="exact"/>
        <w:rPr>
          <w:sz w:val="20"/>
          <w:szCs w:val="20"/>
          <w:color w:val="auto"/>
        </w:rPr>
      </w:pPr>
    </w:p>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Notes to Financial Statements</w:t>
        </w:r>
      </w:hyperlink>
    </w:p>
    <w:p>
      <w:pPr>
        <w:spacing w:after="0" w:line="23" w:lineRule="exact"/>
        <w:rPr>
          <w:sz w:val="20"/>
          <w:szCs w:val="20"/>
          <w:color w:val="auto"/>
        </w:rPr>
      </w:pPr>
    </w:p>
    <w:p>
      <w:pPr>
        <w:ind w:right="2680"/>
        <w:spacing w:after="0" w:line="266" w:lineRule="auto"/>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Management’s Discussion and Analysis of Financial Condition and Results of Operations</w:t>
        </w:r>
      </w:hyperlink>
      <w:r>
        <w:rPr>
          <w:rFonts w:ascii="Arial" w:cs="Arial" w:eastAsia="Arial" w:hAnsi="Arial"/>
          <w:sz w:val="18"/>
          <w:szCs w:val="18"/>
          <w:u w:val="single" w:color="auto"/>
          <w:color w:val="0000EE"/>
        </w:rPr>
        <w:t xml:space="preserve"> </w:t>
      </w:r>
      <w:hyperlink w:anchor="page33">
        <w:r>
          <w:rPr>
            <w:rFonts w:ascii="Arial" w:cs="Arial" w:eastAsia="Arial" w:hAnsi="Arial"/>
            <w:sz w:val="18"/>
            <w:szCs w:val="18"/>
            <w:u w:val="single" w:color="auto"/>
            <w:color w:val="0000EE"/>
          </w:rPr>
          <w:t>Quantitative and Qualitative Disclosures About Market Risk</w:t>
        </w:r>
      </w:hyperlink>
      <w:r>
        <w:rPr>
          <w:rFonts w:ascii="Arial" w:cs="Arial" w:eastAsia="Arial" w:hAnsi="Arial"/>
          <w:sz w:val="18"/>
          <w:szCs w:val="18"/>
          <w:u w:val="single" w:color="auto"/>
          <w:color w:val="0000EE"/>
        </w:rPr>
        <w:t xml:space="preserve"> </w:t>
      </w:r>
      <w:hyperlink w:anchor="page34">
        <w:r>
          <w:rPr>
            <w:rFonts w:ascii="Arial" w:cs="Arial" w:eastAsia="Arial" w:hAnsi="Arial"/>
            <w:sz w:val="18"/>
            <w:szCs w:val="18"/>
            <w:u w:val="single" w:color="auto"/>
            <w:color w:val="0000EE"/>
          </w:rPr>
          <w:t>Controls and Procedures</w:t>
        </w:r>
      </w:hyperlink>
    </w:p>
    <w:p>
      <w:pPr>
        <w:spacing w:after="0"/>
        <w:rPr>
          <w:rFonts w:ascii="Arial" w:cs="Arial" w:eastAsia="Arial" w:hAnsi="Arial"/>
          <w:sz w:val="18"/>
          <w:szCs w:val="18"/>
          <w:b w:val="1"/>
          <w:bCs w:val="1"/>
          <w:u w:val="single" w:color="auto"/>
          <w:color w:val="0000EE"/>
        </w:rPr>
      </w:pPr>
      <w:hyperlink w:anchor="page35">
        <w:r>
          <w:rPr>
            <w:rFonts w:ascii="Arial" w:cs="Arial" w:eastAsia="Arial" w:hAnsi="Arial"/>
            <w:sz w:val="18"/>
            <w:szCs w:val="18"/>
            <w:b w:val="1"/>
            <w:bCs w:val="1"/>
            <w:u w:val="single" w:color="auto"/>
            <w:color w:val="0000EE"/>
          </w:rPr>
          <w:t>OTHER INFORMATION</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Legal Proceedings</w:t>
        </w:r>
      </w:hyperlink>
    </w:p>
    <w:p>
      <w:pPr>
        <w:spacing w:after="0" w:line="23"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Risk Factors</w:t>
        </w:r>
      </w:hyperlink>
    </w:p>
    <w:p>
      <w:pPr>
        <w:spacing w:after="0" w:line="23"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Unregistered Sales of Equity Securities and Use of Proceeds</w:t>
        </w:r>
      </w:hyperlink>
    </w:p>
    <w:p>
      <w:pPr>
        <w:spacing w:after="0" w:line="23"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Defaults Upon Senior Securities</w:t>
        </w:r>
      </w:hyperlink>
    </w:p>
    <w:p>
      <w:pPr>
        <w:spacing w:after="0" w:line="23"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Mine Safety Disclosures</w:t>
        </w:r>
      </w:hyperlink>
    </w:p>
    <w:p>
      <w:pPr>
        <w:spacing w:after="0" w:line="23"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Other Information</w:t>
        </w:r>
      </w:hyperlink>
    </w:p>
    <w:p>
      <w:pPr>
        <w:spacing w:after="0" w:line="23"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Exhibits</w:t>
        </w:r>
      </w:hyperlink>
    </w:p>
    <w:p>
      <w:pPr>
        <w:spacing w:after="0" w:line="23"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Signatures</w:t>
        </w:r>
      </w:hyperlink>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313" w:lineRule="exact"/>
        <w:rPr>
          <w:rFonts w:ascii="Arial" w:cs="Arial" w:eastAsia="Arial" w:hAnsi="Arial"/>
          <w:sz w:val="18"/>
          <w:szCs w:val="18"/>
          <w:u w:val="single" w:color="auto"/>
          <w:color w:val="0000EE"/>
        </w:rPr>
      </w:pPr>
    </w:p>
    <w:p>
      <w:pPr>
        <w:jc w:val="center"/>
        <w:ind w:left="-319"/>
        <w:spacing w:after="0"/>
        <w:rPr>
          <w:sz w:val="20"/>
          <w:szCs w:val="20"/>
          <w:color w:val="auto"/>
        </w:rPr>
      </w:pPr>
      <w:r>
        <w:rPr>
          <w:rFonts w:ascii="Arial" w:cs="Arial" w:eastAsia="Arial" w:hAnsi="Arial"/>
          <w:sz w:val="18"/>
          <w:szCs w:val="18"/>
          <w:color w:val="auto"/>
        </w:rPr>
        <w:t>i</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-565785</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br w:type="column"/>
      </w:r>
    </w:p>
    <w:p>
      <w:pPr>
        <w:spacing w:after="0" w:line="200" w:lineRule="exact"/>
        <w:rPr>
          <w:rFonts w:ascii="Arial" w:cs="Arial" w:eastAsia="Arial" w:hAnsi="Arial"/>
          <w:sz w:val="18"/>
          <w:szCs w:val="18"/>
          <w:u w:val="single" w:color="auto"/>
          <w:color w:val="0000EE"/>
        </w:rPr>
      </w:pPr>
    </w:p>
    <w:p>
      <w:pPr>
        <w:spacing w:after="0" w:line="208"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4"/>
          <w:szCs w:val="14"/>
          <w:b w:val="1"/>
          <w:bCs w:val="1"/>
          <w:color w:val="auto"/>
        </w:rPr>
        <w:t>Page</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-174625</wp:posOffset>
            </wp:positionH>
            <wp:positionV relativeFrom="paragraph">
              <wp:posOffset>6350</wp:posOffset>
            </wp:positionV>
            <wp:extent cx="4800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80060" cy="8255"/>
                    </a:xfrm>
                    <a:prstGeom prst="rect">
                      <a:avLst/>
                    </a:prstGeom>
                    <a:noFill/>
                  </pic:spPr>
                </pic:pic>
              </a:graphicData>
            </a:graphic>
          </wp:anchor>
        </w:drawing>
      </w:r>
    </w:p>
    <w:p>
      <w:pPr>
        <w:spacing w:after="0" w:line="5"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8"/>
          <w:szCs w:val="18"/>
          <w:color w:val="auto"/>
        </w:rPr>
        <w:t>1</w:t>
      </w:r>
    </w:p>
    <w:p>
      <w:pPr>
        <w:spacing w:after="0" w:line="8"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8"/>
          <w:szCs w:val="18"/>
          <w:color w:val="auto"/>
        </w:rPr>
        <w:t>1</w:t>
      </w:r>
    </w:p>
    <w:p>
      <w:pPr>
        <w:spacing w:after="0" w:line="9"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8"/>
          <w:szCs w:val="18"/>
          <w:color w:val="auto"/>
        </w:rPr>
        <w:t>1</w:t>
      </w:r>
    </w:p>
    <w:p>
      <w:pPr>
        <w:spacing w:after="0" w:line="9"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8"/>
          <w:szCs w:val="18"/>
          <w:color w:val="auto"/>
        </w:rPr>
        <w:t>2</w:t>
      </w:r>
    </w:p>
    <w:p>
      <w:pPr>
        <w:spacing w:after="0" w:line="35"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8"/>
          <w:szCs w:val="18"/>
          <w:color w:val="auto"/>
        </w:rPr>
        <w:t>3</w:t>
      </w:r>
    </w:p>
    <w:p>
      <w:pPr>
        <w:spacing w:after="0" w:line="23"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8"/>
          <w:szCs w:val="18"/>
          <w:color w:val="auto"/>
        </w:rPr>
        <w:t>4</w:t>
      </w:r>
    </w:p>
    <w:p>
      <w:pPr>
        <w:spacing w:after="0" w:line="23"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8"/>
          <w:szCs w:val="18"/>
          <w:color w:val="auto"/>
        </w:rPr>
        <w:t>5</w:t>
      </w:r>
    </w:p>
    <w:p>
      <w:pPr>
        <w:spacing w:after="0" w:line="23"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8"/>
          <w:szCs w:val="18"/>
          <w:color w:val="auto"/>
        </w:rPr>
        <w:t>16</w:t>
      </w:r>
    </w:p>
    <w:p>
      <w:pPr>
        <w:spacing w:after="0" w:line="23" w:lineRule="exact"/>
        <w:rPr>
          <w:rFonts w:ascii="Arial" w:cs="Arial" w:eastAsia="Arial" w:hAnsi="Arial"/>
          <w:sz w:val="18"/>
          <w:szCs w:val="18"/>
          <w:u w:val="single" w:color="auto"/>
          <w:color w:val="0000EE"/>
        </w:rPr>
      </w:pPr>
    </w:p>
    <w:p>
      <w:pPr>
        <w:ind w:left="300"/>
        <w:spacing w:after="0"/>
        <w:rPr>
          <w:sz w:val="20"/>
          <w:szCs w:val="20"/>
          <w:color w:val="auto"/>
        </w:rPr>
      </w:pPr>
      <w:r>
        <w:rPr>
          <w:rFonts w:ascii="Arial" w:cs="Arial" w:eastAsia="Arial" w:hAnsi="Arial"/>
          <w:sz w:val="16"/>
          <w:szCs w:val="16"/>
          <w:color w:val="auto"/>
        </w:rPr>
        <w:t>27</w:t>
      </w:r>
    </w:p>
    <w:p>
      <w:pPr>
        <w:spacing w:after="0" w:line="46" w:lineRule="exact"/>
        <w:rPr>
          <w:rFonts w:ascii="Arial" w:cs="Arial" w:eastAsia="Arial" w:hAnsi="Arial"/>
          <w:sz w:val="18"/>
          <w:szCs w:val="18"/>
          <w:u w:val="single" w:color="auto"/>
          <w:color w:val="0000EE"/>
        </w:rPr>
      </w:pPr>
    </w:p>
    <w:p>
      <w:pPr>
        <w:ind w:left="300"/>
        <w:spacing w:after="0"/>
        <w:rPr>
          <w:sz w:val="20"/>
          <w:szCs w:val="20"/>
          <w:color w:val="auto"/>
        </w:rPr>
      </w:pPr>
      <w:r>
        <w:rPr>
          <w:rFonts w:ascii="Arial" w:cs="Arial" w:eastAsia="Arial" w:hAnsi="Arial"/>
          <w:sz w:val="16"/>
          <w:szCs w:val="16"/>
          <w:color w:val="auto"/>
        </w:rPr>
        <w:t>28</w:t>
      </w:r>
    </w:p>
    <w:p>
      <w:pPr>
        <w:spacing w:after="0" w:line="46" w:lineRule="exact"/>
        <w:rPr>
          <w:rFonts w:ascii="Arial" w:cs="Arial" w:eastAsia="Arial" w:hAnsi="Arial"/>
          <w:sz w:val="18"/>
          <w:szCs w:val="18"/>
          <w:u w:val="single" w:color="auto"/>
          <w:color w:val="0000EE"/>
        </w:rPr>
      </w:pPr>
    </w:p>
    <w:p>
      <w:pPr>
        <w:ind w:left="300"/>
        <w:spacing w:after="0"/>
        <w:rPr>
          <w:sz w:val="20"/>
          <w:szCs w:val="20"/>
          <w:color w:val="auto"/>
        </w:rPr>
      </w:pPr>
      <w:r>
        <w:rPr>
          <w:rFonts w:ascii="Arial" w:cs="Arial" w:eastAsia="Arial" w:hAnsi="Arial"/>
          <w:sz w:val="16"/>
          <w:szCs w:val="16"/>
          <w:color w:val="auto"/>
        </w:rPr>
        <w:t>29</w:t>
      </w:r>
    </w:p>
    <w:p>
      <w:pPr>
        <w:spacing w:after="0" w:line="46" w:lineRule="exact"/>
        <w:rPr>
          <w:rFonts w:ascii="Arial" w:cs="Arial" w:eastAsia="Arial" w:hAnsi="Arial"/>
          <w:sz w:val="18"/>
          <w:szCs w:val="18"/>
          <w:u w:val="single" w:color="auto"/>
          <w:color w:val="0000EE"/>
        </w:rPr>
      </w:pPr>
    </w:p>
    <w:p>
      <w:pPr>
        <w:ind w:left="300"/>
        <w:spacing w:after="0"/>
        <w:rPr>
          <w:sz w:val="20"/>
          <w:szCs w:val="20"/>
          <w:color w:val="auto"/>
        </w:rPr>
      </w:pPr>
      <w:r>
        <w:rPr>
          <w:rFonts w:ascii="Arial" w:cs="Arial" w:eastAsia="Arial" w:hAnsi="Arial"/>
          <w:sz w:val="16"/>
          <w:szCs w:val="16"/>
          <w:color w:val="auto"/>
        </w:rPr>
        <w:t>29</w:t>
      </w:r>
    </w:p>
    <w:p>
      <w:pPr>
        <w:spacing w:after="0" w:line="32" w:lineRule="exact"/>
        <w:rPr>
          <w:rFonts w:ascii="Arial" w:cs="Arial" w:eastAsia="Arial" w:hAnsi="Arial"/>
          <w:sz w:val="18"/>
          <w:szCs w:val="18"/>
          <w:u w:val="single" w:color="auto"/>
          <w:color w:val="0000EE"/>
        </w:rPr>
      </w:pPr>
    </w:p>
    <w:p>
      <w:pPr>
        <w:ind w:left="300"/>
        <w:spacing w:after="0"/>
        <w:rPr>
          <w:sz w:val="20"/>
          <w:szCs w:val="20"/>
          <w:color w:val="auto"/>
        </w:rPr>
      </w:pPr>
      <w:r>
        <w:rPr>
          <w:rFonts w:ascii="Arial" w:cs="Arial" w:eastAsia="Arial" w:hAnsi="Arial"/>
          <w:sz w:val="16"/>
          <w:szCs w:val="16"/>
          <w:color w:val="auto"/>
        </w:rPr>
        <w:t>29</w:t>
      </w:r>
    </w:p>
    <w:p>
      <w:pPr>
        <w:spacing w:after="0" w:line="46" w:lineRule="exact"/>
        <w:rPr>
          <w:rFonts w:ascii="Arial" w:cs="Arial" w:eastAsia="Arial" w:hAnsi="Arial"/>
          <w:sz w:val="18"/>
          <w:szCs w:val="18"/>
          <w:u w:val="single" w:color="auto"/>
          <w:color w:val="0000EE"/>
        </w:rPr>
      </w:pPr>
    </w:p>
    <w:p>
      <w:pPr>
        <w:ind w:left="300"/>
        <w:spacing w:after="0"/>
        <w:rPr>
          <w:sz w:val="20"/>
          <w:szCs w:val="20"/>
          <w:color w:val="auto"/>
        </w:rPr>
      </w:pPr>
      <w:r>
        <w:rPr>
          <w:rFonts w:ascii="Arial" w:cs="Arial" w:eastAsia="Arial" w:hAnsi="Arial"/>
          <w:sz w:val="16"/>
          <w:szCs w:val="16"/>
          <w:color w:val="auto"/>
        </w:rPr>
        <w:t>71</w:t>
      </w:r>
    </w:p>
    <w:p>
      <w:pPr>
        <w:spacing w:after="0" w:line="46" w:lineRule="exact"/>
        <w:rPr>
          <w:rFonts w:ascii="Arial" w:cs="Arial" w:eastAsia="Arial" w:hAnsi="Arial"/>
          <w:sz w:val="18"/>
          <w:szCs w:val="18"/>
          <w:u w:val="single" w:color="auto"/>
          <w:color w:val="0000EE"/>
        </w:rPr>
      </w:pPr>
    </w:p>
    <w:p>
      <w:pPr>
        <w:ind w:left="300"/>
        <w:spacing w:after="0"/>
        <w:rPr>
          <w:sz w:val="20"/>
          <w:szCs w:val="20"/>
          <w:color w:val="auto"/>
        </w:rPr>
      </w:pPr>
      <w:r>
        <w:rPr>
          <w:rFonts w:ascii="Arial" w:cs="Arial" w:eastAsia="Arial" w:hAnsi="Arial"/>
          <w:sz w:val="16"/>
          <w:szCs w:val="16"/>
          <w:color w:val="auto"/>
        </w:rPr>
        <w:t>71</w:t>
      </w:r>
    </w:p>
    <w:p>
      <w:pPr>
        <w:spacing w:after="0" w:line="46" w:lineRule="exact"/>
        <w:rPr>
          <w:rFonts w:ascii="Arial" w:cs="Arial" w:eastAsia="Arial" w:hAnsi="Arial"/>
          <w:sz w:val="18"/>
          <w:szCs w:val="18"/>
          <w:u w:val="single" w:color="auto"/>
          <w:color w:val="0000EE"/>
        </w:rPr>
      </w:pPr>
    </w:p>
    <w:p>
      <w:pPr>
        <w:ind w:left="300"/>
        <w:spacing w:after="0"/>
        <w:rPr>
          <w:sz w:val="20"/>
          <w:szCs w:val="20"/>
          <w:color w:val="auto"/>
        </w:rPr>
      </w:pPr>
      <w:r>
        <w:rPr>
          <w:rFonts w:ascii="Arial" w:cs="Arial" w:eastAsia="Arial" w:hAnsi="Arial"/>
          <w:sz w:val="16"/>
          <w:szCs w:val="16"/>
          <w:color w:val="auto"/>
        </w:rPr>
        <w:t>71</w:t>
      </w:r>
    </w:p>
    <w:p>
      <w:pPr>
        <w:spacing w:after="0" w:line="46" w:lineRule="exact"/>
        <w:rPr>
          <w:rFonts w:ascii="Arial" w:cs="Arial" w:eastAsia="Arial" w:hAnsi="Arial"/>
          <w:sz w:val="18"/>
          <w:szCs w:val="18"/>
          <w:u w:val="single" w:color="auto"/>
          <w:color w:val="0000EE"/>
        </w:rPr>
      </w:pPr>
    </w:p>
    <w:p>
      <w:pPr>
        <w:ind w:left="300"/>
        <w:spacing w:after="0"/>
        <w:rPr>
          <w:sz w:val="20"/>
          <w:szCs w:val="20"/>
          <w:color w:val="auto"/>
        </w:rPr>
      </w:pPr>
      <w:r>
        <w:rPr>
          <w:rFonts w:ascii="Arial" w:cs="Arial" w:eastAsia="Arial" w:hAnsi="Arial"/>
          <w:sz w:val="16"/>
          <w:szCs w:val="16"/>
          <w:color w:val="auto"/>
        </w:rPr>
        <w:t>71</w:t>
      </w:r>
    </w:p>
    <w:p>
      <w:pPr>
        <w:spacing w:after="0" w:line="46" w:lineRule="exact"/>
        <w:rPr>
          <w:rFonts w:ascii="Arial" w:cs="Arial" w:eastAsia="Arial" w:hAnsi="Arial"/>
          <w:sz w:val="18"/>
          <w:szCs w:val="18"/>
          <w:u w:val="single" w:color="auto"/>
          <w:color w:val="0000EE"/>
        </w:rPr>
      </w:pPr>
    </w:p>
    <w:p>
      <w:pPr>
        <w:ind w:left="300"/>
        <w:spacing w:after="0"/>
        <w:rPr>
          <w:sz w:val="20"/>
          <w:szCs w:val="20"/>
          <w:color w:val="auto"/>
        </w:rPr>
      </w:pPr>
      <w:r>
        <w:rPr>
          <w:rFonts w:ascii="Arial" w:cs="Arial" w:eastAsia="Arial" w:hAnsi="Arial"/>
          <w:sz w:val="16"/>
          <w:szCs w:val="16"/>
          <w:color w:val="auto"/>
        </w:rPr>
        <w:t>72</w:t>
      </w:r>
    </w:p>
    <w:p>
      <w:pPr>
        <w:spacing w:after="0" w:line="46" w:lineRule="exact"/>
        <w:rPr>
          <w:rFonts w:ascii="Arial" w:cs="Arial" w:eastAsia="Arial" w:hAnsi="Arial"/>
          <w:sz w:val="18"/>
          <w:szCs w:val="18"/>
          <w:u w:val="single" w:color="auto"/>
          <w:color w:val="0000EE"/>
        </w:rPr>
      </w:pPr>
    </w:p>
    <w:p>
      <w:pPr>
        <w:ind w:left="300"/>
        <w:spacing w:after="0"/>
        <w:rPr>
          <w:sz w:val="20"/>
          <w:szCs w:val="20"/>
          <w:color w:val="auto"/>
        </w:rPr>
      </w:pPr>
      <w:r>
        <w:rPr>
          <w:rFonts w:ascii="Arial" w:cs="Arial" w:eastAsia="Arial" w:hAnsi="Arial"/>
          <w:sz w:val="16"/>
          <w:szCs w:val="16"/>
          <w:color w:val="auto"/>
        </w:rPr>
        <w:t>73</w:t>
      </w:r>
    </w:p>
    <w:p>
      <w:pPr>
        <w:sectPr>
          <w:pgSz w:w="11900" w:h="16838" w:orient="portrait"/>
          <w:cols w:equalWidth="0" w:num="3">
            <w:col w:w="700" w:space="200"/>
            <w:col w:w="9140" w:space="720"/>
            <w:col w:w="480"/>
          </w:cols>
          <w:pgMar w:left="320" w:top="12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Summary of the Material Risks Associated with Our Business</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Our business is subject to numerous risks and uncertainties that you should be aware of in evaluating our business. These risks include, but are not limited to, the following:</w:t>
      </w:r>
    </w:p>
    <w:p>
      <w:pPr>
        <w:spacing w:after="0" w:line="76" w:lineRule="exact"/>
        <w:rPr>
          <w:sz w:val="20"/>
          <w:szCs w:val="20"/>
          <w:color w:val="auto"/>
        </w:rPr>
      </w:pPr>
    </w:p>
    <w:p>
      <w:pPr>
        <w:ind w:left="880" w:right="60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incurred net losses since inception. We expect to incur net losses for the foreseeable future and may never achieve or maintain profitability.</w:t>
      </w:r>
    </w:p>
    <w:p>
      <w:pPr>
        <w:spacing w:after="0" w:line="75" w:lineRule="exact"/>
        <w:rPr>
          <w:rFonts w:ascii="Arial" w:cs="Arial" w:eastAsia="Arial" w:hAnsi="Arial"/>
          <w:sz w:val="18"/>
          <w:szCs w:val="18"/>
          <w:color w:val="auto"/>
        </w:rPr>
      </w:pPr>
    </w:p>
    <w:p>
      <w:pPr>
        <w:ind w:left="88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will need additional funding, which may not be available on acceptable terms, or at all. Failure to obtain this necessary capital when needed may force us to delay, limit or terminate our product development efforts or other operations.</w:t>
      </w:r>
    </w:p>
    <w:p>
      <w:pPr>
        <w:spacing w:after="0" w:line="75" w:lineRule="exact"/>
        <w:rPr>
          <w:rFonts w:ascii="Arial" w:cs="Arial" w:eastAsia="Arial" w:hAnsi="Arial"/>
          <w:sz w:val="18"/>
          <w:szCs w:val="18"/>
          <w:color w:val="auto"/>
        </w:rPr>
      </w:pPr>
    </w:p>
    <w:p>
      <w:pPr>
        <w:ind w:left="880" w:right="460" w:hanging="373"/>
        <w:spacing w:after="0" w:line="308" w:lineRule="auto"/>
        <w:tabs>
          <w:tab w:leader="none" w:pos="880" w:val="left"/>
        </w:tabs>
        <w:numPr>
          <w:ilvl w:val="0"/>
          <w:numId w:val="3"/>
        </w:numPr>
        <w:rPr>
          <w:rFonts w:ascii="Arial" w:cs="Arial" w:eastAsia="Arial" w:hAnsi="Arial"/>
          <w:sz w:val="17"/>
          <w:szCs w:val="17"/>
          <w:color w:val="auto"/>
        </w:rPr>
      </w:pPr>
      <w:r>
        <w:rPr>
          <w:rFonts w:ascii="Arial" w:cs="Arial" w:eastAsia="Arial" w:hAnsi="Arial"/>
          <w:sz w:val="17"/>
          <w:szCs w:val="17"/>
          <w:color w:val="auto"/>
        </w:rPr>
        <w:t>Business interruptions resulting from the coronavirus disease (COVID-19) pandemic or similar public health crises have caused and may continue to cause a disruption of the development of our product candidates and adversely impact our business.</w:t>
      </w:r>
    </w:p>
    <w:p>
      <w:pPr>
        <w:spacing w:after="0" w:line="51" w:lineRule="exact"/>
        <w:rPr>
          <w:rFonts w:ascii="Arial" w:cs="Arial" w:eastAsia="Arial" w:hAnsi="Arial"/>
          <w:sz w:val="17"/>
          <w:szCs w:val="17"/>
          <w:color w:val="auto"/>
        </w:rPr>
      </w:pPr>
    </w:p>
    <w:p>
      <w:pPr>
        <w:ind w:left="880" w:right="18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lentiviral-based gene therapy product candidates are based on a novel technology, which makes it difficult to predict the time and cost of product candidate development and of subsequently obtaining regulatory approval.</w:t>
      </w:r>
    </w:p>
    <w:p>
      <w:pPr>
        <w:spacing w:after="0" w:line="75" w:lineRule="exact"/>
        <w:rPr>
          <w:rFonts w:ascii="Arial" w:cs="Arial" w:eastAsia="Arial" w:hAnsi="Arial"/>
          <w:sz w:val="18"/>
          <w:szCs w:val="18"/>
          <w:color w:val="auto"/>
        </w:rPr>
      </w:pPr>
    </w:p>
    <w:p>
      <w:pPr>
        <w:ind w:left="880" w:right="140" w:hanging="373"/>
        <w:spacing w:after="0" w:line="263"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product candidates and the process for administering our product candidates may cause undesirable side effects or have other properties that could delay or prevent their regulatory approval, limit their commercial potential or result in significant negative consequences following any potential marketing approval.</w:t>
      </w:r>
    </w:p>
    <w:p>
      <w:pPr>
        <w:spacing w:after="0" w:line="89"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Success in preclinical studies or early clinical trials may not be indicative of results obtained in later trials.</w:t>
      </w:r>
    </w:p>
    <w:p>
      <w:pPr>
        <w:spacing w:after="0" w:line="130" w:lineRule="exact"/>
        <w:rPr>
          <w:rFonts w:ascii="Arial" w:cs="Arial" w:eastAsia="Arial" w:hAnsi="Arial"/>
          <w:sz w:val="18"/>
          <w:szCs w:val="18"/>
          <w:color w:val="auto"/>
        </w:rPr>
      </w:pPr>
    </w:p>
    <w:p>
      <w:pPr>
        <w:ind w:left="880" w:right="48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find it difficult to enroll patients in our clinical trials, which could delay or prevent us from proceeding with clinical trials of our product candidates.</w:t>
      </w:r>
    </w:p>
    <w:p>
      <w:pPr>
        <w:spacing w:after="0" w:line="75" w:lineRule="exact"/>
        <w:rPr>
          <w:rFonts w:ascii="Arial" w:cs="Arial" w:eastAsia="Arial" w:hAnsi="Arial"/>
          <w:sz w:val="18"/>
          <w:szCs w:val="18"/>
          <w:color w:val="auto"/>
        </w:rPr>
      </w:pPr>
    </w:p>
    <w:p>
      <w:pPr>
        <w:ind w:left="880" w:right="32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encounter substantial delays in our clinical trials or we may fail to demonstrate safety and efficacy to the satisfaction of applicable regulatory authorities.</w:t>
      </w:r>
    </w:p>
    <w:p>
      <w:pPr>
        <w:spacing w:after="0" w:line="75" w:lineRule="exact"/>
        <w:rPr>
          <w:rFonts w:ascii="Arial" w:cs="Arial" w:eastAsia="Arial" w:hAnsi="Arial"/>
          <w:sz w:val="18"/>
          <w:szCs w:val="18"/>
          <w:color w:val="auto"/>
        </w:rPr>
      </w:pPr>
    </w:p>
    <w:p>
      <w:pPr>
        <w:ind w:left="880" w:right="74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Even if we complete the necessary preclinical and clinical studies, we cannot predict when or if we will obtain regulatory approval to commercialize a product candidate and the approval may be for a narrower indication than we seek.</w:t>
      </w:r>
    </w:p>
    <w:p>
      <w:pPr>
        <w:spacing w:after="0" w:line="75" w:lineRule="exact"/>
        <w:rPr>
          <w:rFonts w:ascii="Arial" w:cs="Arial" w:eastAsia="Arial" w:hAnsi="Arial"/>
          <w:sz w:val="18"/>
          <w:szCs w:val="18"/>
          <w:color w:val="auto"/>
        </w:rPr>
      </w:pPr>
    </w:p>
    <w:p>
      <w:pPr>
        <w:ind w:left="880" w:right="60" w:hanging="373"/>
        <w:spacing w:after="0" w:line="261" w:lineRule="auto"/>
        <w:tabs>
          <w:tab w:leader="none" w:pos="880" w:val="left"/>
        </w:tabs>
        <w:numPr>
          <w:ilvl w:val="0"/>
          <w:numId w:val="3"/>
        </w:numPr>
        <w:rPr>
          <w:rFonts w:ascii="Arial" w:cs="Arial" w:eastAsia="Arial" w:hAnsi="Arial"/>
          <w:sz w:val="21"/>
          <w:szCs w:val="21"/>
          <w:color w:val="auto"/>
        </w:rPr>
      </w:pPr>
      <w:r>
        <w:rPr>
          <w:rFonts w:ascii="Arial" w:cs="Arial" w:eastAsia="Arial" w:hAnsi="Arial"/>
          <w:sz w:val="17"/>
          <w:szCs w:val="17"/>
          <w:color w:val="auto"/>
        </w:rPr>
        <w:t>Only certain of our clinical trials, including the Phase 2 clinical trial of AVR-RD-01 for Fabry disease and the Phase 1/2 clinical trial of AVR-RD-02 for Gaucher disease, utilize our commercial-scale plato platform. While we have submitted and intend to continue to submit comparability studies to the FDA and other regulatory agencies, as needed, with respect to our implementation of our commercial-scale plato platform in these and future clinical trials sponsored by us, there can be no assurance that the FDA or other regulatory agencies will not in the future require us to conduct additional preclinical studies or clinical trials that could result in delays and additional costs in our development or commercialization programs for our product candidates, which could adversely affect our business.</w:t>
      </w:r>
    </w:p>
    <w:p>
      <w:pPr>
        <w:spacing w:after="0" w:line="92" w:lineRule="exact"/>
        <w:rPr>
          <w:rFonts w:ascii="Arial" w:cs="Arial" w:eastAsia="Arial" w:hAnsi="Arial"/>
          <w:sz w:val="21"/>
          <w:szCs w:val="21"/>
          <w:color w:val="auto"/>
        </w:rPr>
      </w:pPr>
    </w:p>
    <w:p>
      <w:pPr>
        <w:ind w:left="880" w:right="40" w:hanging="373"/>
        <w:spacing w:after="0" w:line="286" w:lineRule="auto"/>
        <w:tabs>
          <w:tab w:leader="none" w:pos="88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face significant competition in our industry and there can be no assurance that our product candidates, if approved, will achieve acceptance in the market over existing established therapies. In addition, our competitors may develop therapies that are more advanced or effective than ours, which may adversely affect our ability to successfully market or commercialize any of our product candidates.</w:t>
      </w:r>
    </w:p>
    <w:p>
      <w:pPr>
        <w:spacing w:after="0" w:line="70" w:lineRule="exact"/>
        <w:rPr>
          <w:rFonts w:ascii="Arial" w:cs="Arial" w:eastAsia="Arial" w:hAnsi="Arial"/>
          <w:sz w:val="17"/>
          <w:szCs w:val="17"/>
          <w:color w:val="auto"/>
        </w:rPr>
      </w:pPr>
    </w:p>
    <w:p>
      <w:pPr>
        <w:ind w:left="880" w:right="74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 therapies are novel, complex and difficult to manufacture. We could experience production problems that result in delays in our development or commercialization programs or otherwise adversely affect our business.</w:t>
      </w:r>
    </w:p>
    <w:p>
      <w:pPr>
        <w:spacing w:after="0" w:line="75" w:lineRule="exact"/>
        <w:rPr>
          <w:rFonts w:ascii="Arial" w:cs="Arial" w:eastAsia="Arial" w:hAnsi="Arial"/>
          <w:sz w:val="18"/>
          <w:szCs w:val="18"/>
          <w:color w:val="auto"/>
        </w:rPr>
      </w:pPr>
    </w:p>
    <w:p>
      <w:pPr>
        <w:ind w:left="880" w:right="50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expect to rely on third parties to conduct some or all aspects of our vector production, product manufacturing, protocol development, research and preclinical and clinical testing, and these third parties may not perform satisfactorily.</w:t>
      </w:r>
    </w:p>
    <w:p>
      <w:pPr>
        <w:spacing w:after="0" w:line="75"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dependent on a limited number of suppliers for some of our components and materials used in our product candidates.</w:t>
      </w:r>
    </w:p>
    <w:p>
      <w:pPr>
        <w:spacing w:after="0" w:line="130"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Third-party claims of intellectual property infringement may prevent or delay our development and commercialization efforts.</w:t>
      </w:r>
    </w:p>
    <w:p>
      <w:pPr>
        <w:spacing w:after="0" w:line="130" w:lineRule="exact"/>
        <w:rPr>
          <w:rFonts w:ascii="Arial" w:cs="Arial" w:eastAsia="Arial" w:hAnsi="Arial"/>
          <w:sz w:val="18"/>
          <w:szCs w:val="18"/>
          <w:color w:val="auto"/>
        </w:rPr>
      </w:pPr>
    </w:p>
    <w:p>
      <w:pPr>
        <w:ind w:left="880" w:right="220" w:hanging="373"/>
        <w:spacing w:after="0" w:line="259"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rights to develop and commercialize our product candidates are subject, in part, to the terms and conditions of licenses granted to us by others. In particular, we have in-licensed certain intellectual property rights and know-how relevant to AVR-RD-01 for our Fabry program, AVR-RD-02 for our Gaucher program and AVR-RD-05 for our Hunter program, but do not own or license any patents or patent applications covering these product candidates.</w:t>
      </w:r>
    </w:p>
    <w:p>
      <w:pPr>
        <w:spacing w:after="0" w:line="92" w:lineRule="exact"/>
        <w:rPr>
          <w:rFonts w:ascii="Arial" w:cs="Arial" w:eastAsia="Arial" w:hAnsi="Arial"/>
          <w:sz w:val="18"/>
          <w:szCs w:val="18"/>
          <w:color w:val="auto"/>
        </w:rPr>
      </w:pPr>
    </w:p>
    <w:p>
      <w:pPr>
        <w:jc w:val="both"/>
        <w:ind w:left="880" w:right="60" w:hanging="373"/>
        <w:spacing w:after="0" w:line="250" w:lineRule="auto"/>
        <w:tabs>
          <w:tab w:leader="none" w:pos="880" w:val="left"/>
        </w:tabs>
        <w:numPr>
          <w:ilvl w:val="0"/>
          <w:numId w:val="3"/>
        </w:numPr>
        <w:rPr>
          <w:rFonts w:ascii="Arial" w:cs="Arial" w:eastAsia="Arial" w:hAnsi="Arial"/>
          <w:sz w:val="20"/>
          <w:szCs w:val="20"/>
          <w:color w:val="auto"/>
        </w:rPr>
      </w:pPr>
      <w:r>
        <w:rPr>
          <w:rFonts w:ascii="Arial" w:cs="Arial" w:eastAsia="Arial" w:hAnsi="Arial"/>
          <w:sz w:val="18"/>
          <w:szCs w:val="18"/>
          <w:color w:val="auto"/>
        </w:rPr>
        <w:t>We and our independent registered public accounting firm have identified material weaknesses in our internal control over financial reporting. While we have taken numerous steps to address these material weaknesses and believe we have made progress toward remediating them, if we are unable to remedy these material weaknesses, or if we fail to establish and</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3" w:name="page4"/>
    <w:bookmarkEnd w:id="3"/>
    <w:p>
      <w:pPr>
        <w:ind w:left="880" w:right="380"/>
        <w:spacing w:after="0" w:line="342" w:lineRule="auto"/>
        <w:rPr>
          <w:sz w:val="20"/>
          <w:szCs w:val="20"/>
          <w:color w:val="auto"/>
        </w:rPr>
      </w:pPr>
      <w:r>
        <w:rPr>
          <w:rFonts w:ascii="Arial" w:cs="Arial" w:eastAsia="Arial" w:hAnsi="Arial"/>
          <w:sz w:val="16"/>
          <w:szCs w:val="16"/>
          <w:color w:val="auto"/>
        </w:rPr>
        <w:t>maintain effective internal controls, we may be unable to produce timely and accurate financial statements, and we may conclude that our internal control over financial reporting is not effective, which could adversely impact our investors’ confidence and our stock price.</w:t>
      </w:r>
    </w:p>
    <w:p>
      <w:pPr>
        <w:spacing w:after="0" w:line="124"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summary risk factors described above should be read together with the text of the full risk factors below, in the section entitled “Risk Factors” and the other information set forth in this Quarterly Report on Form 10-Q, including our consolidated financial statements and the related notes, as well as in other documents that we file with the Securities and Exchange Commission (the “SEC”). The risks summarized above or described in full below are not the only risks that we face. Additional risks and uncertainties not precisely known to us, or that we currently deem to be immaterial may also materially adversely affect our business, financial condition, results of operations and future growth prospects.</w:t>
      </w:r>
    </w:p>
    <w:p>
      <w:pPr>
        <w:spacing w:after="0" w:line="17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i w:val="1"/>
          <w:iCs w:val="1"/>
          <w:color w:val="auto"/>
        </w:rPr>
        <w:t>Note Regarding Forward-looking Statements</w:t>
      </w:r>
    </w:p>
    <w:p>
      <w:pPr>
        <w:spacing w:after="0" w:line="117"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This Quarterly Report on Form 10-Q contains forward-looking statements which are made pursuant to the safe harbor provisions of Section 27A of the Securities Act of 1933, as amended (the “Securities Act”), and Section 21E of the Securities Exchange Act of 1934, as amended (the “Exchange Act”). These statements may be identified by such forward-looking terminology as “aims,” “anticipates,” “believes,” “continue,” “could,” “designed to,” “estimates,” “expects,” “intends,” “may,” “plans,” “potential,” “predicts,” “strives,” “should,” or the negative of these terms or other comparable terminology. Our forward-looking statements are based on a series of expectations, assumptions, estimates and projections about our company, are not guarantees of future results or performance and involve substantial risks and uncertainty. We may not actually achieve the plans, intentions or expectations disclosed in our forward-looking statements. Actual results or events could differ materially from the plans, intentions and expectations disclosed in these forward-looking statements. Our business and our forward-looking statements involve substantial known and unknown risks and uncertainties, including the risks and uncertainties inherent in our statements regarding:</w:t>
      </w:r>
    </w:p>
    <w:p>
      <w:pPr>
        <w:spacing w:after="0" w:line="73" w:lineRule="exact"/>
        <w:rPr>
          <w:sz w:val="20"/>
          <w:szCs w:val="20"/>
          <w:color w:val="auto"/>
        </w:rPr>
      </w:pPr>
    </w:p>
    <w:p>
      <w:pPr>
        <w:ind w:left="880" w:right="80" w:hanging="373"/>
        <w:spacing w:after="0" w:line="263" w:lineRule="auto"/>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the COVID-19 pandemic on our clinical trial programs, clinical supply and business generally, as well as our plans and expectations with respect to the timing and resumption of any development activities that were or may be temporarily paused as a result of the COVID-19 pandemic;</w:t>
      </w:r>
    </w:p>
    <w:p>
      <w:pPr>
        <w:spacing w:after="0" w:line="75" w:lineRule="exact"/>
        <w:rPr>
          <w:rFonts w:ascii="Arial" w:cs="Arial" w:eastAsia="Arial" w:hAnsi="Arial"/>
          <w:sz w:val="18"/>
          <w:szCs w:val="18"/>
          <w:color w:val="auto"/>
        </w:rPr>
      </w:pPr>
    </w:p>
    <w:p>
      <w:pPr>
        <w:ind w:left="880" w:right="280" w:hanging="373"/>
        <w:spacing w:after="0" w:line="263" w:lineRule="auto"/>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timing, progress and results of preclinical studies and clinical trials for our programs and product candidates, including statements regarding the timing of initiation and completion of studies or trials and related preparatory work, the period during which the results of the trials will become available and our research and development programs;</w:t>
      </w:r>
    </w:p>
    <w:p>
      <w:pPr>
        <w:spacing w:after="0" w:line="75" w:lineRule="exact"/>
        <w:rPr>
          <w:rFonts w:ascii="Arial" w:cs="Arial" w:eastAsia="Arial" w:hAnsi="Arial"/>
          <w:sz w:val="18"/>
          <w:szCs w:val="18"/>
          <w:color w:val="auto"/>
        </w:rPr>
      </w:pPr>
    </w:p>
    <w:p>
      <w:pPr>
        <w:ind w:left="880" w:right="380" w:hanging="373"/>
        <w:spacing w:after="0" w:line="342" w:lineRule="auto"/>
        <w:tabs>
          <w:tab w:leader="none" w:pos="8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existence or absence of side effects or other properties relating to our product candidates which could delay or prevent their regulatory approval, limit their commercial potential, or result in significant negative consequences following any potential marketing approval;</w:t>
      </w:r>
    </w:p>
    <w:p>
      <w:pPr>
        <w:spacing w:after="0" w:line="15" w:lineRule="exact"/>
        <w:rPr>
          <w:rFonts w:ascii="Arial" w:cs="Arial" w:eastAsia="Arial" w:hAnsi="Arial"/>
          <w:sz w:val="16"/>
          <w:szCs w:val="16"/>
          <w:color w:val="auto"/>
        </w:rPr>
      </w:pPr>
    </w:p>
    <w:p>
      <w:pPr>
        <w:ind w:left="880" w:hanging="373"/>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durability of effects from our product candidates;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timing, scope or likelihood of regulatory filings and approvals;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develop and advance product candidates into, and successfully complete, clinical studies;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the size of the patient populations for our product candidates, if approved for commercial use;</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implementation of our business model and our strategic plans for our business, product candidates, technology and plato</w:t>
      </w:r>
      <w:r>
        <w:rPr>
          <w:rFonts w:ascii="Arial" w:cs="Arial" w:eastAsia="Arial" w:hAnsi="Arial"/>
          <w:sz w:val="14"/>
          <w:szCs w:val="14"/>
          <w:color w:val="auto"/>
        </w:rPr>
        <w:t>®</w:t>
      </w:r>
      <w:r>
        <w:rPr>
          <w:rFonts w:ascii="Arial" w:cs="Arial" w:eastAsia="Arial" w:hAnsi="Arial"/>
          <w:sz w:val="17"/>
          <w:szCs w:val="17"/>
          <w:color w:val="auto"/>
        </w:rPr>
        <w:t xml:space="preserve"> platform;</w:t>
      </w:r>
    </w:p>
    <w:p>
      <w:pPr>
        <w:spacing w:after="0" w:line="128" w:lineRule="exact"/>
        <w:rPr>
          <w:rFonts w:ascii="Arial" w:cs="Arial" w:eastAsia="Arial" w:hAnsi="Arial"/>
          <w:sz w:val="17"/>
          <w:szCs w:val="17"/>
          <w:color w:val="auto"/>
        </w:rPr>
      </w:pPr>
    </w:p>
    <w:p>
      <w:pPr>
        <w:ind w:left="880" w:hanging="373"/>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pricing and reimbursement of our product candidates, if approved;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scalability and commercial viability of our manufacturing methods and processes, including our move to a closed, automated system;</w:t>
      </w:r>
    </w:p>
    <w:p>
      <w:pPr>
        <w:spacing w:after="0" w:line="128" w:lineRule="exact"/>
        <w:rPr>
          <w:rFonts w:ascii="Arial" w:cs="Arial" w:eastAsia="Arial" w:hAnsi="Arial"/>
          <w:sz w:val="17"/>
          <w:szCs w:val="17"/>
          <w:color w:val="auto"/>
        </w:rPr>
      </w:pPr>
    </w:p>
    <w:p>
      <w:pPr>
        <w:ind w:left="880" w:hanging="373"/>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our product candidates, in particular, and gene therapy, in general;</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establish or maintain collaborations or strategic relationships or obtain additional funding;</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competitive position;</w:t>
      </w:r>
    </w:p>
    <w:p>
      <w:pPr>
        <w:spacing w:after="0" w:line="117" w:lineRule="exact"/>
        <w:rPr>
          <w:rFonts w:ascii="Arial" w:cs="Arial" w:eastAsia="Arial" w:hAnsi="Arial"/>
          <w:sz w:val="18"/>
          <w:szCs w:val="18"/>
          <w:color w:val="auto"/>
        </w:rPr>
      </w:pPr>
    </w:p>
    <w:p>
      <w:pPr>
        <w:ind w:left="880" w:hanging="373"/>
        <w:spacing w:after="0" w:line="263" w:lineRule="auto"/>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scope of protection we and/or our licensors are able to establish and maintain for intellectual property rights covering our current and future product candidates, as well as any statements as to whether we do or do not infringe, misappropriate or otherwise violate any third-party intellectual property rights;</w:t>
      </w:r>
    </w:p>
    <w:p>
      <w:pPr>
        <w:spacing w:after="0" w:line="75" w:lineRule="exact"/>
        <w:rPr>
          <w:rFonts w:ascii="Arial" w:cs="Arial" w:eastAsia="Arial" w:hAnsi="Arial"/>
          <w:sz w:val="18"/>
          <w:szCs w:val="18"/>
          <w:color w:val="auto"/>
        </w:rPr>
      </w:pPr>
    </w:p>
    <w:p>
      <w:pPr>
        <w:ind w:left="880" w:hanging="373"/>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retain the continued service of our key professionals and to identify, hire and retain additional qualified professionals;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developments and projections relating to our competitors and our industry;</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related to the use of our cash reserves;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estimates regarding expenses, future revenue, capital requirements and needs for additional financing;</w:t>
      </w:r>
    </w:p>
    <w:p>
      <w:pPr>
        <w:spacing w:after="0" w:line="117" w:lineRule="exact"/>
        <w:rPr>
          <w:rFonts w:ascii="Arial" w:cs="Arial" w:eastAsia="Arial" w:hAnsi="Arial"/>
          <w:sz w:val="18"/>
          <w:szCs w:val="18"/>
          <w:color w:val="auto"/>
        </w:rPr>
      </w:pPr>
    </w:p>
    <w:p>
      <w:pPr>
        <w:ind w:left="880" w:right="40" w:hanging="373"/>
        <w:spacing w:after="0" w:line="277" w:lineRule="auto"/>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remediate the material weaknesses that we and our independent registered public accounting firm previously identified and avoid any findings of material weaknesses or significant deficiencies in the future;</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laws and regulations, including without limitation recently enacted tax reform legislation;</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the time during which we are an emerging growth company under the JOBS Act;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under the caption “Risk Factors.”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 w:name="page6"/>
    <w:bookmarkEnd w:id="5"/>
    <w:p>
      <w:pPr>
        <w:spacing w:after="0" w:line="288" w:lineRule="auto"/>
        <w:rPr>
          <w:sz w:val="20"/>
          <w:szCs w:val="20"/>
          <w:color w:val="auto"/>
        </w:rPr>
      </w:pPr>
      <w:r>
        <w:rPr>
          <w:rFonts w:ascii="Arial" w:cs="Arial" w:eastAsia="Arial" w:hAnsi="Arial"/>
          <w:sz w:val="16"/>
          <w:szCs w:val="16"/>
          <w:color w:val="auto"/>
        </w:rPr>
        <w:t>All of our forward-looking statements are as of the date of this Quarterly Report on Form 10-Q only. In each case, actual results may differ materially from such forward-looking information. We can give no assurance that such expectations or forward-looking statements will prove to be correct. An occurrence of or any material adverse change in one or more of the risk factors or risks and uncertainties referred to in this Quarterly Report on Form 10-Q or included in our other public disclosures or our other periodic reports or other documents or filings filed with or furnished to the Securities and Exchange Commission (the “SEC”) could materially and adversely affect our business, prospects, financial condition and results of operations. Except as required by law, we do not undertake or plan to update or revise any such forward-looking statements to reflect actual results, changes in plans, assumptions, estimates or projections or other circumstances affecting such forward-looking statements occurring after the date of this Quarterly Report on Form 10-Q, even if such results, changes or circumstances make it clear that any forward-looking information will not be realized. Any public statements or disclosures by us following this Quarterly Report on Form 10-Q that modify or impact any of the forward-looking statements contained in this Quarterly Report on Form 10-Q will be deemed to modify or supersede such statements in this Quarterly Report on Form 10-Q.</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Regarding Trademarks</w:t>
      </w:r>
    </w:p>
    <w:p>
      <w:pPr>
        <w:spacing w:after="0" w:line="13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All brand names or trademarks appearing in this report are the property of their respective holders. Unless the context requires otherwise, references in this report to the “Company,” “we,” “us,” and “our” refer to AVROBIO, Inc.</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82" w:right="37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758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5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8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34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219,546</w:t>
            </w:r>
          </w:p>
        </w:tc>
        <w:tc>
          <w:tcPr>
            <w:tcW w:w="18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187,043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9,440</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228,986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195,701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3,312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3,696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8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233,255</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200,514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8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8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8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34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2,311</w:t>
            </w:r>
          </w:p>
        </w:tc>
        <w:tc>
          <w:tcPr>
            <w:tcW w:w="180" w:type="dxa"/>
            <w:vAlign w:val="bottom"/>
          </w:tcPr>
          <w:p>
            <w:pPr>
              <w:spacing w:after="0"/>
              <w:rPr>
                <w:sz w:val="19"/>
                <w:szCs w:val="19"/>
                <w:color w:val="auto"/>
              </w:rPr>
            </w:pPr>
          </w:p>
        </w:tc>
        <w:tc>
          <w:tcPr>
            <w:tcW w:w="3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3,949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22,525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9,854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Deferred rent</w:t>
            </w:r>
          </w:p>
        </w:tc>
        <w:tc>
          <w:tcPr>
            <w:tcW w:w="1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25,052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14,017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Deferred rent, net of current portion</w:t>
            </w:r>
          </w:p>
        </w:tc>
        <w:tc>
          <w:tcPr>
            <w:tcW w:w="1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25,383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14,501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80" w:type="dxa"/>
            <w:vAlign w:val="bottom"/>
          </w:tcPr>
          <w:p>
            <w:pPr>
              <w:spacing w:after="0"/>
              <w:rPr>
                <w:sz w:val="20"/>
                <w:szCs w:val="20"/>
                <w:color w:val="auto"/>
              </w:rPr>
            </w:pPr>
            <w:r>
              <w:rPr>
                <w:rFonts w:ascii="Arial" w:cs="Arial" w:eastAsia="Arial" w:hAnsi="Arial"/>
                <w:sz w:val="18"/>
                <w:szCs w:val="18"/>
                <w:color w:val="auto"/>
              </w:rPr>
              <w:t>Commitments and contingencies (Note 11)</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580" w:type="dxa"/>
            <w:vAlign w:val="bottom"/>
          </w:tcPr>
          <w:p>
            <w:pPr>
              <w:ind w:left="260"/>
              <w:spacing w:after="0"/>
              <w:rPr>
                <w:sz w:val="20"/>
                <w:szCs w:val="20"/>
                <w:color w:val="auto"/>
              </w:rPr>
            </w:pPr>
            <w:r>
              <w:rPr>
                <w:rFonts w:ascii="Arial" w:cs="Arial" w:eastAsia="Arial" w:hAnsi="Arial"/>
                <w:sz w:val="18"/>
                <w:szCs w:val="18"/>
                <w:color w:val="auto"/>
              </w:rPr>
              <w:t>Preferred stock, $0.0001 par value; 10,000 shares authorized; no shares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80" w:type="dxa"/>
            <w:vAlign w:val="bottom"/>
          </w:tcPr>
          <w:p>
            <w:pPr>
              <w:ind w:left="380"/>
              <w:spacing w:after="0"/>
              <w:rPr>
                <w:sz w:val="20"/>
                <w:szCs w:val="20"/>
                <w:color w:val="auto"/>
              </w:rPr>
            </w:pPr>
            <w:r>
              <w:rPr>
                <w:rFonts w:ascii="Arial" w:cs="Arial" w:eastAsia="Arial" w:hAnsi="Arial"/>
                <w:sz w:val="18"/>
                <w:szCs w:val="18"/>
                <w:color w:val="auto"/>
              </w:rPr>
              <w:t>issued or outstanding</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758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0"/>
              </w:rPr>
              <w:t>Common stock, $0.0001 par value; 150,000 shares authorized; 36,449 and 31,643 shares issued and</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outstanding as of September 30, 2020 and December 31, 2019, respectively</w:t>
            </w: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58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444,153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330,714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(236,285)</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(144,704)</w:t>
            </w:r>
          </w:p>
        </w:tc>
        <w:tc>
          <w:tcPr>
            <w:tcW w:w="0" w:type="dxa"/>
            <w:vAlign w:val="bottom"/>
          </w:tcPr>
          <w:p>
            <w:pPr>
              <w:spacing w:after="0"/>
              <w:rPr>
                <w:sz w:val="1"/>
                <w:szCs w:val="1"/>
                <w:color w:val="auto"/>
              </w:rPr>
            </w:pPr>
          </w:p>
        </w:tc>
      </w:tr>
      <w:tr>
        <w:trPr>
          <w:trHeight w:val="223"/>
        </w:trPr>
        <w:tc>
          <w:tcPr>
            <w:tcW w:w="75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207,872</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186,013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8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233,255</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200,514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4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3"/>
              </w:rPr>
              <w:t>Three Months Ended September 30,</w:t>
            </w:r>
          </w:p>
        </w:tc>
        <w:tc>
          <w:tcPr>
            <w:tcW w:w="140" w:type="dxa"/>
            <w:vAlign w:val="bottom"/>
          </w:tcPr>
          <w:p>
            <w:pPr>
              <w:spacing w:after="0"/>
              <w:rPr>
                <w:sz w:val="14"/>
                <w:szCs w:val="14"/>
                <w:color w:val="auto"/>
              </w:rPr>
            </w:pPr>
          </w:p>
        </w:tc>
        <w:tc>
          <w:tcPr>
            <w:tcW w:w="250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93"/>
              </w:rPr>
              <w:t>Nine Months Ended September 30,</w:t>
            </w:r>
          </w:p>
        </w:tc>
        <w:tc>
          <w:tcPr>
            <w:tcW w:w="0" w:type="dxa"/>
            <w:vAlign w:val="bottom"/>
          </w:tcPr>
          <w:p>
            <w:pPr>
              <w:spacing w:after="0"/>
              <w:rPr>
                <w:sz w:val="1"/>
                <w:szCs w:val="1"/>
                <w:color w:val="auto"/>
              </w:rPr>
            </w:pPr>
          </w:p>
        </w:tc>
      </w:tr>
      <w:tr>
        <w:trPr>
          <w:trHeight w:val="155"/>
        </w:trPr>
        <w:tc>
          <w:tcPr>
            <w:tcW w:w="584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28,509</w:t>
            </w:r>
          </w:p>
        </w:tc>
        <w:tc>
          <w:tcPr>
            <w:tcW w:w="240" w:type="dxa"/>
            <w:vAlign w:val="bottom"/>
          </w:tcPr>
          <w:p>
            <w:pPr>
              <w:spacing w:after="0"/>
              <w:rPr>
                <w:sz w:val="19"/>
                <w:szCs w:val="19"/>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13,042</w:t>
            </w:r>
          </w:p>
        </w:tc>
        <w:tc>
          <w:tcPr>
            <w:tcW w:w="2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67,649</w:t>
            </w:r>
          </w:p>
        </w:tc>
        <w:tc>
          <w:tcPr>
            <w:tcW w:w="160" w:type="dxa"/>
            <w:vAlign w:val="bottom"/>
          </w:tcPr>
          <w:p>
            <w:pPr>
              <w:spacing w:after="0"/>
              <w:rPr>
                <w:sz w:val="19"/>
                <w:szCs w:val="19"/>
                <w:color w:val="auto"/>
              </w:rPr>
            </w:pP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37,755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8,209</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5,022</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24,515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36,718</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18,064</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92,164</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52,376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(36,718)</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(18,064)</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(92,164)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(52,376)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8"/>
                <w:szCs w:val="18"/>
                <w:color w:val="auto"/>
              </w:rPr>
              <w:t>Other income (expense):</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925</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Other expense</w:t>
            </w: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(74)</w:t>
            </w:r>
          </w:p>
        </w:tc>
        <w:tc>
          <w:tcPr>
            <w:tcW w:w="2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(123)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other income (expense), net</w:t>
            </w: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919</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583</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(36,780)</w:t>
            </w:r>
          </w:p>
        </w:tc>
        <w:tc>
          <w:tcPr>
            <w:tcW w:w="24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(17,145)</w:t>
            </w:r>
          </w:p>
        </w:tc>
        <w:tc>
          <w:tcPr>
            <w:tcW w:w="24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(91,581)</w:t>
            </w:r>
          </w:p>
        </w:tc>
        <w:tc>
          <w:tcPr>
            <w:tcW w:w="16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(50,303)</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loss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(36,780)</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(17,145)</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(91,581)</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(50,303)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color w:val="auto"/>
              </w:rPr>
              <w:t>Net loss per share attributable to common stockholders—basic and</w:t>
            </w: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140"/>
              <w:spacing w:after="0"/>
              <w:rPr>
                <w:sz w:val="20"/>
                <w:szCs w:val="20"/>
                <w:color w:val="auto"/>
              </w:rPr>
            </w:pPr>
            <w:r>
              <w:rPr>
                <w:rFonts w:ascii="Arial" w:cs="Arial" w:eastAsia="Arial" w:hAnsi="Arial"/>
                <w:sz w:val="18"/>
                <w:szCs w:val="18"/>
                <w:color w:val="auto"/>
              </w:rPr>
              <w:t>diluted (Note 10)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(1.01)</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(0.57)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(2.59)</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5"/>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w w:val="94"/>
              </w:rPr>
              <w:t>Weighted-average number of common shares outstanding used in computing</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w w:val="98"/>
              </w:rPr>
              <w:t>net loss per share attributable to common stockholders—basic and diluted</w:t>
            </w:r>
          </w:p>
        </w:tc>
        <w:tc>
          <w:tcPr>
            <w:tcW w:w="1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36,444</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30,297</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35,409</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26,019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jc w:val="center"/>
              <w:ind w:right="197"/>
              <w:spacing w:after="0"/>
              <w:rPr>
                <w:sz w:val="20"/>
                <w:szCs w:val="20"/>
                <w:color w:val="auto"/>
              </w:rPr>
            </w:pPr>
            <w:r>
              <w:rPr>
                <w:rFonts w:ascii="Arial" w:cs="Arial" w:eastAsia="Arial" w:hAnsi="Arial"/>
                <w:sz w:val="13"/>
                <w:szCs w:val="13"/>
                <w:b w:val="1"/>
                <w:bCs w:val="1"/>
                <w:color w:val="auto"/>
                <w:w w:val="91"/>
              </w:rPr>
              <w:t>Additional</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9"/>
              </w:rPr>
              <w:t>Total</w:t>
            </w:r>
          </w:p>
        </w:tc>
      </w:tr>
      <w:tr>
        <w:trPr>
          <w:trHeight w:val="153"/>
        </w:trPr>
        <w:tc>
          <w:tcPr>
            <w:tcW w:w="300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3"/>
          </w:tcPr>
          <w:p>
            <w:pPr>
              <w:jc w:val="right"/>
              <w:ind w:right="765"/>
              <w:spacing w:after="0"/>
              <w:rPr>
                <w:sz w:val="20"/>
                <w:szCs w:val="20"/>
                <w:color w:val="auto"/>
              </w:rPr>
            </w:pPr>
            <w:r>
              <w:rPr>
                <w:rFonts w:ascii="Arial" w:cs="Arial" w:eastAsia="Arial" w:hAnsi="Arial"/>
                <w:sz w:val="13"/>
                <w:szCs w:val="13"/>
                <w:b w:val="1"/>
                <w:bCs w:val="1"/>
                <w:color w:val="auto"/>
              </w:rPr>
              <w:t>Common Stock</w:t>
            </w:r>
          </w:p>
        </w:tc>
        <w:tc>
          <w:tcPr>
            <w:tcW w:w="30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jc w:val="center"/>
              <w:ind w:right="177"/>
              <w:spacing w:after="0"/>
              <w:rPr>
                <w:sz w:val="20"/>
                <w:szCs w:val="20"/>
                <w:color w:val="auto"/>
              </w:rPr>
            </w:pPr>
            <w:r>
              <w:rPr>
                <w:rFonts w:ascii="Arial" w:cs="Arial" w:eastAsia="Arial" w:hAnsi="Arial"/>
                <w:sz w:val="13"/>
                <w:szCs w:val="13"/>
                <w:b w:val="1"/>
                <w:bCs w:val="1"/>
                <w:color w:val="auto"/>
                <w:w w:val="92"/>
              </w:rPr>
              <w:t>Paid-in</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gridSpan w:val="2"/>
          </w:tcPr>
          <w:p>
            <w:pPr>
              <w:jc w:val="center"/>
              <w:ind w:right="480"/>
              <w:spacing w:after="0"/>
              <w:rPr>
                <w:sz w:val="20"/>
                <w:szCs w:val="20"/>
                <w:color w:val="auto"/>
              </w:rPr>
            </w:pPr>
            <w:r>
              <w:rPr>
                <w:rFonts w:ascii="Arial" w:cs="Arial" w:eastAsia="Arial" w:hAnsi="Arial"/>
                <w:sz w:val="13"/>
                <w:szCs w:val="13"/>
                <w:b w:val="1"/>
                <w:bCs w:val="1"/>
                <w:color w:val="auto"/>
                <w:w w:val="88"/>
              </w:rPr>
              <w:t>Accumulated</w:t>
            </w:r>
          </w:p>
        </w:tc>
        <w:tc>
          <w:tcPr>
            <w:tcW w:w="200" w:type="dxa"/>
            <w:vAlign w:val="bottom"/>
          </w:tcPr>
          <w:p>
            <w:pPr>
              <w:spacing w:after="0"/>
              <w:rPr>
                <w:sz w:val="13"/>
                <w:szCs w:val="13"/>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6"/>
              </w:rPr>
              <w:t>Stockholders’</w:t>
            </w:r>
          </w:p>
        </w:tc>
      </w:tr>
      <w:tr>
        <w:trPr>
          <w:trHeight w:val="142"/>
        </w:trPr>
        <w:tc>
          <w:tcPr>
            <w:tcW w:w="3000" w:type="dxa"/>
            <w:vAlign w:val="bottom"/>
          </w:tcPr>
          <w:p>
            <w:pPr>
              <w:spacing w:after="0"/>
              <w:rPr>
                <w:sz w:val="12"/>
                <w:szCs w:val="12"/>
                <w:color w:val="auto"/>
              </w:rPr>
            </w:pPr>
          </w:p>
        </w:tc>
        <w:tc>
          <w:tcPr>
            <w:tcW w:w="960" w:type="dxa"/>
            <w:vAlign w:val="bottom"/>
          </w:tcPr>
          <w:p>
            <w:pPr>
              <w:ind w:left="500"/>
              <w:spacing w:after="0" w:line="142" w:lineRule="exact"/>
              <w:rPr>
                <w:sz w:val="20"/>
                <w:szCs w:val="20"/>
                <w:color w:val="auto"/>
              </w:rPr>
            </w:pPr>
            <w:r>
              <w:rPr>
                <w:rFonts w:ascii="Arial" w:cs="Arial" w:eastAsia="Arial" w:hAnsi="Arial"/>
                <w:sz w:val="13"/>
                <w:szCs w:val="13"/>
                <w:b w:val="1"/>
                <w:bCs w:val="1"/>
                <w:color w:val="auto"/>
              </w:rPr>
              <w:t>Shares</w:t>
            </w: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jc w:val="right"/>
              <w:ind w:right="125"/>
              <w:spacing w:after="0" w:line="142" w:lineRule="exact"/>
              <w:rPr>
                <w:sz w:val="20"/>
                <w:szCs w:val="20"/>
                <w:color w:val="auto"/>
              </w:rPr>
            </w:pPr>
            <w:r>
              <w:rPr>
                <w:rFonts w:ascii="Arial" w:cs="Arial" w:eastAsia="Arial" w:hAnsi="Arial"/>
                <w:sz w:val="13"/>
                <w:szCs w:val="13"/>
                <w:b w:val="1"/>
                <w:bCs w:val="1"/>
                <w:color w:val="auto"/>
              </w:rPr>
              <w:t>Amount</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jc w:val="center"/>
              <w:ind w:right="177"/>
              <w:spacing w:after="0" w:line="142" w:lineRule="exact"/>
              <w:rPr>
                <w:sz w:val="20"/>
                <w:szCs w:val="20"/>
                <w:color w:val="auto"/>
              </w:rPr>
            </w:pPr>
            <w:r>
              <w:rPr>
                <w:rFonts w:ascii="Arial" w:cs="Arial" w:eastAsia="Arial" w:hAnsi="Arial"/>
                <w:sz w:val="13"/>
                <w:szCs w:val="13"/>
                <w:b w:val="1"/>
                <w:bCs w:val="1"/>
                <w:color w:val="auto"/>
                <w:w w:val="92"/>
              </w:rPr>
              <w:t>Capital</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2"/>
          </w:tcPr>
          <w:p>
            <w:pPr>
              <w:jc w:val="center"/>
              <w:ind w:right="480"/>
              <w:spacing w:after="0" w:line="142" w:lineRule="exact"/>
              <w:rPr>
                <w:sz w:val="20"/>
                <w:szCs w:val="20"/>
                <w:color w:val="auto"/>
              </w:rPr>
            </w:pPr>
            <w:r>
              <w:rPr>
                <w:rFonts w:ascii="Arial" w:cs="Arial" w:eastAsia="Arial" w:hAnsi="Arial"/>
                <w:sz w:val="13"/>
                <w:szCs w:val="13"/>
                <w:b w:val="1"/>
                <w:bCs w:val="1"/>
                <w:color w:val="auto"/>
                <w:w w:val="90"/>
              </w:rPr>
              <w:t>Deficit</w:t>
            </w:r>
          </w:p>
        </w:tc>
        <w:tc>
          <w:tcPr>
            <w:tcW w:w="200" w:type="dxa"/>
            <w:vAlign w:val="bottom"/>
          </w:tcPr>
          <w:p>
            <w:pPr>
              <w:spacing w:after="0"/>
              <w:rPr>
                <w:sz w:val="12"/>
                <w:szCs w:val="12"/>
                <w:color w:val="auto"/>
              </w:rPr>
            </w:pPr>
          </w:p>
        </w:tc>
        <w:tc>
          <w:tcPr>
            <w:tcW w:w="1340" w:type="dxa"/>
            <w:vAlign w:val="bottom"/>
            <w:gridSpan w:val="2"/>
          </w:tcPr>
          <w:p>
            <w:pPr>
              <w:jc w:val="center"/>
              <w:ind w:right="340"/>
              <w:spacing w:after="0" w:line="142" w:lineRule="exact"/>
              <w:rPr>
                <w:sz w:val="20"/>
                <w:szCs w:val="20"/>
                <w:color w:val="auto"/>
              </w:rPr>
            </w:pPr>
            <w:r>
              <w:rPr>
                <w:rFonts w:ascii="Arial" w:cs="Arial" w:eastAsia="Arial" w:hAnsi="Arial"/>
                <w:sz w:val="13"/>
                <w:szCs w:val="13"/>
                <w:b w:val="1"/>
                <w:bCs w:val="1"/>
                <w:color w:val="auto"/>
                <w:w w:val="90"/>
              </w:rPr>
              <w:t>Equity</w:t>
            </w:r>
          </w:p>
        </w:tc>
      </w:tr>
      <w:tr>
        <w:trPr>
          <w:trHeight w:val="142"/>
        </w:trPr>
        <w:tc>
          <w:tcPr>
            <w:tcW w:w="3000" w:type="dxa"/>
            <w:vAlign w:val="bottom"/>
            <w:tcBorders>
              <w:top w:val="single" w:sz="8" w:color="CFF0FC"/>
            </w:tcBorders>
            <w:shd w:val="clear" w:color="auto" w:fill="CFF0FC"/>
          </w:tcPr>
          <w:p>
            <w:pPr>
              <w:spacing w:after="0" w:line="142" w:lineRule="exact"/>
              <w:rPr>
                <w:sz w:val="20"/>
                <w:szCs w:val="20"/>
                <w:color w:val="auto"/>
              </w:rPr>
            </w:pPr>
            <w:r>
              <w:rPr>
                <w:rFonts w:ascii="Arial" w:cs="Arial" w:eastAsia="Arial" w:hAnsi="Arial"/>
                <w:sz w:val="13"/>
                <w:szCs w:val="13"/>
                <w:b w:val="1"/>
                <w:bCs w:val="1"/>
                <w:color w:val="auto"/>
              </w:rPr>
              <w:t>Balance as of December 31, 2019</w:t>
            </w:r>
          </w:p>
        </w:tc>
        <w:tc>
          <w:tcPr>
            <w:tcW w:w="960" w:type="dxa"/>
            <w:vAlign w:val="bottom"/>
            <w:tcBorders>
              <w:top w:val="single" w:sz="8" w:color="auto"/>
            </w:tcBorders>
            <w:shd w:val="clear" w:color="auto" w:fill="CFF0FC"/>
          </w:tcPr>
          <w:p>
            <w:pPr>
              <w:spacing w:after="0"/>
              <w:rPr>
                <w:sz w:val="12"/>
                <w:szCs w:val="12"/>
                <w:color w:val="auto"/>
              </w:rPr>
            </w:pPr>
          </w:p>
        </w:tc>
        <w:tc>
          <w:tcPr>
            <w:tcW w:w="4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31,643</w:t>
            </w:r>
          </w:p>
        </w:tc>
        <w:tc>
          <w:tcPr>
            <w:tcW w:w="260" w:type="dxa"/>
            <w:vAlign w:val="bottom"/>
            <w:tcBorders>
              <w:top w:val="single" w:sz="8" w:color="CFF0FC"/>
            </w:tcBorders>
            <w:shd w:val="clear" w:color="auto" w:fill="CFF0FC"/>
          </w:tcPr>
          <w:p>
            <w:pPr>
              <w:spacing w:after="0"/>
              <w:rPr>
                <w:sz w:val="12"/>
                <w:szCs w:val="12"/>
                <w:color w:val="auto"/>
              </w:rPr>
            </w:pPr>
          </w:p>
        </w:tc>
        <w:tc>
          <w:tcPr>
            <w:tcW w:w="1100" w:type="dxa"/>
            <w:vAlign w:val="bottom"/>
            <w:tcBorders>
              <w:top w:val="single" w:sz="8" w:color="auto"/>
            </w:tcBorders>
            <w:shd w:val="clear" w:color="auto" w:fill="CFF0FC"/>
          </w:tcPr>
          <w:p>
            <w:pPr>
              <w:jc w:val="right"/>
              <w:ind w:right="985"/>
              <w:spacing w:after="0"/>
              <w:rPr>
                <w:sz w:val="20"/>
                <w:szCs w:val="20"/>
                <w:color w:val="auto"/>
              </w:rPr>
            </w:pPr>
            <w:r>
              <w:rPr>
                <w:rFonts w:ascii="Arial" w:cs="Arial" w:eastAsia="Arial" w:hAnsi="Arial"/>
                <w:sz w:val="10"/>
                <w:szCs w:val="10"/>
                <w:b w:val="1"/>
                <w:bCs w:val="1"/>
                <w:color w:val="auto"/>
                <w:w w:val="71"/>
              </w:rPr>
              <w:t>$</w:t>
            </w:r>
          </w:p>
        </w:tc>
        <w:tc>
          <w:tcPr>
            <w:tcW w:w="30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3</w:t>
            </w:r>
          </w:p>
        </w:tc>
        <w:tc>
          <w:tcPr>
            <w:tcW w:w="280" w:type="dxa"/>
            <w:vAlign w:val="bottom"/>
            <w:tcBorders>
              <w:top w:val="single" w:sz="8" w:color="CFF0FC"/>
            </w:tcBorders>
            <w:shd w:val="clear" w:color="auto" w:fill="CFF0FC"/>
          </w:tcPr>
          <w:p>
            <w:pPr>
              <w:spacing w:after="0"/>
              <w:rPr>
                <w:sz w:val="12"/>
                <w:szCs w:val="12"/>
                <w:color w:val="auto"/>
              </w:rPr>
            </w:pPr>
          </w:p>
        </w:tc>
        <w:tc>
          <w:tcPr>
            <w:tcW w:w="240" w:type="dxa"/>
            <w:vAlign w:val="bottom"/>
            <w:tcBorders>
              <w:top w:val="single" w:sz="8" w:color="auto"/>
            </w:tcBorders>
            <w:shd w:val="clear" w:color="auto" w:fill="CFF0FC"/>
          </w:tcPr>
          <w:p>
            <w:pPr>
              <w:jc w:val="right"/>
              <w:ind w:right="128"/>
              <w:spacing w:after="0"/>
              <w:rPr>
                <w:sz w:val="20"/>
                <w:szCs w:val="20"/>
                <w:color w:val="auto"/>
              </w:rPr>
            </w:pPr>
            <w:r>
              <w:rPr>
                <w:rFonts w:ascii="Arial" w:cs="Arial" w:eastAsia="Arial" w:hAnsi="Arial"/>
                <w:sz w:val="10"/>
                <w:szCs w:val="10"/>
                <w:b w:val="1"/>
                <w:bCs w:val="1"/>
                <w:color w:val="auto"/>
                <w:w w:val="71"/>
              </w:rPr>
              <w:t>$</w:t>
            </w:r>
          </w:p>
        </w:tc>
        <w:tc>
          <w:tcPr>
            <w:tcW w:w="11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330,714</w:t>
            </w:r>
          </w:p>
        </w:tc>
        <w:tc>
          <w:tcPr>
            <w:tcW w:w="28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jc w:val="right"/>
              <w:ind w:right="88"/>
              <w:spacing w:after="0"/>
              <w:rPr>
                <w:sz w:val="20"/>
                <w:szCs w:val="20"/>
                <w:color w:val="auto"/>
              </w:rPr>
            </w:pPr>
            <w:r>
              <w:rPr>
                <w:rFonts w:ascii="Arial" w:cs="Arial" w:eastAsia="Arial" w:hAnsi="Arial"/>
                <w:sz w:val="10"/>
                <w:szCs w:val="10"/>
                <w:b w:val="1"/>
                <w:bCs w:val="1"/>
                <w:color w:val="auto"/>
                <w:w w:val="71"/>
              </w:rPr>
              <w:t>$</w:t>
            </w:r>
          </w:p>
        </w:tc>
        <w:tc>
          <w:tcPr>
            <w:tcW w:w="12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(144,704)</w:t>
            </w:r>
          </w:p>
        </w:tc>
        <w:tc>
          <w:tcPr>
            <w:tcW w:w="26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jc w:val="right"/>
              <w:ind w:right="88"/>
              <w:spacing w:after="0"/>
              <w:rPr>
                <w:sz w:val="20"/>
                <w:szCs w:val="20"/>
                <w:color w:val="auto"/>
              </w:rPr>
            </w:pPr>
            <w:r>
              <w:rPr>
                <w:rFonts w:ascii="Arial" w:cs="Arial" w:eastAsia="Arial" w:hAnsi="Arial"/>
                <w:sz w:val="10"/>
                <w:szCs w:val="10"/>
                <w:b w:val="1"/>
                <w:bCs w:val="1"/>
                <w:color w:val="auto"/>
                <w:w w:val="71"/>
              </w:rPr>
              <w:t>$</w:t>
            </w:r>
          </w:p>
        </w:tc>
        <w:tc>
          <w:tcPr>
            <w:tcW w:w="12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186,013</w:t>
            </w:r>
          </w:p>
        </w:tc>
        <w:tc>
          <w:tcPr>
            <w:tcW w:w="120" w:type="dxa"/>
            <w:vAlign w:val="bottom"/>
            <w:tcBorders>
              <w:top w:val="single" w:sz="8" w:color="CFF0FC"/>
            </w:tcBorders>
            <w:shd w:val="clear" w:color="auto" w:fill="CFF0FC"/>
          </w:tcPr>
          <w:p>
            <w:pPr>
              <w:spacing w:after="0"/>
              <w:rPr>
                <w:sz w:val="12"/>
                <w:szCs w:val="12"/>
                <w:color w:val="auto"/>
              </w:rPr>
            </w:pPr>
          </w:p>
        </w:tc>
      </w:tr>
      <w:tr>
        <w:trPr>
          <w:trHeight w:val="148"/>
        </w:trPr>
        <w:tc>
          <w:tcPr>
            <w:tcW w:w="3960" w:type="dxa"/>
            <w:vAlign w:val="bottom"/>
            <w:gridSpan w:val="2"/>
          </w:tcPr>
          <w:p>
            <w:pPr>
              <w:ind w:left="260"/>
              <w:spacing w:after="0"/>
              <w:rPr>
                <w:sz w:val="20"/>
                <w:szCs w:val="20"/>
                <w:color w:val="auto"/>
              </w:rPr>
            </w:pPr>
            <w:r>
              <w:rPr>
                <w:rFonts w:ascii="Arial" w:cs="Arial" w:eastAsia="Arial" w:hAnsi="Arial"/>
                <w:sz w:val="13"/>
                <w:szCs w:val="13"/>
                <w:color w:val="auto"/>
              </w:rPr>
              <w:t>Stock-based compensation expense</w:t>
            </w: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2,822</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2,822</w:t>
            </w:r>
          </w:p>
        </w:tc>
        <w:tc>
          <w:tcPr>
            <w:tcW w:w="120" w:type="dxa"/>
            <w:vAlign w:val="bottom"/>
          </w:tcPr>
          <w:p>
            <w:pPr>
              <w:spacing w:after="0"/>
              <w:rPr>
                <w:sz w:val="12"/>
                <w:szCs w:val="12"/>
                <w:color w:val="auto"/>
              </w:rPr>
            </w:pPr>
          </w:p>
        </w:tc>
      </w:tr>
      <w:tr>
        <w:trPr>
          <w:trHeight w:val="149"/>
        </w:trPr>
        <w:tc>
          <w:tcPr>
            <w:tcW w:w="3960" w:type="dxa"/>
            <w:vAlign w:val="bottom"/>
            <w:gridSpan w:val="2"/>
            <w:shd w:val="clear" w:color="auto" w:fill="CFF0FC"/>
          </w:tcPr>
          <w:p>
            <w:pPr>
              <w:ind w:left="260"/>
              <w:spacing w:after="0"/>
              <w:rPr>
                <w:sz w:val="20"/>
                <w:szCs w:val="20"/>
                <w:color w:val="auto"/>
              </w:rPr>
            </w:pPr>
            <w:r>
              <w:rPr>
                <w:rFonts w:ascii="Arial" w:cs="Arial" w:eastAsia="Arial" w:hAnsi="Arial"/>
                <w:sz w:val="13"/>
                <w:szCs w:val="13"/>
                <w:color w:val="auto"/>
              </w:rPr>
              <w:t>Exercise of stock options</w:t>
            </w: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w:t>
            </w:r>
          </w:p>
        </w:tc>
        <w:tc>
          <w:tcPr>
            <w:tcW w:w="26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w:t>
            </w: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w:t>
            </w:r>
          </w:p>
        </w:tc>
        <w:tc>
          <w:tcPr>
            <w:tcW w:w="120" w:type="dxa"/>
            <w:vAlign w:val="bottom"/>
            <w:shd w:val="clear" w:color="auto" w:fill="CFF0FC"/>
          </w:tcPr>
          <w:p>
            <w:pPr>
              <w:spacing w:after="0"/>
              <w:rPr>
                <w:sz w:val="12"/>
                <w:szCs w:val="12"/>
                <w:color w:val="auto"/>
              </w:rPr>
            </w:pPr>
          </w:p>
        </w:tc>
      </w:tr>
      <w:tr>
        <w:trPr>
          <w:trHeight w:val="148"/>
        </w:trPr>
        <w:tc>
          <w:tcPr>
            <w:tcW w:w="3960" w:type="dxa"/>
            <w:vAlign w:val="bottom"/>
            <w:gridSpan w:val="2"/>
          </w:tcPr>
          <w:p>
            <w:pPr>
              <w:ind w:left="260"/>
              <w:spacing w:after="0"/>
              <w:rPr>
                <w:sz w:val="20"/>
                <w:szCs w:val="20"/>
                <w:color w:val="auto"/>
              </w:rPr>
            </w:pPr>
            <w:r>
              <w:rPr>
                <w:rFonts w:ascii="Arial" w:cs="Arial" w:eastAsia="Arial" w:hAnsi="Arial"/>
                <w:sz w:val="13"/>
                <w:szCs w:val="13"/>
                <w:color w:val="auto"/>
              </w:rPr>
              <w:t>Vesting of restricted stock awards and units</w:t>
            </w:r>
          </w:p>
        </w:tc>
        <w:tc>
          <w:tcPr>
            <w:tcW w:w="440" w:type="dxa"/>
            <w:vAlign w:val="bottom"/>
          </w:tcPr>
          <w:p>
            <w:pPr>
              <w:jc w:val="right"/>
              <w:spacing w:after="0"/>
              <w:rPr>
                <w:sz w:val="20"/>
                <w:szCs w:val="20"/>
                <w:color w:val="auto"/>
              </w:rPr>
            </w:pPr>
            <w:r>
              <w:rPr>
                <w:rFonts w:ascii="Arial" w:cs="Arial" w:eastAsia="Arial" w:hAnsi="Arial"/>
                <w:sz w:val="13"/>
                <w:szCs w:val="13"/>
                <w:color w:val="auto"/>
              </w:rPr>
              <w:t>11</w:t>
            </w: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r>
      <w:tr>
        <w:trPr>
          <w:trHeight w:val="134"/>
        </w:trPr>
        <w:tc>
          <w:tcPr>
            <w:tcW w:w="3960" w:type="dxa"/>
            <w:vAlign w:val="bottom"/>
            <w:gridSpan w:val="2"/>
            <w:shd w:val="clear" w:color="auto" w:fill="CFF0FC"/>
          </w:tcPr>
          <w:p>
            <w:pPr>
              <w:ind w:left="260"/>
              <w:spacing w:after="0" w:line="134" w:lineRule="exact"/>
              <w:rPr>
                <w:sz w:val="20"/>
                <w:szCs w:val="20"/>
                <w:color w:val="auto"/>
              </w:rPr>
            </w:pPr>
            <w:r>
              <w:rPr>
                <w:rFonts w:ascii="Arial" w:cs="Arial" w:eastAsia="Arial" w:hAnsi="Arial"/>
                <w:sz w:val="13"/>
                <w:szCs w:val="13"/>
                <w:color w:val="auto"/>
              </w:rPr>
              <w:t>Issuance of common stock upon public offering,</w:t>
            </w:r>
          </w:p>
        </w:tc>
        <w:tc>
          <w:tcPr>
            <w:tcW w:w="4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960" w:type="dxa"/>
            <w:vAlign w:val="bottom"/>
            <w:gridSpan w:val="2"/>
            <w:shd w:val="clear" w:color="auto" w:fill="CFF0FC"/>
          </w:tcPr>
          <w:p>
            <w:pPr>
              <w:ind w:left="260"/>
              <w:spacing w:after="0"/>
              <w:rPr>
                <w:sz w:val="20"/>
                <w:szCs w:val="20"/>
                <w:color w:val="auto"/>
              </w:rPr>
            </w:pPr>
            <w:r>
              <w:rPr>
                <w:rFonts w:ascii="Arial" w:cs="Arial" w:eastAsia="Arial" w:hAnsi="Arial"/>
                <w:sz w:val="13"/>
                <w:szCs w:val="13"/>
                <w:color w:val="auto"/>
              </w:rPr>
              <w:t>net of offering costs of $419</w:t>
            </w: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4,350</w:t>
            </w:r>
          </w:p>
        </w:tc>
        <w:tc>
          <w:tcPr>
            <w:tcW w:w="26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93,627</w:t>
            </w: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93,628</w:t>
            </w:r>
          </w:p>
        </w:tc>
        <w:tc>
          <w:tcPr>
            <w:tcW w:w="120" w:type="dxa"/>
            <w:vAlign w:val="bottom"/>
            <w:shd w:val="clear" w:color="auto" w:fill="CFF0FC"/>
          </w:tcPr>
          <w:p>
            <w:pPr>
              <w:spacing w:after="0"/>
              <w:rPr>
                <w:sz w:val="12"/>
                <w:szCs w:val="12"/>
                <w:color w:val="auto"/>
              </w:rPr>
            </w:pPr>
          </w:p>
        </w:tc>
      </w:tr>
      <w:tr>
        <w:trPr>
          <w:trHeight w:val="148"/>
        </w:trPr>
        <w:tc>
          <w:tcPr>
            <w:tcW w:w="3960" w:type="dxa"/>
            <w:vAlign w:val="bottom"/>
            <w:gridSpan w:val="2"/>
          </w:tcPr>
          <w:p>
            <w:pPr>
              <w:ind w:left="260"/>
              <w:spacing w:after="0"/>
              <w:rPr>
                <w:sz w:val="20"/>
                <w:szCs w:val="20"/>
                <w:color w:val="auto"/>
              </w:rPr>
            </w:pPr>
            <w:r>
              <w:rPr>
                <w:rFonts w:ascii="Arial" w:cs="Arial" w:eastAsia="Arial" w:hAnsi="Arial"/>
                <w:sz w:val="13"/>
                <w:szCs w:val="13"/>
                <w:color w:val="auto"/>
              </w:rPr>
              <w:t>Net loss</w:t>
            </w: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3"/>
                <w:szCs w:val="13"/>
                <w:color w:val="auto"/>
              </w:rPr>
              <w:t>(25,973)</w:t>
            </w:r>
          </w:p>
        </w:tc>
        <w:tc>
          <w:tcPr>
            <w:tcW w:w="200" w:type="dxa"/>
            <w:vAlign w:val="bottom"/>
          </w:tcPr>
          <w:p>
            <w:pPr>
              <w:spacing w:after="0"/>
              <w:rPr>
                <w:sz w:val="12"/>
                <w:szCs w:val="12"/>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3"/>
                <w:szCs w:val="13"/>
                <w:color w:val="auto"/>
              </w:rPr>
              <w:t>(25,973)</w:t>
            </w:r>
          </w:p>
        </w:tc>
      </w:tr>
      <w:tr>
        <w:trPr>
          <w:trHeight w:val="142"/>
        </w:trPr>
        <w:tc>
          <w:tcPr>
            <w:tcW w:w="3000" w:type="dxa"/>
            <w:vAlign w:val="bottom"/>
            <w:tcBorders>
              <w:top w:val="single" w:sz="8" w:color="CFF0FC"/>
            </w:tcBorders>
            <w:shd w:val="clear" w:color="auto" w:fill="CFF0FC"/>
          </w:tcPr>
          <w:p>
            <w:pPr>
              <w:spacing w:after="0" w:line="142" w:lineRule="exact"/>
              <w:rPr>
                <w:sz w:val="20"/>
                <w:szCs w:val="20"/>
                <w:color w:val="auto"/>
              </w:rPr>
            </w:pPr>
            <w:r>
              <w:rPr>
                <w:rFonts w:ascii="Arial" w:cs="Arial" w:eastAsia="Arial" w:hAnsi="Arial"/>
                <w:sz w:val="13"/>
                <w:szCs w:val="13"/>
                <w:b w:val="1"/>
                <w:bCs w:val="1"/>
                <w:color w:val="auto"/>
              </w:rPr>
              <w:t>Balance as of March 31, 2020</w:t>
            </w:r>
          </w:p>
        </w:tc>
        <w:tc>
          <w:tcPr>
            <w:tcW w:w="960" w:type="dxa"/>
            <w:vAlign w:val="bottom"/>
            <w:tcBorders>
              <w:top w:val="single" w:sz="8" w:color="auto"/>
            </w:tcBorders>
            <w:shd w:val="clear" w:color="auto" w:fill="CFF0FC"/>
          </w:tcPr>
          <w:p>
            <w:pPr>
              <w:spacing w:after="0"/>
              <w:rPr>
                <w:sz w:val="12"/>
                <w:szCs w:val="12"/>
                <w:color w:val="auto"/>
              </w:rPr>
            </w:pPr>
          </w:p>
        </w:tc>
        <w:tc>
          <w:tcPr>
            <w:tcW w:w="4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36,011</w:t>
            </w:r>
          </w:p>
        </w:tc>
        <w:tc>
          <w:tcPr>
            <w:tcW w:w="260" w:type="dxa"/>
            <w:vAlign w:val="bottom"/>
            <w:tcBorders>
              <w:top w:val="single" w:sz="8" w:color="CFF0FC"/>
            </w:tcBorders>
            <w:shd w:val="clear" w:color="auto" w:fill="CFF0FC"/>
          </w:tcPr>
          <w:p>
            <w:pPr>
              <w:spacing w:after="0"/>
              <w:rPr>
                <w:sz w:val="12"/>
                <w:szCs w:val="12"/>
                <w:color w:val="auto"/>
              </w:rPr>
            </w:pPr>
          </w:p>
        </w:tc>
        <w:tc>
          <w:tcPr>
            <w:tcW w:w="1100" w:type="dxa"/>
            <w:vAlign w:val="bottom"/>
            <w:tcBorders>
              <w:top w:val="single" w:sz="8" w:color="auto"/>
            </w:tcBorders>
            <w:shd w:val="clear" w:color="auto" w:fill="CFF0FC"/>
          </w:tcPr>
          <w:p>
            <w:pPr>
              <w:jc w:val="right"/>
              <w:ind w:right="985"/>
              <w:spacing w:after="0"/>
              <w:rPr>
                <w:sz w:val="20"/>
                <w:szCs w:val="20"/>
                <w:color w:val="auto"/>
              </w:rPr>
            </w:pPr>
            <w:r>
              <w:rPr>
                <w:rFonts w:ascii="Arial" w:cs="Arial" w:eastAsia="Arial" w:hAnsi="Arial"/>
                <w:sz w:val="10"/>
                <w:szCs w:val="10"/>
                <w:b w:val="1"/>
                <w:bCs w:val="1"/>
                <w:color w:val="auto"/>
                <w:w w:val="71"/>
              </w:rPr>
              <w:t>$</w:t>
            </w:r>
          </w:p>
        </w:tc>
        <w:tc>
          <w:tcPr>
            <w:tcW w:w="30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4</w:t>
            </w:r>
          </w:p>
        </w:tc>
        <w:tc>
          <w:tcPr>
            <w:tcW w:w="280" w:type="dxa"/>
            <w:vAlign w:val="bottom"/>
            <w:tcBorders>
              <w:top w:val="single" w:sz="8" w:color="CFF0FC"/>
            </w:tcBorders>
            <w:shd w:val="clear" w:color="auto" w:fill="CFF0FC"/>
          </w:tcPr>
          <w:p>
            <w:pPr>
              <w:spacing w:after="0"/>
              <w:rPr>
                <w:sz w:val="12"/>
                <w:szCs w:val="12"/>
                <w:color w:val="auto"/>
              </w:rPr>
            </w:pPr>
          </w:p>
        </w:tc>
        <w:tc>
          <w:tcPr>
            <w:tcW w:w="240" w:type="dxa"/>
            <w:vAlign w:val="bottom"/>
            <w:tcBorders>
              <w:top w:val="single" w:sz="8" w:color="auto"/>
            </w:tcBorders>
            <w:shd w:val="clear" w:color="auto" w:fill="CFF0FC"/>
          </w:tcPr>
          <w:p>
            <w:pPr>
              <w:jc w:val="right"/>
              <w:ind w:right="128"/>
              <w:spacing w:after="0"/>
              <w:rPr>
                <w:sz w:val="20"/>
                <w:szCs w:val="20"/>
                <w:color w:val="auto"/>
              </w:rPr>
            </w:pPr>
            <w:r>
              <w:rPr>
                <w:rFonts w:ascii="Arial" w:cs="Arial" w:eastAsia="Arial" w:hAnsi="Arial"/>
                <w:sz w:val="10"/>
                <w:szCs w:val="10"/>
                <w:b w:val="1"/>
                <w:bCs w:val="1"/>
                <w:color w:val="auto"/>
                <w:w w:val="71"/>
              </w:rPr>
              <w:t>$</w:t>
            </w:r>
          </w:p>
        </w:tc>
        <w:tc>
          <w:tcPr>
            <w:tcW w:w="11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427,198</w:t>
            </w:r>
          </w:p>
        </w:tc>
        <w:tc>
          <w:tcPr>
            <w:tcW w:w="28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jc w:val="right"/>
              <w:ind w:right="88"/>
              <w:spacing w:after="0"/>
              <w:rPr>
                <w:sz w:val="20"/>
                <w:szCs w:val="20"/>
                <w:color w:val="auto"/>
              </w:rPr>
            </w:pPr>
            <w:r>
              <w:rPr>
                <w:rFonts w:ascii="Arial" w:cs="Arial" w:eastAsia="Arial" w:hAnsi="Arial"/>
                <w:sz w:val="10"/>
                <w:szCs w:val="10"/>
                <w:b w:val="1"/>
                <w:bCs w:val="1"/>
                <w:color w:val="auto"/>
                <w:w w:val="71"/>
              </w:rPr>
              <w:t>$</w:t>
            </w:r>
          </w:p>
        </w:tc>
        <w:tc>
          <w:tcPr>
            <w:tcW w:w="12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(170,677)</w:t>
            </w:r>
          </w:p>
        </w:tc>
        <w:tc>
          <w:tcPr>
            <w:tcW w:w="26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jc w:val="right"/>
              <w:ind w:right="88"/>
              <w:spacing w:after="0"/>
              <w:rPr>
                <w:sz w:val="20"/>
                <w:szCs w:val="20"/>
                <w:color w:val="auto"/>
              </w:rPr>
            </w:pPr>
            <w:r>
              <w:rPr>
                <w:rFonts w:ascii="Arial" w:cs="Arial" w:eastAsia="Arial" w:hAnsi="Arial"/>
                <w:sz w:val="10"/>
                <w:szCs w:val="10"/>
                <w:b w:val="1"/>
                <w:bCs w:val="1"/>
                <w:color w:val="auto"/>
                <w:w w:val="71"/>
              </w:rPr>
              <w:t>$</w:t>
            </w:r>
          </w:p>
        </w:tc>
        <w:tc>
          <w:tcPr>
            <w:tcW w:w="12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256,525</w:t>
            </w:r>
          </w:p>
        </w:tc>
        <w:tc>
          <w:tcPr>
            <w:tcW w:w="120" w:type="dxa"/>
            <w:vAlign w:val="bottom"/>
            <w:tcBorders>
              <w:top w:val="single" w:sz="8" w:color="CFF0FC"/>
            </w:tcBorders>
            <w:shd w:val="clear" w:color="auto" w:fill="CFF0FC"/>
          </w:tcPr>
          <w:p>
            <w:pPr>
              <w:spacing w:after="0"/>
              <w:rPr>
                <w:sz w:val="12"/>
                <w:szCs w:val="12"/>
                <w:color w:val="auto"/>
              </w:rPr>
            </w:pPr>
          </w:p>
        </w:tc>
      </w:tr>
      <w:tr>
        <w:trPr>
          <w:trHeight w:val="148"/>
        </w:trPr>
        <w:tc>
          <w:tcPr>
            <w:tcW w:w="3960" w:type="dxa"/>
            <w:vAlign w:val="bottom"/>
            <w:gridSpan w:val="2"/>
          </w:tcPr>
          <w:p>
            <w:pPr>
              <w:ind w:left="260"/>
              <w:spacing w:after="0"/>
              <w:rPr>
                <w:sz w:val="20"/>
                <w:szCs w:val="20"/>
                <w:color w:val="auto"/>
              </w:rPr>
            </w:pPr>
            <w:r>
              <w:rPr>
                <w:rFonts w:ascii="Arial" w:cs="Arial" w:eastAsia="Arial" w:hAnsi="Arial"/>
                <w:sz w:val="13"/>
                <w:szCs w:val="13"/>
                <w:color w:val="auto"/>
              </w:rPr>
              <w:t>Stock-based compensation expense</w:t>
            </w: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3,899</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3,899</w:t>
            </w:r>
          </w:p>
        </w:tc>
        <w:tc>
          <w:tcPr>
            <w:tcW w:w="120" w:type="dxa"/>
            <w:vAlign w:val="bottom"/>
          </w:tcPr>
          <w:p>
            <w:pPr>
              <w:spacing w:after="0"/>
              <w:rPr>
                <w:sz w:val="12"/>
                <w:szCs w:val="12"/>
                <w:color w:val="auto"/>
              </w:rPr>
            </w:pPr>
          </w:p>
        </w:tc>
      </w:tr>
      <w:tr>
        <w:trPr>
          <w:trHeight w:val="148"/>
        </w:trPr>
        <w:tc>
          <w:tcPr>
            <w:tcW w:w="3960" w:type="dxa"/>
            <w:vAlign w:val="bottom"/>
            <w:gridSpan w:val="2"/>
            <w:shd w:val="clear" w:color="auto" w:fill="CFF0FC"/>
          </w:tcPr>
          <w:p>
            <w:pPr>
              <w:ind w:left="260"/>
              <w:spacing w:after="0"/>
              <w:rPr>
                <w:sz w:val="20"/>
                <w:szCs w:val="20"/>
                <w:color w:val="auto"/>
              </w:rPr>
            </w:pPr>
            <w:r>
              <w:rPr>
                <w:rFonts w:ascii="Arial" w:cs="Arial" w:eastAsia="Arial" w:hAnsi="Arial"/>
                <w:sz w:val="13"/>
                <w:szCs w:val="13"/>
                <w:color w:val="auto"/>
              </w:rPr>
              <w:t>Exercise of stock options</w:t>
            </w: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w:t>
            </w:r>
          </w:p>
        </w:tc>
        <w:tc>
          <w:tcPr>
            <w:tcW w:w="26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61</w:t>
            </w: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61</w:t>
            </w:r>
          </w:p>
        </w:tc>
        <w:tc>
          <w:tcPr>
            <w:tcW w:w="120" w:type="dxa"/>
            <w:vAlign w:val="bottom"/>
            <w:shd w:val="clear" w:color="auto" w:fill="CFF0FC"/>
          </w:tcPr>
          <w:p>
            <w:pPr>
              <w:spacing w:after="0"/>
              <w:rPr>
                <w:sz w:val="12"/>
                <w:szCs w:val="12"/>
                <w:color w:val="auto"/>
              </w:rPr>
            </w:pPr>
          </w:p>
        </w:tc>
      </w:tr>
      <w:tr>
        <w:trPr>
          <w:trHeight w:val="148"/>
        </w:trPr>
        <w:tc>
          <w:tcPr>
            <w:tcW w:w="3960" w:type="dxa"/>
            <w:vAlign w:val="bottom"/>
            <w:gridSpan w:val="2"/>
          </w:tcPr>
          <w:p>
            <w:pPr>
              <w:ind w:left="260"/>
              <w:spacing w:after="0"/>
              <w:rPr>
                <w:sz w:val="20"/>
                <w:szCs w:val="20"/>
                <w:color w:val="auto"/>
              </w:rPr>
            </w:pPr>
            <w:r>
              <w:rPr>
                <w:rFonts w:ascii="Arial" w:cs="Arial" w:eastAsia="Arial" w:hAnsi="Arial"/>
                <w:sz w:val="13"/>
                <w:szCs w:val="13"/>
                <w:color w:val="auto"/>
              </w:rPr>
              <w:t>Vesting of restricted stock awards and units</w:t>
            </w:r>
          </w:p>
        </w:tc>
        <w:tc>
          <w:tcPr>
            <w:tcW w:w="440" w:type="dxa"/>
            <w:vAlign w:val="bottom"/>
          </w:tcPr>
          <w:p>
            <w:pPr>
              <w:jc w:val="right"/>
              <w:spacing w:after="0"/>
              <w:rPr>
                <w:sz w:val="20"/>
                <w:szCs w:val="20"/>
                <w:color w:val="auto"/>
              </w:rPr>
            </w:pPr>
            <w:r>
              <w:rPr>
                <w:rFonts w:ascii="Arial" w:cs="Arial" w:eastAsia="Arial" w:hAnsi="Arial"/>
                <w:sz w:val="13"/>
                <w:szCs w:val="13"/>
                <w:color w:val="auto"/>
              </w:rPr>
              <w:t>10</w:t>
            </w: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r>
      <w:tr>
        <w:trPr>
          <w:trHeight w:val="134"/>
        </w:trPr>
        <w:tc>
          <w:tcPr>
            <w:tcW w:w="3960" w:type="dxa"/>
            <w:vAlign w:val="bottom"/>
            <w:gridSpan w:val="2"/>
            <w:shd w:val="clear" w:color="auto" w:fill="CFF0FC"/>
          </w:tcPr>
          <w:p>
            <w:pPr>
              <w:ind w:left="260"/>
              <w:spacing w:after="0" w:line="134" w:lineRule="exact"/>
              <w:rPr>
                <w:sz w:val="20"/>
                <w:szCs w:val="20"/>
                <w:color w:val="auto"/>
              </w:rPr>
            </w:pPr>
            <w:r>
              <w:rPr>
                <w:rFonts w:ascii="Arial" w:cs="Arial" w:eastAsia="Arial" w:hAnsi="Arial"/>
                <w:sz w:val="13"/>
                <w:szCs w:val="13"/>
                <w:color w:val="auto"/>
              </w:rPr>
              <w:t>Issuance of common stock under ATM facility, net</w:t>
            </w:r>
          </w:p>
        </w:tc>
        <w:tc>
          <w:tcPr>
            <w:tcW w:w="4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960" w:type="dxa"/>
            <w:vAlign w:val="bottom"/>
            <w:gridSpan w:val="2"/>
            <w:shd w:val="clear" w:color="auto" w:fill="CFF0FC"/>
          </w:tcPr>
          <w:p>
            <w:pPr>
              <w:ind w:left="260"/>
              <w:spacing w:after="0"/>
              <w:rPr>
                <w:sz w:val="20"/>
                <w:szCs w:val="20"/>
                <w:color w:val="auto"/>
              </w:rPr>
            </w:pPr>
            <w:r>
              <w:rPr>
                <w:rFonts w:ascii="Arial" w:cs="Arial" w:eastAsia="Arial" w:hAnsi="Arial"/>
                <w:sz w:val="13"/>
                <w:szCs w:val="13"/>
                <w:color w:val="auto"/>
              </w:rPr>
              <w:t>of offering costs of $67</w:t>
            </w: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384</w:t>
            </w:r>
          </w:p>
        </w:tc>
        <w:tc>
          <w:tcPr>
            <w:tcW w:w="26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8,130</w:t>
            </w: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8,130</w:t>
            </w:r>
          </w:p>
        </w:tc>
        <w:tc>
          <w:tcPr>
            <w:tcW w:w="120" w:type="dxa"/>
            <w:vAlign w:val="bottom"/>
            <w:shd w:val="clear" w:color="auto" w:fill="CFF0FC"/>
          </w:tcPr>
          <w:p>
            <w:pPr>
              <w:spacing w:after="0"/>
              <w:rPr>
                <w:sz w:val="12"/>
                <w:szCs w:val="12"/>
                <w:color w:val="auto"/>
              </w:rPr>
            </w:pPr>
          </w:p>
        </w:tc>
      </w:tr>
      <w:tr>
        <w:trPr>
          <w:trHeight w:val="134"/>
        </w:trPr>
        <w:tc>
          <w:tcPr>
            <w:tcW w:w="3960" w:type="dxa"/>
            <w:vAlign w:val="bottom"/>
            <w:gridSpan w:val="2"/>
          </w:tcPr>
          <w:p>
            <w:pPr>
              <w:ind w:left="260"/>
              <w:spacing w:after="0" w:line="134" w:lineRule="exact"/>
              <w:rPr>
                <w:sz w:val="20"/>
                <w:szCs w:val="20"/>
                <w:color w:val="auto"/>
              </w:rPr>
            </w:pPr>
            <w:r>
              <w:rPr>
                <w:rFonts w:ascii="Arial" w:cs="Arial" w:eastAsia="Arial" w:hAnsi="Arial"/>
                <w:sz w:val="13"/>
                <w:szCs w:val="13"/>
                <w:color w:val="auto"/>
              </w:rPr>
              <w:t>Issuance of common stock under the 2018</w:t>
            </w: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9"/>
        </w:trPr>
        <w:tc>
          <w:tcPr>
            <w:tcW w:w="3960" w:type="dxa"/>
            <w:vAlign w:val="bottom"/>
            <w:gridSpan w:val="2"/>
          </w:tcPr>
          <w:p>
            <w:pPr>
              <w:ind w:left="260"/>
              <w:spacing w:after="0"/>
              <w:rPr>
                <w:sz w:val="20"/>
                <w:szCs w:val="20"/>
                <w:color w:val="auto"/>
              </w:rPr>
            </w:pPr>
            <w:r>
              <w:rPr>
                <w:rFonts w:ascii="Arial" w:cs="Arial" w:eastAsia="Arial" w:hAnsi="Arial"/>
                <w:sz w:val="13"/>
                <w:szCs w:val="13"/>
                <w:color w:val="auto"/>
              </w:rPr>
              <w:t>employee stock purchase plan</w:t>
            </w:r>
          </w:p>
        </w:tc>
        <w:tc>
          <w:tcPr>
            <w:tcW w:w="440" w:type="dxa"/>
            <w:vAlign w:val="bottom"/>
          </w:tcPr>
          <w:p>
            <w:pPr>
              <w:jc w:val="right"/>
              <w:spacing w:after="0"/>
              <w:rPr>
                <w:sz w:val="20"/>
                <w:szCs w:val="20"/>
                <w:color w:val="auto"/>
              </w:rPr>
            </w:pPr>
            <w:r>
              <w:rPr>
                <w:rFonts w:ascii="Arial" w:cs="Arial" w:eastAsia="Arial" w:hAnsi="Arial"/>
                <w:sz w:val="13"/>
                <w:szCs w:val="13"/>
                <w:color w:val="auto"/>
              </w:rPr>
              <w:t>2</w:t>
            </w: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r>
      <w:tr>
        <w:trPr>
          <w:trHeight w:val="149"/>
        </w:trPr>
        <w:tc>
          <w:tcPr>
            <w:tcW w:w="3960" w:type="dxa"/>
            <w:vAlign w:val="bottom"/>
            <w:gridSpan w:val="2"/>
            <w:shd w:val="clear" w:color="auto" w:fill="CFF0FC"/>
          </w:tcPr>
          <w:p>
            <w:pPr>
              <w:ind w:left="260"/>
              <w:spacing w:after="0"/>
              <w:rPr>
                <w:sz w:val="20"/>
                <w:szCs w:val="20"/>
                <w:color w:val="auto"/>
              </w:rPr>
            </w:pPr>
            <w:r>
              <w:rPr>
                <w:rFonts w:ascii="Arial" w:cs="Arial" w:eastAsia="Arial" w:hAnsi="Arial"/>
                <w:sz w:val="13"/>
                <w:szCs w:val="13"/>
                <w:color w:val="auto"/>
              </w:rPr>
              <w:t>Net loss</w:t>
            </w:r>
          </w:p>
        </w:tc>
        <w:tc>
          <w:tcPr>
            <w:tcW w:w="4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(28,828)</w:t>
            </w:r>
          </w:p>
        </w:tc>
        <w:tc>
          <w:tcPr>
            <w:tcW w:w="20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(28,828)</w:t>
            </w:r>
          </w:p>
        </w:tc>
      </w:tr>
      <w:tr>
        <w:trPr>
          <w:trHeight w:val="142"/>
        </w:trPr>
        <w:tc>
          <w:tcPr>
            <w:tcW w:w="3000" w:type="dxa"/>
            <w:vAlign w:val="bottom"/>
          </w:tcPr>
          <w:p>
            <w:pPr>
              <w:spacing w:after="0" w:line="142" w:lineRule="exact"/>
              <w:rPr>
                <w:sz w:val="20"/>
                <w:szCs w:val="20"/>
                <w:color w:val="auto"/>
              </w:rPr>
            </w:pPr>
            <w:r>
              <w:rPr>
                <w:rFonts w:ascii="Arial" w:cs="Arial" w:eastAsia="Arial" w:hAnsi="Arial"/>
                <w:sz w:val="13"/>
                <w:szCs w:val="13"/>
                <w:b w:val="1"/>
                <w:bCs w:val="1"/>
                <w:color w:val="auto"/>
              </w:rPr>
              <w:t>Balance as of June 30, 2020</w:t>
            </w:r>
          </w:p>
        </w:tc>
        <w:tc>
          <w:tcPr>
            <w:tcW w:w="9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36,432</w:t>
            </w:r>
          </w:p>
        </w:tc>
        <w:tc>
          <w:tcPr>
            <w:tcW w:w="260" w:type="dxa"/>
            <w:vAlign w:val="bottom"/>
          </w:tcPr>
          <w:p>
            <w:pPr>
              <w:spacing w:after="0"/>
              <w:rPr>
                <w:sz w:val="12"/>
                <w:szCs w:val="12"/>
                <w:color w:val="auto"/>
              </w:rPr>
            </w:pPr>
          </w:p>
        </w:tc>
        <w:tc>
          <w:tcPr>
            <w:tcW w:w="1100" w:type="dxa"/>
            <w:vAlign w:val="bottom"/>
            <w:tcBorders>
              <w:top w:val="single" w:sz="8" w:color="auto"/>
            </w:tcBorders>
          </w:tcPr>
          <w:p>
            <w:pPr>
              <w:jc w:val="right"/>
              <w:ind w:right="985"/>
              <w:spacing w:after="0"/>
              <w:rPr>
                <w:sz w:val="20"/>
                <w:szCs w:val="20"/>
                <w:color w:val="auto"/>
              </w:rPr>
            </w:pPr>
            <w:r>
              <w:rPr>
                <w:rFonts w:ascii="Arial" w:cs="Arial" w:eastAsia="Arial" w:hAnsi="Arial"/>
                <w:sz w:val="10"/>
                <w:szCs w:val="10"/>
                <w:b w:val="1"/>
                <w:bCs w:val="1"/>
                <w:color w:val="auto"/>
                <w:w w:val="71"/>
              </w:rPr>
              <w:t>$</w:t>
            </w: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4</w:t>
            </w:r>
          </w:p>
        </w:tc>
        <w:tc>
          <w:tcPr>
            <w:tcW w:w="280" w:type="dxa"/>
            <w:vAlign w:val="bottom"/>
          </w:tcPr>
          <w:p>
            <w:pPr>
              <w:spacing w:after="0"/>
              <w:rPr>
                <w:sz w:val="12"/>
                <w:szCs w:val="12"/>
                <w:color w:val="auto"/>
              </w:rPr>
            </w:pPr>
          </w:p>
        </w:tc>
        <w:tc>
          <w:tcPr>
            <w:tcW w:w="240" w:type="dxa"/>
            <w:vAlign w:val="bottom"/>
            <w:tcBorders>
              <w:top w:val="single" w:sz="8" w:color="auto"/>
            </w:tcBorders>
          </w:tcPr>
          <w:p>
            <w:pPr>
              <w:jc w:val="right"/>
              <w:ind w:right="128"/>
              <w:spacing w:after="0"/>
              <w:rPr>
                <w:sz w:val="20"/>
                <w:szCs w:val="20"/>
                <w:color w:val="auto"/>
              </w:rPr>
            </w:pPr>
            <w:r>
              <w:rPr>
                <w:rFonts w:ascii="Arial" w:cs="Arial" w:eastAsia="Arial" w:hAnsi="Arial"/>
                <w:sz w:val="10"/>
                <w:szCs w:val="10"/>
                <w:b w:val="1"/>
                <w:bCs w:val="1"/>
                <w:color w:val="auto"/>
                <w:w w:val="71"/>
              </w:rPr>
              <w:t>$</w:t>
            </w:r>
          </w:p>
        </w:tc>
        <w:tc>
          <w:tcPr>
            <w:tcW w:w="11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439,288</w:t>
            </w:r>
          </w:p>
        </w:tc>
        <w:tc>
          <w:tcPr>
            <w:tcW w:w="280" w:type="dxa"/>
            <w:vAlign w:val="bottom"/>
          </w:tcPr>
          <w:p>
            <w:pPr>
              <w:spacing w:after="0"/>
              <w:rPr>
                <w:sz w:val="12"/>
                <w:szCs w:val="12"/>
                <w:color w:val="auto"/>
              </w:rPr>
            </w:pPr>
          </w:p>
        </w:tc>
        <w:tc>
          <w:tcPr>
            <w:tcW w:w="200" w:type="dxa"/>
            <w:vAlign w:val="bottom"/>
            <w:tcBorders>
              <w:top w:val="single" w:sz="8" w:color="auto"/>
            </w:tcBorders>
          </w:tcPr>
          <w:p>
            <w:pPr>
              <w:jc w:val="right"/>
              <w:ind w:right="88"/>
              <w:spacing w:after="0"/>
              <w:rPr>
                <w:sz w:val="20"/>
                <w:szCs w:val="20"/>
                <w:color w:val="auto"/>
              </w:rPr>
            </w:pPr>
            <w:r>
              <w:rPr>
                <w:rFonts w:ascii="Arial" w:cs="Arial" w:eastAsia="Arial" w:hAnsi="Arial"/>
                <w:sz w:val="10"/>
                <w:szCs w:val="10"/>
                <w:b w:val="1"/>
                <w:bCs w:val="1"/>
                <w:color w:val="auto"/>
                <w:w w:val="71"/>
              </w:rPr>
              <w:t>$</w:t>
            </w:r>
          </w:p>
        </w:tc>
        <w:tc>
          <w:tcPr>
            <w:tcW w:w="12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(199,505)</w:t>
            </w:r>
          </w:p>
        </w:tc>
        <w:tc>
          <w:tcPr>
            <w:tcW w:w="260" w:type="dxa"/>
            <w:vAlign w:val="bottom"/>
          </w:tcPr>
          <w:p>
            <w:pPr>
              <w:spacing w:after="0"/>
              <w:rPr>
                <w:sz w:val="12"/>
                <w:szCs w:val="12"/>
                <w:color w:val="auto"/>
              </w:rPr>
            </w:pPr>
          </w:p>
        </w:tc>
        <w:tc>
          <w:tcPr>
            <w:tcW w:w="200" w:type="dxa"/>
            <w:vAlign w:val="bottom"/>
            <w:tcBorders>
              <w:top w:val="single" w:sz="8" w:color="auto"/>
            </w:tcBorders>
          </w:tcPr>
          <w:p>
            <w:pPr>
              <w:jc w:val="right"/>
              <w:ind w:right="88"/>
              <w:spacing w:after="0"/>
              <w:rPr>
                <w:sz w:val="20"/>
                <w:szCs w:val="20"/>
                <w:color w:val="auto"/>
              </w:rPr>
            </w:pPr>
            <w:r>
              <w:rPr>
                <w:rFonts w:ascii="Arial" w:cs="Arial" w:eastAsia="Arial" w:hAnsi="Arial"/>
                <w:sz w:val="10"/>
                <w:szCs w:val="10"/>
                <w:b w:val="1"/>
                <w:bCs w:val="1"/>
                <w:color w:val="auto"/>
                <w:w w:val="71"/>
              </w:rPr>
              <w:t>$</w:t>
            </w:r>
          </w:p>
        </w:tc>
        <w:tc>
          <w:tcPr>
            <w:tcW w:w="12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239,787</w:t>
            </w:r>
          </w:p>
        </w:tc>
        <w:tc>
          <w:tcPr>
            <w:tcW w:w="120" w:type="dxa"/>
            <w:vAlign w:val="bottom"/>
          </w:tcPr>
          <w:p>
            <w:pPr>
              <w:spacing w:after="0"/>
              <w:rPr>
                <w:sz w:val="12"/>
                <w:szCs w:val="12"/>
                <w:color w:val="auto"/>
              </w:rPr>
            </w:pPr>
          </w:p>
        </w:tc>
      </w:tr>
      <w:tr>
        <w:trPr>
          <w:trHeight w:val="148"/>
        </w:trPr>
        <w:tc>
          <w:tcPr>
            <w:tcW w:w="3960" w:type="dxa"/>
            <w:vAlign w:val="bottom"/>
            <w:gridSpan w:val="2"/>
            <w:shd w:val="clear" w:color="auto" w:fill="CFF0FC"/>
          </w:tcPr>
          <w:p>
            <w:pPr>
              <w:ind w:left="260"/>
              <w:spacing w:after="0"/>
              <w:rPr>
                <w:sz w:val="20"/>
                <w:szCs w:val="20"/>
                <w:color w:val="auto"/>
              </w:rPr>
            </w:pPr>
            <w:r>
              <w:rPr>
                <w:rFonts w:ascii="Arial" w:cs="Arial" w:eastAsia="Arial" w:hAnsi="Arial"/>
                <w:sz w:val="13"/>
                <w:szCs w:val="13"/>
                <w:color w:val="auto"/>
              </w:rPr>
              <w:t>Stock-based compensation expense</w:t>
            </w: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4,805</w:t>
            </w: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4,805</w:t>
            </w:r>
          </w:p>
        </w:tc>
        <w:tc>
          <w:tcPr>
            <w:tcW w:w="120" w:type="dxa"/>
            <w:vAlign w:val="bottom"/>
            <w:shd w:val="clear" w:color="auto" w:fill="CFF0FC"/>
          </w:tcPr>
          <w:p>
            <w:pPr>
              <w:spacing w:after="0"/>
              <w:rPr>
                <w:sz w:val="12"/>
                <w:szCs w:val="12"/>
                <w:color w:val="auto"/>
              </w:rPr>
            </w:pPr>
          </w:p>
        </w:tc>
      </w:tr>
      <w:tr>
        <w:trPr>
          <w:trHeight w:val="148"/>
        </w:trPr>
        <w:tc>
          <w:tcPr>
            <w:tcW w:w="3960" w:type="dxa"/>
            <w:vAlign w:val="bottom"/>
            <w:gridSpan w:val="2"/>
          </w:tcPr>
          <w:p>
            <w:pPr>
              <w:ind w:left="260"/>
              <w:spacing w:after="0"/>
              <w:rPr>
                <w:sz w:val="20"/>
                <w:szCs w:val="20"/>
                <w:color w:val="auto"/>
              </w:rPr>
            </w:pPr>
            <w:r>
              <w:rPr>
                <w:rFonts w:ascii="Arial" w:cs="Arial" w:eastAsia="Arial" w:hAnsi="Arial"/>
                <w:sz w:val="13"/>
                <w:szCs w:val="13"/>
                <w:color w:val="auto"/>
              </w:rPr>
              <w:t>Exercise of stock options</w:t>
            </w:r>
          </w:p>
        </w:tc>
        <w:tc>
          <w:tcPr>
            <w:tcW w:w="440" w:type="dxa"/>
            <w:vAlign w:val="bottom"/>
          </w:tcPr>
          <w:p>
            <w:pPr>
              <w:jc w:val="right"/>
              <w:spacing w:after="0"/>
              <w:rPr>
                <w:sz w:val="20"/>
                <w:szCs w:val="20"/>
                <w:color w:val="auto"/>
              </w:rPr>
            </w:pPr>
            <w:r>
              <w:rPr>
                <w:rFonts w:ascii="Arial" w:cs="Arial" w:eastAsia="Arial" w:hAnsi="Arial"/>
                <w:sz w:val="13"/>
                <w:szCs w:val="13"/>
                <w:color w:val="auto"/>
              </w:rPr>
              <w:t>7</w:t>
            </w: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60</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60</w:t>
            </w:r>
          </w:p>
        </w:tc>
        <w:tc>
          <w:tcPr>
            <w:tcW w:w="120" w:type="dxa"/>
            <w:vAlign w:val="bottom"/>
          </w:tcPr>
          <w:p>
            <w:pPr>
              <w:spacing w:after="0"/>
              <w:rPr>
                <w:sz w:val="12"/>
                <w:szCs w:val="12"/>
                <w:color w:val="auto"/>
              </w:rPr>
            </w:pPr>
          </w:p>
        </w:tc>
      </w:tr>
      <w:tr>
        <w:trPr>
          <w:trHeight w:val="149"/>
        </w:trPr>
        <w:tc>
          <w:tcPr>
            <w:tcW w:w="3960" w:type="dxa"/>
            <w:vAlign w:val="bottom"/>
            <w:gridSpan w:val="2"/>
            <w:shd w:val="clear" w:color="auto" w:fill="CFF0FC"/>
          </w:tcPr>
          <w:p>
            <w:pPr>
              <w:ind w:left="260"/>
              <w:spacing w:after="0"/>
              <w:rPr>
                <w:sz w:val="20"/>
                <w:szCs w:val="20"/>
                <w:color w:val="auto"/>
              </w:rPr>
            </w:pPr>
            <w:r>
              <w:rPr>
                <w:rFonts w:ascii="Arial" w:cs="Arial" w:eastAsia="Arial" w:hAnsi="Arial"/>
                <w:sz w:val="13"/>
                <w:szCs w:val="13"/>
                <w:color w:val="auto"/>
              </w:rPr>
              <w:t>Vesting of restricted stock awards and units</w:t>
            </w: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w:t>
            </w:r>
          </w:p>
        </w:tc>
        <w:tc>
          <w:tcPr>
            <w:tcW w:w="26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r>
      <w:tr>
        <w:trPr>
          <w:trHeight w:val="148"/>
        </w:trPr>
        <w:tc>
          <w:tcPr>
            <w:tcW w:w="3960" w:type="dxa"/>
            <w:vAlign w:val="bottom"/>
            <w:gridSpan w:val="2"/>
          </w:tcPr>
          <w:p>
            <w:pPr>
              <w:ind w:left="260"/>
              <w:spacing w:after="0"/>
              <w:rPr>
                <w:sz w:val="20"/>
                <w:szCs w:val="20"/>
                <w:color w:val="auto"/>
              </w:rPr>
            </w:pPr>
            <w:r>
              <w:rPr>
                <w:rFonts w:ascii="Arial" w:cs="Arial" w:eastAsia="Arial" w:hAnsi="Arial"/>
                <w:sz w:val="13"/>
                <w:szCs w:val="13"/>
                <w:color w:val="auto"/>
              </w:rPr>
              <w:t>Net loss</w:t>
            </w: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3"/>
                <w:szCs w:val="13"/>
                <w:color w:val="auto"/>
              </w:rPr>
              <w:t>(36,780)</w:t>
            </w:r>
          </w:p>
        </w:tc>
        <w:tc>
          <w:tcPr>
            <w:tcW w:w="200" w:type="dxa"/>
            <w:vAlign w:val="bottom"/>
          </w:tcPr>
          <w:p>
            <w:pPr>
              <w:spacing w:after="0"/>
              <w:rPr>
                <w:sz w:val="12"/>
                <w:szCs w:val="12"/>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3"/>
                <w:szCs w:val="13"/>
                <w:color w:val="auto"/>
              </w:rPr>
              <w:t>(36,780)</w:t>
            </w:r>
          </w:p>
        </w:tc>
      </w:tr>
      <w:tr>
        <w:trPr>
          <w:trHeight w:val="142"/>
        </w:trPr>
        <w:tc>
          <w:tcPr>
            <w:tcW w:w="3000" w:type="dxa"/>
            <w:vAlign w:val="bottom"/>
            <w:tcBorders>
              <w:top w:val="single" w:sz="8" w:color="CFF0FC"/>
              <w:bottom w:val="single" w:sz="8" w:color="CFF0FC"/>
            </w:tcBorders>
            <w:shd w:val="clear" w:color="auto" w:fill="CFF0FC"/>
          </w:tcPr>
          <w:p>
            <w:pPr>
              <w:spacing w:after="0" w:line="142" w:lineRule="exact"/>
              <w:rPr>
                <w:sz w:val="20"/>
                <w:szCs w:val="20"/>
                <w:color w:val="auto"/>
              </w:rPr>
            </w:pPr>
            <w:r>
              <w:rPr>
                <w:rFonts w:ascii="Arial" w:cs="Arial" w:eastAsia="Arial" w:hAnsi="Arial"/>
                <w:sz w:val="13"/>
                <w:szCs w:val="13"/>
                <w:b w:val="1"/>
                <w:bCs w:val="1"/>
                <w:color w:val="auto"/>
              </w:rPr>
              <w:t>Balance as of September 30, 2020</w:t>
            </w:r>
          </w:p>
        </w:tc>
        <w:tc>
          <w:tcPr>
            <w:tcW w:w="960" w:type="dxa"/>
            <w:vAlign w:val="bottom"/>
            <w:tcBorders>
              <w:top w:val="single" w:sz="8" w:color="auto"/>
              <w:bottom w:val="single" w:sz="8" w:color="auto"/>
            </w:tcBorders>
            <w:shd w:val="clear" w:color="auto" w:fill="CFF0FC"/>
          </w:tcPr>
          <w:p>
            <w:pPr>
              <w:spacing w:after="0"/>
              <w:rPr>
                <w:sz w:val="12"/>
                <w:szCs w:val="12"/>
                <w:color w:val="auto"/>
              </w:rPr>
            </w:pPr>
          </w:p>
        </w:tc>
        <w:tc>
          <w:tcPr>
            <w:tcW w:w="4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36,449</w:t>
            </w:r>
          </w:p>
        </w:tc>
        <w:tc>
          <w:tcPr>
            <w:tcW w:w="260" w:type="dxa"/>
            <w:vAlign w:val="bottom"/>
            <w:tcBorders>
              <w:top w:val="single" w:sz="8" w:color="CFF0FC"/>
              <w:bottom w:val="single" w:sz="8" w:color="CFF0FC"/>
            </w:tcBorders>
            <w:shd w:val="clear" w:color="auto" w:fill="CFF0FC"/>
          </w:tcPr>
          <w:p>
            <w:pPr>
              <w:spacing w:after="0"/>
              <w:rPr>
                <w:sz w:val="12"/>
                <w:szCs w:val="12"/>
                <w:color w:val="auto"/>
              </w:rPr>
            </w:pPr>
          </w:p>
        </w:tc>
        <w:tc>
          <w:tcPr>
            <w:tcW w:w="1100" w:type="dxa"/>
            <w:vAlign w:val="bottom"/>
            <w:tcBorders>
              <w:top w:val="single" w:sz="8" w:color="auto"/>
              <w:bottom w:val="single" w:sz="8" w:color="auto"/>
            </w:tcBorders>
            <w:shd w:val="clear" w:color="auto" w:fill="CFF0FC"/>
          </w:tcPr>
          <w:p>
            <w:pPr>
              <w:jc w:val="right"/>
              <w:ind w:right="985"/>
              <w:spacing w:after="0"/>
              <w:rPr>
                <w:sz w:val="20"/>
                <w:szCs w:val="20"/>
                <w:color w:val="auto"/>
              </w:rPr>
            </w:pPr>
            <w:r>
              <w:rPr>
                <w:rFonts w:ascii="Arial" w:cs="Arial" w:eastAsia="Arial" w:hAnsi="Arial"/>
                <w:sz w:val="10"/>
                <w:szCs w:val="10"/>
                <w:b w:val="1"/>
                <w:bCs w:val="1"/>
                <w:color w:val="auto"/>
                <w:w w:val="71"/>
              </w:rPr>
              <w:t>$</w:t>
            </w:r>
          </w:p>
        </w:tc>
        <w:tc>
          <w:tcPr>
            <w:tcW w:w="3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4</w:t>
            </w:r>
          </w:p>
        </w:tc>
        <w:tc>
          <w:tcPr>
            <w:tcW w:w="280" w:type="dxa"/>
            <w:vAlign w:val="bottom"/>
            <w:tcBorders>
              <w:top w:val="single" w:sz="8" w:color="CFF0FC"/>
              <w:bottom w:val="single" w:sz="8" w:color="CFF0FC"/>
            </w:tcBorders>
            <w:shd w:val="clear" w:color="auto" w:fill="CFF0FC"/>
          </w:tcPr>
          <w:p>
            <w:pPr>
              <w:spacing w:after="0"/>
              <w:rPr>
                <w:sz w:val="12"/>
                <w:szCs w:val="12"/>
                <w:color w:val="auto"/>
              </w:rPr>
            </w:pPr>
          </w:p>
        </w:tc>
        <w:tc>
          <w:tcPr>
            <w:tcW w:w="240" w:type="dxa"/>
            <w:vAlign w:val="bottom"/>
            <w:tcBorders>
              <w:top w:val="single" w:sz="8" w:color="auto"/>
              <w:bottom w:val="single" w:sz="8" w:color="auto"/>
            </w:tcBorders>
            <w:shd w:val="clear" w:color="auto" w:fill="CFF0FC"/>
          </w:tcPr>
          <w:p>
            <w:pPr>
              <w:jc w:val="right"/>
              <w:ind w:right="128"/>
              <w:spacing w:after="0"/>
              <w:rPr>
                <w:sz w:val="20"/>
                <w:szCs w:val="20"/>
                <w:color w:val="auto"/>
              </w:rPr>
            </w:pPr>
            <w:r>
              <w:rPr>
                <w:rFonts w:ascii="Arial" w:cs="Arial" w:eastAsia="Arial" w:hAnsi="Arial"/>
                <w:sz w:val="10"/>
                <w:szCs w:val="10"/>
                <w:b w:val="1"/>
                <w:bCs w:val="1"/>
                <w:color w:val="auto"/>
                <w:w w:val="71"/>
              </w:rPr>
              <w:t>$</w:t>
            </w:r>
          </w:p>
        </w:tc>
        <w:tc>
          <w:tcPr>
            <w:tcW w:w="11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444,153</w:t>
            </w:r>
          </w:p>
        </w:tc>
        <w:tc>
          <w:tcPr>
            <w:tcW w:w="280" w:type="dxa"/>
            <w:vAlign w:val="bottom"/>
            <w:tcBorders>
              <w:top w:val="single" w:sz="8" w:color="CFF0FC"/>
              <w:bottom w:val="single" w:sz="8" w:color="CFF0FC"/>
            </w:tcBorders>
            <w:shd w:val="clear" w:color="auto" w:fill="CFF0FC"/>
          </w:tcPr>
          <w:p>
            <w:pPr>
              <w:spacing w:after="0"/>
              <w:rPr>
                <w:sz w:val="12"/>
                <w:szCs w:val="12"/>
                <w:color w:val="auto"/>
              </w:rPr>
            </w:pPr>
          </w:p>
        </w:tc>
        <w:tc>
          <w:tcPr>
            <w:tcW w:w="200" w:type="dxa"/>
            <w:vAlign w:val="bottom"/>
            <w:tcBorders>
              <w:top w:val="single" w:sz="8" w:color="auto"/>
              <w:bottom w:val="single" w:sz="8" w:color="auto"/>
            </w:tcBorders>
            <w:shd w:val="clear" w:color="auto" w:fill="CFF0FC"/>
          </w:tcPr>
          <w:p>
            <w:pPr>
              <w:jc w:val="right"/>
              <w:ind w:right="88"/>
              <w:spacing w:after="0"/>
              <w:rPr>
                <w:sz w:val="20"/>
                <w:szCs w:val="20"/>
                <w:color w:val="auto"/>
              </w:rPr>
            </w:pPr>
            <w:r>
              <w:rPr>
                <w:rFonts w:ascii="Arial" w:cs="Arial" w:eastAsia="Arial" w:hAnsi="Arial"/>
                <w:sz w:val="10"/>
                <w:szCs w:val="10"/>
                <w:b w:val="1"/>
                <w:bCs w:val="1"/>
                <w:color w:val="auto"/>
                <w:w w:val="71"/>
              </w:rPr>
              <w:t>$</w:t>
            </w:r>
          </w:p>
        </w:tc>
        <w:tc>
          <w:tcPr>
            <w:tcW w:w="12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(236,285)</w:t>
            </w:r>
          </w:p>
        </w:tc>
        <w:tc>
          <w:tcPr>
            <w:tcW w:w="260" w:type="dxa"/>
            <w:vAlign w:val="bottom"/>
            <w:tcBorders>
              <w:top w:val="single" w:sz="8" w:color="CFF0FC"/>
              <w:bottom w:val="single" w:sz="8" w:color="CFF0FC"/>
            </w:tcBorders>
            <w:shd w:val="clear" w:color="auto" w:fill="CFF0FC"/>
          </w:tcPr>
          <w:p>
            <w:pPr>
              <w:spacing w:after="0"/>
              <w:rPr>
                <w:sz w:val="12"/>
                <w:szCs w:val="12"/>
                <w:color w:val="auto"/>
              </w:rPr>
            </w:pPr>
          </w:p>
        </w:tc>
        <w:tc>
          <w:tcPr>
            <w:tcW w:w="200" w:type="dxa"/>
            <w:vAlign w:val="bottom"/>
            <w:tcBorders>
              <w:top w:val="single" w:sz="8" w:color="auto"/>
              <w:bottom w:val="single" w:sz="8" w:color="auto"/>
            </w:tcBorders>
            <w:shd w:val="clear" w:color="auto" w:fill="CFF0FC"/>
          </w:tcPr>
          <w:p>
            <w:pPr>
              <w:jc w:val="right"/>
              <w:ind w:right="88"/>
              <w:spacing w:after="0"/>
              <w:rPr>
                <w:sz w:val="20"/>
                <w:szCs w:val="20"/>
                <w:color w:val="auto"/>
              </w:rPr>
            </w:pPr>
            <w:r>
              <w:rPr>
                <w:rFonts w:ascii="Arial" w:cs="Arial" w:eastAsia="Arial" w:hAnsi="Arial"/>
                <w:sz w:val="10"/>
                <w:szCs w:val="10"/>
                <w:b w:val="1"/>
                <w:bCs w:val="1"/>
                <w:color w:val="auto"/>
                <w:w w:val="71"/>
              </w:rPr>
              <w:t>$</w:t>
            </w:r>
          </w:p>
        </w:tc>
        <w:tc>
          <w:tcPr>
            <w:tcW w:w="12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207,872</w:t>
            </w: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r>
      <w:tr>
        <w:trPr>
          <w:trHeight w:val="20"/>
        </w:trPr>
        <w:tc>
          <w:tcPr>
            <w:tcW w:w="30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4"/>
        </w:trPr>
        <w:tc>
          <w:tcPr>
            <w:tcW w:w="30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jc w:val="center"/>
              <w:ind w:right="197"/>
              <w:spacing w:after="0"/>
              <w:rPr>
                <w:sz w:val="20"/>
                <w:szCs w:val="20"/>
                <w:color w:val="auto"/>
              </w:rPr>
            </w:pPr>
            <w:r>
              <w:rPr>
                <w:rFonts w:ascii="Arial" w:cs="Arial" w:eastAsia="Arial" w:hAnsi="Arial"/>
                <w:sz w:val="13"/>
                <w:szCs w:val="13"/>
                <w:b w:val="1"/>
                <w:bCs w:val="1"/>
                <w:color w:val="auto"/>
                <w:w w:val="91"/>
              </w:rPr>
              <w:t>Additional</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9"/>
              </w:rPr>
              <w:t>Total</w:t>
            </w:r>
          </w:p>
        </w:tc>
      </w:tr>
      <w:tr>
        <w:trPr>
          <w:trHeight w:val="153"/>
        </w:trPr>
        <w:tc>
          <w:tcPr>
            <w:tcW w:w="300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3"/>
          </w:tcPr>
          <w:p>
            <w:pPr>
              <w:jc w:val="right"/>
              <w:ind w:right="765"/>
              <w:spacing w:after="0"/>
              <w:rPr>
                <w:sz w:val="20"/>
                <w:szCs w:val="20"/>
                <w:color w:val="auto"/>
              </w:rPr>
            </w:pPr>
            <w:r>
              <w:rPr>
                <w:rFonts w:ascii="Arial" w:cs="Arial" w:eastAsia="Arial" w:hAnsi="Arial"/>
                <w:sz w:val="13"/>
                <w:szCs w:val="13"/>
                <w:b w:val="1"/>
                <w:bCs w:val="1"/>
                <w:color w:val="auto"/>
              </w:rPr>
              <w:t>Common Stock</w:t>
            </w:r>
          </w:p>
        </w:tc>
        <w:tc>
          <w:tcPr>
            <w:tcW w:w="30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jc w:val="center"/>
              <w:ind w:right="177"/>
              <w:spacing w:after="0"/>
              <w:rPr>
                <w:sz w:val="20"/>
                <w:szCs w:val="20"/>
                <w:color w:val="auto"/>
              </w:rPr>
            </w:pPr>
            <w:r>
              <w:rPr>
                <w:rFonts w:ascii="Arial" w:cs="Arial" w:eastAsia="Arial" w:hAnsi="Arial"/>
                <w:sz w:val="13"/>
                <w:szCs w:val="13"/>
                <w:b w:val="1"/>
                <w:bCs w:val="1"/>
                <w:color w:val="auto"/>
                <w:w w:val="92"/>
              </w:rPr>
              <w:t>Paid-in</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gridSpan w:val="2"/>
          </w:tcPr>
          <w:p>
            <w:pPr>
              <w:jc w:val="center"/>
              <w:ind w:right="480"/>
              <w:spacing w:after="0"/>
              <w:rPr>
                <w:sz w:val="20"/>
                <w:szCs w:val="20"/>
                <w:color w:val="auto"/>
              </w:rPr>
            </w:pPr>
            <w:r>
              <w:rPr>
                <w:rFonts w:ascii="Arial" w:cs="Arial" w:eastAsia="Arial" w:hAnsi="Arial"/>
                <w:sz w:val="13"/>
                <w:szCs w:val="13"/>
                <w:b w:val="1"/>
                <w:bCs w:val="1"/>
                <w:color w:val="auto"/>
                <w:w w:val="88"/>
              </w:rPr>
              <w:t>Accumulated</w:t>
            </w:r>
          </w:p>
        </w:tc>
        <w:tc>
          <w:tcPr>
            <w:tcW w:w="200" w:type="dxa"/>
            <w:vAlign w:val="bottom"/>
          </w:tcPr>
          <w:p>
            <w:pPr>
              <w:spacing w:after="0"/>
              <w:rPr>
                <w:sz w:val="13"/>
                <w:szCs w:val="13"/>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6"/>
              </w:rPr>
              <w:t>Stockholders’</w:t>
            </w:r>
          </w:p>
        </w:tc>
      </w:tr>
      <w:tr>
        <w:trPr>
          <w:trHeight w:val="142"/>
        </w:trPr>
        <w:tc>
          <w:tcPr>
            <w:tcW w:w="3000" w:type="dxa"/>
            <w:vAlign w:val="bottom"/>
          </w:tcPr>
          <w:p>
            <w:pPr>
              <w:spacing w:after="0"/>
              <w:rPr>
                <w:sz w:val="12"/>
                <w:szCs w:val="12"/>
                <w:color w:val="auto"/>
              </w:rPr>
            </w:pPr>
          </w:p>
        </w:tc>
        <w:tc>
          <w:tcPr>
            <w:tcW w:w="960" w:type="dxa"/>
            <w:vAlign w:val="bottom"/>
          </w:tcPr>
          <w:p>
            <w:pPr>
              <w:ind w:left="500"/>
              <w:spacing w:after="0" w:line="142" w:lineRule="exact"/>
              <w:rPr>
                <w:sz w:val="20"/>
                <w:szCs w:val="20"/>
                <w:color w:val="auto"/>
              </w:rPr>
            </w:pPr>
            <w:r>
              <w:rPr>
                <w:rFonts w:ascii="Arial" w:cs="Arial" w:eastAsia="Arial" w:hAnsi="Arial"/>
                <w:sz w:val="13"/>
                <w:szCs w:val="13"/>
                <w:b w:val="1"/>
                <w:bCs w:val="1"/>
                <w:color w:val="auto"/>
              </w:rPr>
              <w:t>Shares</w:t>
            </w: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jc w:val="right"/>
              <w:ind w:right="125"/>
              <w:spacing w:after="0" w:line="142" w:lineRule="exact"/>
              <w:rPr>
                <w:sz w:val="20"/>
                <w:szCs w:val="20"/>
                <w:color w:val="auto"/>
              </w:rPr>
            </w:pPr>
            <w:r>
              <w:rPr>
                <w:rFonts w:ascii="Arial" w:cs="Arial" w:eastAsia="Arial" w:hAnsi="Arial"/>
                <w:sz w:val="13"/>
                <w:szCs w:val="13"/>
                <w:b w:val="1"/>
                <w:bCs w:val="1"/>
                <w:color w:val="auto"/>
              </w:rPr>
              <w:t>Amount</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jc w:val="center"/>
              <w:ind w:right="177"/>
              <w:spacing w:after="0" w:line="142" w:lineRule="exact"/>
              <w:rPr>
                <w:sz w:val="20"/>
                <w:szCs w:val="20"/>
                <w:color w:val="auto"/>
              </w:rPr>
            </w:pPr>
            <w:r>
              <w:rPr>
                <w:rFonts w:ascii="Arial" w:cs="Arial" w:eastAsia="Arial" w:hAnsi="Arial"/>
                <w:sz w:val="13"/>
                <w:szCs w:val="13"/>
                <w:b w:val="1"/>
                <w:bCs w:val="1"/>
                <w:color w:val="auto"/>
                <w:w w:val="92"/>
              </w:rPr>
              <w:t>Capital</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2"/>
          </w:tcPr>
          <w:p>
            <w:pPr>
              <w:jc w:val="center"/>
              <w:ind w:right="480"/>
              <w:spacing w:after="0" w:line="142" w:lineRule="exact"/>
              <w:rPr>
                <w:sz w:val="20"/>
                <w:szCs w:val="20"/>
                <w:color w:val="auto"/>
              </w:rPr>
            </w:pPr>
            <w:r>
              <w:rPr>
                <w:rFonts w:ascii="Arial" w:cs="Arial" w:eastAsia="Arial" w:hAnsi="Arial"/>
                <w:sz w:val="13"/>
                <w:szCs w:val="13"/>
                <w:b w:val="1"/>
                <w:bCs w:val="1"/>
                <w:color w:val="auto"/>
                <w:w w:val="90"/>
              </w:rPr>
              <w:t>Deficit</w:t>
            </w:r>
          </w:p>
        </w:tc>
        <w:tc>
          <w:tcPr>
            <w:tcW w:w="200" w:type="dxa"/>
            <w:vAlign w:val="bottom"/>
          </w:tcPr>
          <w:p>
            <w:pPr>
              <w:spacing w:after="0"/>
              <w:rPr>
                <w:sz w:val="12"/>
                <w:szCs w:val="12"/>
                <w:color w:val="auto"/>
              </w:rPr>
            </w:pPr>
          </w:p>
        </w:tc>
        <w:tc>
          <w:tcPr>
            <w:tcW w:w="1340" w:type="dxa"/>
            <w:vAlign w:val="bottom"/>
            <w:gridSpan w:val="2"/>
          </w:tcPr>
          <w:p>
            <w:pPr>
              <w:jc w:val="center"/>
              <w:ind w:right="340"/>
              <w:spacing w:after="0" w:line="142" w:lineRule="exact"/>
              <w:rPr>
                <w:sz w:val="20"/>
                <w:szCs w:val="20"/>
                <w:color w:val="auto"/>
              </w:rPr>
            </w:pPr>
            <w:r>
              <w:rPr>
                <w:rFonts w:ascii="Arial" w:cs="Arial" w:eastAsia="Arial" w:hAnsi="Arial"/>
                <w:sz w:val="13"/>
                <w:szCs w:val="13"/>
                <w:b w:val="1"/>
                <w:bCs w:val="1"/>
                <w:color w:val="auto"/>
                <w:w w:val="90"/>
              </w:rPr>
              <w:t>Equity</w:t>
            </w:r>
          </w:p>
        </w:tc>
      </w:tr>
      <w:tr>
        <w:trPr>
          <w:trHeight w:val="142"/>
        </w:trPr>
        <w:tc>
          <w:tcPr>
            <w:tcW w:w="3000" w:type="dxa"/>
            <w:vAlign w:val="bottom"/>
            <w:tcBorders>
              <w:top w:val="single" w:sz="8" w:color="CFF0FC"/>
            </w:tcBorders>
            <w:shd w:val="clear" w:color="auto" w:fill="CFF0FC"/>
          </w:tcPr>
          <w:p>
            <w:pPr>
              <w:spacing w:after="0" w:line="142" w:lineRule="exact"/>
              <w:rPr>
                <w:sz w:val="20"/>
                <w:szCs w:val="20"/>
                <w:color w:val="auto"/>
              </w:rPr>
            </w:pPr>
            <w:r>
              <w:rPr>
                <w:rFonts w:ascii="Arial" w:cs="Arial" w:eastAsia="Arial" w:hAnsi="Arial"/>
                <w:sz w:val="13"/>
                <w:szCs w:val="13"/>
                <w:b w:val="1"/>
                <w:bCs w:val="1"/>
                <w:color w:val="auto"/>
              </w:rPr>
              <w:t>Balance as of December 31, 2018</w:t>
            </w:r>
          </w:p>
        </w:tc>
        <w:tc>
          <w:tcPr>
            <w:tcW w:w="960" w:type="dxa"/>
            <w:vAlign w:val="bottom"/>
            <w:tcBorders>
              <w:top w:val="single" w:sz="8" w:color="auto"/>
            </w:tcBorders>
            <w:shd w:val="clear" w:color="auto" w:fill="CFF0FC"/>
          </w:tcPr>
          <w:p>
            <w:pPr>
              <w:spacing w:after="0"/>
              <w:rPr>
                <w:sz w:val="12"/>
                <w:szCs w:val="12"/>
                <w:color w:val="auto"/>
              </w:rPr>
            </w:pPr>
          </w:p>
        </w:tc>
        <w:tc>
          <w:tcPr>
            <w:tcW w:w="4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23,807</w:t>
            </w:r>
          </w:p>
        </w:tc>
        <w:tc>
          <w:tcPr>
            <w:tcW w:w="260" w:type="dxa"/>
            <w:vAlign w:val="bottom"/>
            <w:tcBorders>
              <w:top w:val="single" w:sz="8" w:color="CFF0FC"/>
            </w:tcBorders>
            <w:shd w:val="clear" w:color="auto" w:fill="CFF0FC"/>
          </w:tcPr>
          <w:p>
            <w:pPr>
              <w:spacing w:after="0"/>
              <w:rPr>
                <w:sz w:val="12"/>
                <w:szCs w:val="12"/>
                <w:color w:val="auto"/>
              </w:rPr>
            </w:pPr>
          </w:p>
        </w:tc>
        <w:tc>
          <w:tcPr>
            <w:tcW w:w="1100" w:type="dxa"/>
            <w:vAlign w:val="bottom"/>
            <w:tcBorders>
              <w:top w:val="single" w:sz="8" w:color="auto"/>
            </w:tcBorders>
            <w:shd w:val="clear" w:color="auto" w:fill="CFF0FC"/>
          </w:tcPr>
          <w:p>
            <w:pPr>
              <w:jc w:val="right"/>
              <w:ind w:right="985"/>
              <w:spacing w:after="0"/>
              <w:rPr>
                <w:sz w:val="20"/>
                <w:szCs w:val="20"/>
                <w:color w:val="auto"/>
              </w:rPr>
            </w:pPr>
            <w:r>
              <w:rPr>
                <w:rFonts w:ascii="Arial" w:cs="Arial" w:eastAsia="Arial" w:hAnsi="Arial"/>
                <w:sz w:val="10"/>
                <w:szCs w:val="10"/>
                <w:b w:val="1"/>
                <w:bCs w:val="1"/>
                <w:color w:val="auto"/>
                <w:w w:val="71"/>
              </w:rPr>
              <w:t>$</w:t>
            </w:r>
          </w:p>
        </w:tc>
        <w:tc>
          <w:tcPr>
            <w:tcW w:w="30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w:t>
            </w:r>
          </w:p>
        </w:tc>
        <w:tc>
          <w:tcPr>
            <w:tcW w:w="280" w:type="dxa"/>
            <w:vAlign w:val="bottom"/>
            <w:tcBorders>
              <w:top w:val="single" w:sz="8" w:color="CFF0FC"/>
            </w:tcBorders>
            <w:shd w:val="clear" w:color="auto" w:fill="CFF0FC"/>
          </w:tcPr>
          <w:p>
            <w:pPr>
              <w:spacing w:after="0"/>
              <w:rPr>
                <w:sz w:val="12"/>
                <w:szCs w:val="12"/>
                <w:color w:val="auto"/>
              </w:rPr>
            </w:pPr>
          </w:p>
        </w:tc>
        <w:tc>
          <w:tcPr>
            <w:tcW w:w="240" w:type="dxa"/>
            <w:vAlign w:val="bottom"/>
            <w:tcBorders>
              <w:top w:val="single" w:sz="8" w:color="auto"/>
            </w:tcBorders>
            <w:shd w:val="clear" w:color="auto" w:fill="CFF0FC"/>
          </w:tcPr>
          <w:p>
            <w:pPr>
              <w:jc w:val="right"/>
              <w:ind w:right="128"/>
              <w:spacing w:after="0"/>
              <w:rPr>
                <w:sz w:val="20"/>
                <w:szCs w:val="20"/>
                <w:color w:val="auto"/>
              </w:rPr>
            </w:pPr>
            <w:r>
              <w:rPr>
                <w:rFonts w:ascii="Arial" w:cs="Arial" w:eastAsia="Arial" w:hAnsi="Arial"/>
                <w:sz w:val="10"/>
                <w:szCs w:val="10"/>
                <w:b w:val="1"/>
                <w:bCs w:val="1"/>
                <w:color w:val="auto"/>
                <w:w w:val="71"/>
              </w:rPr>
              <w:t>$</w:t>
            </w:r>
          </w:p>
        </w:tc>
        <w:tc>
          <w:tcPr>
            <w:tcW w:w="11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193,921</w:t>
            </w:r>
          </w:p>
        </w:tc>
        <w:tc>
          <w:tcPr>
            <w:tcW w:w="28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jc w:val="right"/>
              <w:ind w:right="88"/>
              <w:spacing w:after="0"/>
              <w:rPr>
                <w:sz w:val="20"/>
                <w:szCs w:val="20"/>
                <w:color w:val="auto"/>
              </w:rPr>
            </w:pPr>
            <w:r>
              <w:rPr>
                <w:rFonts w:ascii="Arial" w:cs="Arial" w:eastAsia="Arial" w:hAnsi="Arial"/>
                <w:sz w:val="10"/>
                <w:szCs w:val="10"/>
                <w:b w:val="1"/>
                <w:bCs w:val="1"/>
                <w:color w:val="auto"/>
                <w:w w:val="71"/>
              </w:rPr>
              <w:t>$</w:t>
            </w:r>
          </w:p>
        </w:tc>
        <w:tc>
          <w:tcPr>
            <w:tcW w:w="12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(71,739)</w:t>
            </w:r>
          </w:p>
        </w:tc>
        <w:tc>
          <w:tcPr>
            <w:tcW w:w="26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jc w:val="right"/>
              <w:ind w:right="88"/>
              <w:spacing w:after="0"/>
              <w:rPr>
                <w:sz w:val="20"/>
                <w:szCs w:val="20"/>
                <w:color w:val="auto"/>
              </w:rPr>
            </w:pPr>
            <w:r>
              <w:rPr>
                <w:rFonts w:ascii="Arial" w:cs="Arial" w:eastAsia="Arial" w:hAnsi="Arial"/>
                <w:sz w:val="10"/>
                <w:szCs w:val="10"/>
                <w:b w:val="1"/>
                <w:bCs w:val="1"/>
                <w:color w:val="auto"/>
                <w:w w:val="71"/>
              </w:rPr>
              <w:t>$</w:t>
            </w:r>
          </w:p>
        </w:tc>
        <w:tc>
          <w:tcPr>
            <w:tcW w:w="12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122,184</w:t>
            </w:r>
          </w:p>
        </w:tc>
        <w:tc>
          <w:tcPr>
            <w:tcW w:w="120" w:type="dxa"/>
            <w:vAlign w:val="bottom"/>
            <w:tcBorders>
              <w:top w:val="single" w:sz="8" w:color="CFF0FC"/>
            </w:tcBorders>
            <w:shd w:val="clear" w:color="auto" w:fill="CFF0FC"/>
          </w:tcPr>
          <w:p>
            <w:pPr>
              <w:spacing w:after="0"/>
              <w:rPr>
                <w:sz w:val="12"/>
                <w:szCs w:val="12"/>
                <w:color w:val="auto"/>
              </w:rPr>
            </w:pPr>
          </w:p>
        </w:tc>
      </w:tr>
      <w:tr>
        <w:trPr>
          <w:trHeight w:val="148"/>
        </w:trPr>
        <w:tc>
          <w:tcPr>
            <w:tcW w:w="3960" w:type="dxa"/>
            <w:vAlign w:val="bottom"/>
            <w:gridSpan w:val="2"/>
          </w:tcPr>
          <w:p>
            <w:pPr>
              <w:ind w:left="260"/>
              <w:spacing w:after="0"/>
              <w:rPr>
                <w:sz w:val="20"/>
                <w:szCs w:val="20"/>
                <w:color w:val="auto"/>
              </w:rPr>
            </w:pPr>
            <w:r>
              <w:rPr>
                <w:rFonts w:ascii="Arial" w:cs="Arial" w:eastAsia="Arial" w:hAnsi="Arial"/>
                <w:sz w:val="13"/>
                <w:szCs w:val="13"/>
                <w:color w:val="auto"/>
              </w:rPr>
              <w:t>Stock-based compensation expense</w:t>
            </w: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1,455</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1,455</w:t>
            </w:r>
          </w:p>
        </w:tc>
        <w:tc>
          <w:tcPr>
            <w:tcW w:w="120" w:type="dxa"/>
            <w:vAlign w:val="bottom"/>
          </w:tcPr>
          <w:p>
            <w:pPr>
              <w:spacing w:after="0"/>
              <w:rPr>
                <w:sz w:val="12"/>
                <w:szCs w:val="12"/>
                <w:color w:val="auto"/>
              </w:rPr>
            </w:pPr>
          </w:p>
        </w:tc>
      </w:tr>
      <w:tr>
        <w:trPr>
          <w:trHeight w:val="149"/>
        </w:trPr>
        <w:tc>
          <w:tcPr>
            <w:tcW w:w="3960" w:type="dxa"/>
            <w:vAlign w:val="bottom"/>
            <w:gridSpan w:val="2"/>
            <w:shd w:val="clear" w:color="auto" w:fill="CFF0FC"/>
          </w:tcPr>
          <w:p>
            <w:pPr>
              <w:ind w:left="260"/>
              <w:spacing w:after="0"/>
              <w:rPr>
                <w:sz w:val="20"/>
                <w:szCs w:val="20"/>
                <w:color w:val="auto"/>
              </w:rPr>
            </w:pPr>
            <w:r>
              <w:rPr>
                <w:rFonts w:ascii="Arial" w:cs="Arial" w:eastAsia="Arial" w:hAnsi="Arial"/>
                <w:sz w:val="13"/>
                <w:szCs w:val="13"/>
                <w:color w:val="auto"/>
              </w:rPr>
              <w:t>Exercise of stock options</w:t>
            </w: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117</w:t>
            </w:r>
          </w:p>
        </w:tc>
        <w:tc>
          <w:tcPr>
            <w:tcW w:w="26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252</w:t>
            </w: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252</w:t>
            </w:r>
          </w:p>
        </w:tc>
        <w:tc>
          <w:tcPr>
            <w:tcW w:w="120" w:type="dxa"/>
            <w:vAlign w:val="bottom"/>
            <w:shd w:val="clear" w:color="auto" w:fill="CFF0FC"/>
          </w:tcPr>
          <w:p>
            <w:pPr>
              <w:spacing w:after="0"/>
              <w:rPr>
                <w:sz w:val="12"/>
                <w:szCs w:val="12"/>
                <w:color w:val="auto"/>
              </w:rPr>
            </w:pPr>
          </w:p>
        </w:tc>
      </w:tr>
      <w:tr>
        <w:trPr>
          <w:trHeight w:val="148"/>
        </w:trPr>
        <w:tc>
          <w:tcPr>
            <w:tcW w:w="3960" w:type="dxa"/>
            <w:vAlign w:val="bottom"/>
            <w:gridSpan w:val="2"/>
          </w:tcPr>
          <w:p>
            <w:pPr>
              <w:ind w:left="260"/>
              <w:spacing w:after="0"/>
              <w:rPr>
                <w:sz w:val="20"/>
                <w:szCs w:val="20"/>
                <w:color w:val="auto"/>
              </w:rPr>
            </w:pPr>
            <w:r>
              <w:rPr>
                <w:rFonts w:ascii="Arial" w:cs="Arial" w:eastAsia="Arial" w:hAnsi="Arial"/>
                <w:sz w:val="13"/>
                <w:szCs w:val="13"/>
                <w:color w:val="auto"/>
              </w:rPr>
              <w:t>Vesting of restricted stock awards and units</w:t>
            </w:r>
          </w:p>
        </w:tc>
        <w:tc>
          <w:tcPr>
            <w:tcW w:w="440" w:type="dxa"/>
            <w:vAlign w:val="bottom"/>
          </w:tcPr>
          <w:p>
            <w:pPr>
              <w:jc w:val="right"/>
              <w:spacing w:after="0"/>
              <w:rPr>
                <w:sz w:val="20"/>
                <w:szCs w:val="20"/>
                <w:color w:val="auto"/>
              </w:rPr>
            </w:pPr>
            <w:r>
              <w:rPr>
                <w:rFonts w:ascii="Arial" w:cs="Arial" w:eastAsia="Arial" w:hAnsi="Arial"/>
                <w:sz w:val="13"/>
                <w:szCs w:val="13"/>
                <w:color w:val="auto"/>
              </w:rPr>
              <w:t>30</w:t>
            </w: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r>
      <w:tr>
        <w:trPr>
          <w:trHeight w:val="148"/>
        </w:trPr>
        <w:tc>
          <w:tcPr>
            <w:tcW w:w="3960" w:type="dxa"/>
            <w:vAlign w:val="bottom"/>
            <w:gridSpan w:val="2"/>
            <w:shd w:val="clear" w:color="auto" w:fill="CFF0FC"/>
          </w:tcPr>
          <w:p>
            <w:pPr>
              <w:ind w:left="260"/>
              <w:spacing w:after="0"/>
              <w:rPr>
                <w:sz w:val="20"/>
                <w:szCs w:val="20"/>
                <w:color w:val="auto"/>
              </w:rPr>
            </w:pPr>
            <w:r>
              <w:rPr>
                <w:rFonts w:ascii="Arial" w:cs="Arial" w:eastAsia="Arial" w:hAnsi="Arial"/>
                <w:sz w:val="13"/>
                <w:szCs w:val="13"/>
                <w:color w:val="auto"/>
              </w:rPr>
              <w:t>Net loss</w:t>
            </w: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(17,103)</w:t>
            </w:r>
          </w:p>
        </w:tc>
        <w:tc>
          <w:tcPr>
            <w:tcW w:w="20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(17,103)</w:t>
            </w:r>
          </w:p>
        </w:tc>
      </w:tr>
      <w:tr>
        <w:trPr>
          <w:trHeight w:val="142"/>
        </w:trPr>
        <w:tc>
          <w:tcPr>
            <w:tcW w:w="3000" w:type="dxa"/>
            <w:vAlign w:val="bottom"/>
          </w:tcPr>
          <w:p>
            <w:pPr>
              <w:spacing w:after="0" w:line="142" w:lineRule="exact"/>
              <w:rPr>
                <w:sz w:val="20"/>
                <w:szCs w:val="20"/>
                <w:color w:val="auto"/>
              </w:rPr>
            </w:pPr>
            <w:r>
              <w:rPr>
                <w:rFonts w:ascii="Arial" w:cs="Arial" w:eastAsia="Arial" w:hAnsi="Arial"/>
                <w:sz w:val="13"/>
                <w:szCs w:val="13"/>
                <w:b w:val="1"/>
                <w:bCs w:val="1"/>
                <w:color w:val="auto"/>
              </w:rPr>
              <w:t>Balance as of March 31, 2019</w:t>
            </w:r>
          </w:p>
        </w:tc>
        <w:tc>
          <w:tcPr>
            <w:tcW w:w="9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23,954</w:t>
            </w:r>
          </w:p>
        </w:tc>
        <w:tc>
          <w:tcPr>
            <w:tcW w:w="260" w:type="dxa"/>
            <w:vAlign w:val="bottom"/>
          </w:tcPr>
          <w:p>
            <w:pPr>
              <w:spacing w:after="0"/>
              <w:rPr>
                <w:sz w:val="12"/>
                <w:szCs w:val="12"/>
                <w:color w:val="auto"/>
              </w:rPr>
            </w:pPr>
          </w:p>
        </w:tc>
        <w:tc>
          <w:tcPr>
            <w:tcW w:w="1100" w:type="dxa"/>
            <w:vAlign w:val="bottom"/>
            <w:tcBorders>
              <w:top w:val="single" w:sz="8" w:color="auto"/>
            </w:tcBorders>
          </w:tcPr>
          <w:p>
            <w:pPr>
              <w:jc w:val="right"/>
              <w:ind w:right="985"/>
              <w:spacing w:after="0"/>
              <w:rPr>
                <w:sz w:val="20"/>
                <w:szCs w:val="20"/>
                <w:color w:val="auto"/>
              </w:rPr>
            </w:pPr>
            <w:r>
              <w:rPr>
                <w:rFonts w:ascii="Arial" w:cs="Arial" w:eastAsia="Arial" w:hAnsi="Arial"/>
                <w:sz w:val="10"/>
                <w:szCs w:val="10"/>
                <w:b w:val="1"/>
                <w:bCs w:val="1"/>
                <w:color w:val="auto"/>
                <w:w w:val="71"/>
              </w:rPr>
              <w:t>$</w:t>
            </w: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w:t>
            </w:r>
          </w:p>
        </w:tc>
        <w:tc>
          <w:tcPr>
            <w:tcW w:w="280" w:type="dxa"/>
            <w:vAlign w:val="bottom"/>
          </w:tcPr>
          <w:p>
            <w:pPr>
              <w:spacing w:after="0"/>
              <w:rPr>
                <w:sz w:val="12"/>
                <w:szCs w:val="12"/>
                <w:color w:val="auto"/>
              </w:rPr>
            </w:pPr>
          </w:p>
        </w:tc>
        <w:tc>
          <w:tcPr>
            <w:tcW w:w="240" w:type="dxa"/>
            <w:vAlign w:val="bottom"/>
            <w:tcBorders>
              <w:top w:val="single" w:sz="8" w:color="auto"/>
            </w:tcBorders>
          </w:tcPr>
          <w:p>
            <w:pPr>
              <w:jc w:val="right"/>
              <w:ind w:right="128"/>
              <w:spacing w:after="0"/>
              <w:rPr>
                <w:sz w:val="20"/>
                <w:szCs w:val="20"/>
                <w:color w:val="auto"/>
              </w:rPr>
            </w:pPr>
            <w:r>
              <w:rPr>
                <w:rFonts w:ascii="Arial" w:cs="Arial" w:eastAsia="Arial" w:hAnsi="Arial"/>
                <w:sz w:val="10"/>
                <w:szCs w:val="10"/>
                <w:b w:val="1"/>
                <w:bCs w:val="1"/>
                <w:color w:val="auto"/>
                <w:w w:val="71"/>
              </w:rPr>
              <w:t>$</w:t>
            </w:r>
          </w:p>
        </w:tc>
        <w:tc>
          <w:tcPr>
            <w:tcW w:w="11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195,628</w:t>
            </w:r>
          </w:p>
        </w:tc>
        <w:tc>
          <w:tcPr>
            <w:tcW w:w="280" w:type="dxa"/>
            <w:vAlign w:val="bottom"/>
          </w:tcPr>
          <w:p>
            <w:pPr>
              <w:spacing w:after="0"/>
              <w:rPr>
                <w:sz w:val="12"/>
                <w:szCs w:val="12"/>
                <w:color w:val="auto"/>
              </w:rPr>
            </w:pPr>
          </w:p>
        </w:tc>
        <w:tc>
          <w:tcPr>
            <w:tcW w:w="200" w:type="dxa"/>
            <w:vAlign w:val="bottom"/>
            <w:tcBorders>
              <w:top w:val="single" w:sz="8" w:color="auto"/>
            </w:tcBorders>
          </w:tcPr>
          <w:p>
            <w:pPr>
              <w:jc w:val="right"/>
              <w:ind w:right="88"/>
              <w:spacing w:after="0"/>
              <w:rPr>
                <w:sz w:val="20"/>
                <w:szCs w:val="20"/>
                <w:color w:val="auto"/>
              </w:rPr>
            </w:pPr>
            <w:r>
              <w:rPr>
                <w:rFonts w:ascii="Arial" w:cs="Arial" w:eastAsia="Arial" w:hAnsi="Arial"/>
                <w:sz w:val="10"/>
                <w:szCs w:val="10"/>
                <w:b w:val="1"/>
                <w:bCs w:val="1"/>
                <w:color w:val="auto"/>
                <w:w w:val="71"/>
              </w:rPr>
              <w:t>$</w:t>
            </w:r>
          </w:p>
        </w:tc>
        <w:tc>
          <w:tcPr>
            <w:tcW w:w="12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(88,842)</w:t>
            </w:r>
          </w:p>
        </w:tc>
        <w:tc>
          <w:tcPr>
            <w:tcW w:w="260" w:type="dxa"/>
            <w:vAlign w:val="bottom"/>
          </w:tcPr>
          <w:p>
            <w:pPr>
              <w:spacing w:after="0"/>
              <w:rPr>
                <w:sz w:val="12"/>
                <w:szCs w:val="12"/>
                <w:color w:val="auto"/>
              </w:rPr>
            </w:pPr>
          </w:p>
        </w:tc>
        <w:tc>
          <w:tcPr>
            <w:tcW w:w="200" w:type="dxa"/>
            <w:vAlign w:val="bottom"/>
            <w:tcBorders>
              <w:top w:val="single" w:sz="8" w:color="auto"/>
            </w:tcBorders>
          </w:tcPr>
          <w:p>
            <w:pPr>
              <w:jc w:val="right"/>
              <w:ind w:right="88"/>
              <w:spacing w:after="0"/>
              <w:rPr>
                <w:sz w:val="20"/>
                <w:szCs w:val="20"/>
                <w:color w:val="auto"/>
              </w:rPr>
            </w:pPr>
            <w:r>
              <w:rPr>
                <w:rFonts w:ascii="Arial" w:cs="Arial" w:eastAsia="Arial" w:hAnsi="Arial"/>
                <w:sz w:val="10"/>
                <w:szCs w:val="10"/>
                <w:b w:val="1"/>
                <w:bCs w:val="1"/>
                <w:color w:val="auto"/>
                <w:w w:val="71"/>
              </w:rPr>
              <w:t>$</w:t>
            </w:r>
          </w:p>
        </w:tc>
        <w:tc>
          <w:tcPr>
            <w:tcW w:w="12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106,788</w:t>
            </w:r>
          </w:p>
        </w:tc>
        <w:tc>
          <w:tcPr>
            <w:tcW w:w="120" w:type="dxa"/>
            <w:vAlign w:val="bottom"/>
          </w:tcPr>
          <w:p>
            <w:pPr>
              <w:spacing w:after="0"/>
              <w:rPr>
                <w:sz w:val="12"/>
                <w:szCs w:val="12"/>
                <w:color w:val="auto"/>
              </w:rPr>
            </w:pPr>
          </w:p>
        </w:tc>
      </w:tr>
      <w:tr>
        <w:trPr>
          <w:trHeight w:val="149"/>
        </w:trPr>
        <w:tc>
          <w:tcPr>
            <w:tcW w:w="3960" w:type="dxa"/>
            <w:vAlign w:val="bottom"/>
            <w:gridSpan w:val="2"/>
            <w:shd w:val="clear" w:color="auto" w:fill="CFF0FC"/>
          </w:tcPr>
          <w:p>
            <w:pPr>
              <w:ind w:left="260"/>
              <w:spacing w:after="0"/>
              <w:rPr>
                <w:sz w:val="20"/>
                <w:szCs w:val="20"/>
                <w:color w:val="auto"/>
              </w:rPr>
            </w:pPr>
            <w:r>
              <w:rPr>
                <w:rFonts w:ascii="Arial" w:cs="Arial" w:eastAsia="Arial" w:hAnsi="Arial"/>
                <w:sz w:val="13"/>
                <w:szCs w:val="13"/>
                <w:color w:val="auto"/>
              </w:rPr>
              <w:t>Stock-based compensation expense</w:t>
            </w: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1,663</w:t>
            </w: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1,663</w:t>
            </w:r>
          </w:p>
        </w:tc>
        <w:tc>
          <w:tcPr>
            <w:tcW w:w="120" w:type="dxa"/>
            <w:vAlign w:val="bottom"/>
            <w:shd w:val="clear" w:color="auto" w:fill="CFF0FC"/>
          </w:tcPr>
          <w:p>
            <w:pPr>
              <w:spacing w:after="0"/>
              <w:rPr>
                <w:sz w:val="12"/>
                <w:szCs w:val="12"/>
                <w:color w:val="auto"/>
              </w:rPr>
            </w:pPr>
          </w:p>
        </w:tc>
      </w:tr>
      <w:tr>
        <w:trPr>
          <w:trHeight w:val="148"/>
        </w:trPr>
        <w:tc>
          <w:tcPr>
            <w:tcW w:w="3960" w:type="dxa"/>
            <w:vAlign w:val="bottom"/>
            <w:gridSpan w:val="2"/>
          </w:tcPr>
          <w:p>
            <w:pPr>
              <w:ind w:left="260"/>
              <w:spacing w:after="0"/>
              <w:rPr>
                <w:sz w:val="20"/>
                <w:szCs w:val="20"/>
                <w:color w:val="auto"/>
              </w:rPr>
            </w:pPr>
            <w:r>
              <w:rPr>
                <w:rFonts w:ascii="Arial" w:cs="Arial" w:eastAsia="Arial" w:hAnsi="Arial"/>
                <w:sz w:val="13"/>
                <w:szCs w:val="13"/>
                <w:color w:val="auto"/>
              </w:rPr>
              <w:t>Exercise of stock options</w:t>
            </w:r>
          </w:p>
        </w:tc>
        <w:tc>
          <w:tcPr>
            <w:tcW w:w="440" w:type="dxa"/>
            <w:vAlign w:val="bottom"/>
          </w:tcPr>
          <w:p>
            <w:pPr>
              <w:jc w:val="right"/>
              <w:spacing w:after="0"/>
              <w:rPr>
                <w:sz w:val="20"/>
                <w:szCs w:val="20"/>
                <w:color w:val="auto"/>
              </w:rPr>
            </w:pPr>
            <w:r>
              <w:rPr>
                <w:rFonts w:ascii="Arial" w:cs="Arial" w:eastAsia="Arial" w:hAnsi="Arial"/>
                <w:sz w:val="13"/>
                <w:szCs w:val="13"/>
                <w:color w:val="auto"/>
              </w:rPr>
              <w:t>110</w:t>
            </w: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238</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238</w:t>
            </w:r>
          </w:p>
        </w:tc>
        <w:tc>
          <w:tcPr>
            <w:tcW w:w="120" w:type="dxa"/>
            <w:vAlign w:val="bottom"/>
          </w:tcPr>
          <w:p>
            <w:pPr>
              <w:spacing w:after="0"/>
              <w:rPr>
                <w:sz w:val="12"/>
                <w:szCs w:val="12"/>
                <w:color w:val="auto"/>
              </w:rPr>
            </w:pPr>
          </w:p>
        </w:tc>
      </w:tr>
      <w:tr>
        <w:trPr>
          <w:trHeight w:val="148"/>
        </w:trPr>
        <w:tc>
          <w:tcPr>
            <w:tcW w:w="3960" w:type="dxa"/>
            <w:vAlign w:val="bottom"/>
            <w:gridSpan w:val="2"/>
            <w:shd w:val="clear" w:color="auto" w:fill="CFF0FC"/>
          </w:tcPr>
          <w:p>
            <w:pPr>
              <w:ind w:left="260"/>
              <w:spacing w:after="0"/>
              <w:rPr>
                <w:sz w:val="20"/>
                <w:szCs w:val="20"/>
                <w:color w:val="auto"/>
              </w:rPr>
            </w:pPr>
            <w:r>
              <w:rPr>
                <w:rFonts w:ascii="Arial" w:cs="Arial" w:eastAsia="Arial" w:hAnsi="Arial"/>
                <w:sz w:val="13"/>
                <w:szCs w:val="13"/>
                <w:color w:val="auto"/>
              </w:rPr>
              <w:t>Vesting of restricted stock awards and units</w:t>
            </w: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w:t>
            </w:r>
          </w:p>
        </w:tc>
        <w:tc>
          <w:tcPr>
            <w:tcW w:w="26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r>
      <w:tr>
        <w:trPr>
          <w:trHeight w:val="148"/>
        </w:trPr>
        <w:tc>
          <w:tcPr>
            <w:tcW w:w="3960" w:type="dxa"/>
            <w:vAlign w:val="bottom"/>
            <w:gridSpan w:val="2"/>
          </w:tcPr>
          <w:p>
            <w:pPr>
              <w:ind w:left="260"/>
              <w:spacing w:after="0"/>
              <w:rPr>
                <w:sz w:val="20"/>
                <w:szCs w:val="20"/>
                <w:color w:val="auto"/>
              </w:rPr>
            </w:pPr>
            <w:r>
              <w:rPr>
                <w:rFonts w:ascii="Arial" w:cs="Arial" w:eastAsia="Arial" w:hAnsi="Arial"/>
                <w:sz w:val="13"/>
                <w:szCs w:val="13"/>
                <w:color w:val="auto"/>
              </w:rPr>
              <w:t>Net loss</w:t>
            </w: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3"/>
                <w:szCs w:val="13"/>
                <w:color w:val="auto"/>
              </w:rPr>
              <w:t>(16,055)</w:t>
            </w:r>
          </w:p>
        </w:tc>
        <w:tc>
          <w:tcPr>
            <w:tcW w:w="200" w:type="dxa"/>
            <w:vAlign w:val="bottom"/>
          </w:tcPr>
          <w:p>
            <w:pPr>
              <w:spacing w:after="0"/>
              <w:rPr>
                <w:sz w:val="12"/>
                <w:szCs w:val="12"/>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3"/>
                <w:szCs w:val="13"/>
                <w:color w:val="auto"/>
              </w:rPr>
              <w:t>(16,055)</w:t>
            </w:r>
          </w:p>
        </w:tc>
      </w:tr>
      <w:tr>
        <w:trPr>
          <w:trHeight w:val="142"/>
        </w:trPr>
        <w:tc>
          <w:tcPr>
            <w:tcW w:w="3000" w:type="dxa"/>
            <w:vAlign w:val="bottom"/>
            <w:tcBorders>
              <w:top w:val="single" w:sz="8" w:color="CFF0FC"/>
            </w:tcBorders>
            <w:shd w:val="clear" w:color="auto" w:fill="CFF0FC"/>
          </w:tcPr>
          <w:p>
            <w:pPr>
              <w:spacing w:after="0" w:line="142" w:lineRule="exact"/>
              <w:rPr>
                <w:sz w:val="20"/>
                <w:szCs w:val="20"/>
                <w:color w:val="auto"/>
              </w:rPr>
            </w:pPr>
            <w:r>
              <w:rPr>
                <w:rFonts w:ascii="Arial" w:cs="Arial" w:eastAsia="Arial" w:hAnsi="Arial"/>
                <w:sz w:val="13"/>
                <w:szCs w:val="13"/>
                <w:b w:val="1"/>
                <w:bCs w:val="1"/>
                <w:color w:val="auto"/>
              </w:rPr>
              <w:t>Balance as of June 30, 2019</w:t>
            </w:r>
          </w:p>
        </w:tc>
        <w:tc>
          <w:tcPr>
            <w:tcW w:w="960" w:type="dxa"/>
            <w:vAlign w:val="bottom"/>
            <w:tcBorders>
              <w:top w:val="single" w:sz="8" w:color="auto"/>
            </w:tcBorders>
            <w:shd w:val="clear" w:color="auto" w:fill="CFF0FC"/>
          </w:tcPr>
          <w:p>
            <w:pPr>
              <w:spacing w:after="0"/>
              <w:rPr>
                <w:sz w:val="12"/>
                <w:szCs w:val="12"/>
                <w:color w:val="auto"/>
              </w:rPr>
            </w:pPr>
          </w:p>
        </w:tc>
        <w:tc>
          <w:tcPr>
            <w:tcW w:w="4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24,095</w:t>
            </w:r>
          </w:p>
        </w:tc>
        <w:tc>
          <w:tcPr>
            <w:tcW w:w="260" w:type="dxa"/>
            <w:vAlign w:val="bottom"/>
            <w:tcBorders>
              <w:top w:val="single" w:sz="8" w:color="CFF0FC"/>
            </w:tcBorders>
            <w:shd w:val="clear" w:color="auto" w:fill="CFF0FC"/>
          </w:tcPr>
          <w:p>
            <w:pPr>
              <w:spacing w:after="0"/>
              <w:rPr>
                <w:sz w:val="12"/>
                <w:szCs w:val="12"/>
                <w:color w:val="auto"/>
              </w:rPr>
            </w:pPr>
          </w:p>
        </w:tc>
        <w:tc>
          <w:tcPr>
            <w:tcW w:w="1100" w:type="dxa"/>
            <w:vAlign w:val="bottom"/>
            <w:tcBorders>
              <w:top w:val="single" w:sz="8" w:color="auto"/>
            </w:tcBorders>
            <w:shd w:val="clear" w:color="auto" w:fill="CFF0FC"/>
          </w:tcPr>
          <w:p>
            <w:pPr>
              <w:jc w:val="right"/>
              <w:ind w:right="985"/>
              <w:spacing w:after="0"/>
              <w:rPr>
                <w:sz w:val="20"/>
                <w:szCs w:val="20"/>
                <w:color w:val="auto"/>
              </w:rPr>
            </w:pPr>
            <w:r>
              <w:rPr>
                <w:rFonts w:ascii="Arial" w:cs="Arial" w:eastAsia="Arial" w:hAnsi="Arial"/>
                <w:sz w:val="10"/>
                <w:szCs w:val="10"/>
                <w:b w:val="1"/>
                <w:bCs w:val="1"/>
                <w:color w:val="auto"/>
                <w:w w:val="71"/>
              </w:rPr>
              <w:t>$</w:t>
            </w:r>
          </w:p>
        </w:tc>
        <w:tc>
          <w:tcPr>
            <w:tcW w:w="30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w:t>
            </w:r>
          </w:p>
        </w:tc>
        <w:tc>
          <w:tcPr>
            <w:tcW w:w="280" w:type="dxa"/>
            <w:vAlign w:val="bottom"/>
            <w:tcBorders>
              <w:top w:val="single" w:sz="8" w:color="CFF0FC"/>
            </w:tcBorders>
            <w:shd w:val="clear" w:color="auto" w:fill="CFF0FC"/>
          </w:tcPr>
          <w:p>
            <w:pPr>
              <w:spacing w:after="0"/>
              <w:rPr>
                <w:sz w:val="12"/>
                <w:szCs w:val="12"/>
                <w:color w:val="auto"/>
              </w:rPr>
            </w:pPr>
          </w:p>
        </w:tc>
        <w:tc>
          <w:tcPr>
            <w:tcW w:w="240" w:type="dxa"/>
            <w:vAlign w:val="bottom"/>
            <w:tcBorders>
              <w:top w:val="single" w:sz="8" w:color="auto"/>
            </w:tcBorders>
            <w:shd w:val="clear" w:color="auto" w:fill="CFF0FC"/>
          </w:tcPr>
          <w:p>
            <w:pPr>
              <w:jc w:val="right"/>
              <w:ind w:right="128"/>
              <w:spacing w:after="0"/>
              <w:rPr>
                <w:sz w:val="20"/>
                <w:szCs w:val="20"/>
                <w:color w:val="auto"/>
              </w:rPr>
            </w:pPr>
            <w:r>
              <w:rPr>
                <w:rFonts w:ascii="Arial" w:cs="Arial" w:eastAsia="Arial" w:hAnsi="Arial"/>
                <w:sz w:val="10"/>
                <w:szCs w:val="10"/>
                <w:b w:val="1"/>
                <w:bCs w:val="1"/>
                <w:color w:val="auto"/>
                <w:w w:val="71"/>
              </w:rPr>
              <w:t>$</w:t>
            </w:r>
          </w:p>
        </w:tc>
        <w:tc>
          <w:tcPr>
            <w:tcW w:w="11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197,529</w:t>
            </w:r>
          </w:p>
        </w:tc>
        <w:tc>
          <w:tcPr>
            <w:tcW w:w="28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jc w:val="right"/>
              <w:ind w:right="88"/>
              <w:spacing w:after="0"/>
              <w:rPr>
                <w:sz w:val="20"/>
                <w:szCs w:val="20"/>
                <w:color w:val="auto"/>
              </w:rPr>
            </w:pPr>
            <w:r>
              <w:rPr>
                <w:rFonts w:ascii="Arial" w:cs="Arial" w:eastAsia="Arial" w:hAnsi="Arial"/>
                <w:sz w:val="10"/>
                <w:szCs w:val="10"/>
                <w:b w:val="1"/>
                <w:bCs w:val="1"/>
                <w:color w:val="auto"/>
                <w:w w:val="71"/>
              </w:rPr>
              <w:t>$</w:t>
            </w:r>
          </w:p>
        </w:tc>
        <w:tc>
          <w:tcPr>
            <w:tcW w:w="12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(104,897)</w:t>
            </w:r>
          </w:p>
        </w:tc>
        <w:tc>
          <w:tcPr>
            <w:tcW w:w="26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jc w:val="right"/>
              <w:ind w:right="88"/>
              <w:spacing w:after="0"/>
              <w:rPr>
                <w:sz w:val="20"/>
                <w:szCs w:val="20"/>
                <w:color w:val="auto"/>
              </w:rPr>
            </w:pPr>
            <w:r>
              <w:rPr>
                <w:rFonts w:ascii="Arial" w:cs="Arial" w:eastAsia="Arial" w:hAnsi="Arial"/>
                <w:sz w:val="10"/>
                <w:szCs w:val="10"/>
                <w:b w:val="1"/>
                <w:bCs w:val="1"/>
                <w:color w:val="auto"/>
                <w:w w:val="71"/>
              </w:rPr>
              <w:t>$</w:t>
            </w:r>
          </w:p>
        </w:tc>
        <w:tc>
          <w:tcPr>
            <w:tcW w:w="12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92,634</w:t>
            </w:r>
          </w:p>
        </w:tc>
        <w:tc>
          <w:tcPr>
            <w:tcW w:w="120" w:type="dxa"/>
            <w:vAlign w:val="bottom"/>
            <w:tcBorders>
              <w:top w:val="single" w:sz="8" w:color="CFF0FC"/>
            </w:tcBorders>
            <w:shd w:val="clear" w:color="auto" w:fill="CFF0FC"/>
          </w:tcPr>
          <w:p>
            <w:pPr>
              <w:spacing w:after="0"/>
              <w:rPr>
                <w:sz w:val="12"/>
                <w:szCs w:val="12"/>
                <w:color w:val="auto"/>
              </w:rPr>
            </w:pPr>
          </w:p>
        </w:tc>
      </w:tr>
      <w:tr>
        <w:trPr>
          <w:trHeight w:val="148"/>
        </w:trPr>
        <w:tc>
          <w:tcPr>
            <w:tcW w:w="3960" w:type="dxa"/>
            <w:vAlign w:val="bottom"/>
            <w:gridSpan w:val="2"/>
          </w:tcPr>
          <w:p>
            <w:pPr>
              <w:ind w:left="260"/>
              <w:spacing w:after="0"/>
              <w:rPr>
                <w:sz w:val="20"/>
                <w:szCs w:val="20"/>
                <w:color w:val="auto"/>
              </w:rPr>
            </w:pPr>
            <w:r>
              <w:rPr>
                <w:rFonts w:ascii="Arial" w:cs="Arial" w:eastAsia="Arial" w:hAnsi="Arial"/>
                <w:sz w:val="13"/>
                <w:szCs w:val="13"/>
                <w:color w:val="auto"/>
              </w:rPr>
              <w:t>Stock-based compensation expense</w:t>
            </w: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1,797</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1,797</w:t>
            </w:r>
          </w:p>
        </w:tc>
        <w:tc>
          <w:tcPr>
            <w:tcW w:w="120" w:type="dxa"/>
            <w:vAlign w:val="bottom"/>
          </w:tcPr>
          <w:p>
            <w:pPr>
              <w:spacing w:after="0"/>
              <w:rPr>
                <w:sz w:val="12"/>
                <w:szCs w:val="12"/>
                <w:color w:val="auto"/>
              </w:rPr>
            </w:pPr>
          </w:p>
        </w:tc>
      </w:tr>
      <w:tr>
        <w:trPr>
          <w:trHeight w:val="149"/>
        </w:trPr>
        <w:tc>
          <w:tcPr>
            <w:tcW w:w="3960" w:type="dxa"/>
            <w:vAlign w:val="bottom"/>
            <w:gridSpan w:val="2"/>
            <w:shd w:val="clear" w:color="auto" w:fill="CFF0FC"/>
          </w:tcPr>
          <w:p>
            <w:pPr>
              <w:ind w:left="260"/>
              <w:spacing w:after="0"/>
              <w:rPr>
                <w:sz w:val="20"/>
                <w:szCs w:val="20"/>
                <w:color w:val="auto"/>
              </w:rPr>
            </w:pPr>
            <w:r>
              <w:rPr>
                <w:rFonts w:ascii="Arial" w:cs="Arial" w:eastAsia="Arial" w:hAnsi="Arial"/>
                <w:sz w:val="13"/>
                <w:szCs w:val="13"/>
                <w:color w:val="auto"/>
              </w:rPr>
              <w:t>Exercise of stock options</w:t>
            </w: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w:t>
            </w:r>
          </w:p>
        </w:tc>
        <w:tc>
          <w:tcPr>
            <w:tcW w:w="26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w:t>
            </w: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w:t>
            </w:r>
          </w:p>
        </w:tc>
        <w:tc>
          <w:tcPr>
            <w:tcW w:w="120" w:type="dxa"/>
            <w:vAlign w:val="bottom"/>
            <w:shd w:val="clear" w:color="auto" w:fill="CFF0FC"/>
          </w:tcPr>
          <w:p>
            <w:pPr>
              <w:spacing w:after="0"/>
              <w:rPr>
                <w:sz w:val="12"/>
                <w:szCs w:val="12"/>
                <w:color w:val="auto"/>
              </w:rPr>
            </w:pPr>
          </w:p>
        </w:tc>
      </w:tr>
      <w:tr>
        <w:trPr>
          <w:trHeight w:val="134"/>
        </w:trPr>
        <w:tc>
          <w:tcPr>
            <w:tcW w:w="3960" w:type="dxa"/>
            <w:vAlign w:val="bottom"/>
            <w:gridSpan w:val="2"/>
          </w:tcPr>
          <w:p>
            <w:pPr>
              <w:ind w:left="260"/>
              <w:spacing w:after="0" w:line="134" w:lineRule="exact"/>
              <w:rPr>
                <w:sz w:val="20"/>
                <w:szCs w:val="20"/>
                <w:color w:val="auto"/>
              </w:rPr>
            </w:pPr>
            <w:r>
              <w:rPr>
                <w:rFonts w:ascii="Arial" w:cs="Arial" w:eastAsia="Arial" w:hAnsi="Arial"/>
                <w:sz w:val="13"/>
                <w:szCs w:val="13"/>
                <w:color w:val="auto"/>
              </w:rPr>
              <w:t>Issuance of common stock upon public offering,</w:t>
            </w: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9"/>
        </w:trPr>
        <w:tc>
          <w:tcPr>
            <w:tcW w:w="3960" w:type="dxa"/>
            <w:vAlign w:val="bottom"/>
            <w:gridSpan w:val="2"/>
          </w:tcPr>
          <w:p>
            <w:pPr>
              <w:ind w:left="260"/>
              <w:spacing w:after="0"/>
              <w:rPr>
                <w:sz w:val="20"/>
                <w:szCs w:val="20"/>
                <w:color w:val="auto"/>
              </w:rPr>
            </w:pPr>
            <w:r>
              <w:rPr>
                <w:rFonts w:ascii="Arial" w:cs="Arial" w:eastAsia="Arial" w:hAnsi="Arial"/>
                <w:sz w:val="13"/>
                <w:szCs w:val="13"/>
                <w:color w:val="auto"/>
              </w:rPr>
              <w:t>net of offering costs of $525</w:t>
            </w:r>
          </w:p>
        </w:tc>
        <w:tc>
          <w:tcPr>
            <w:tcW w:w="440" w:type="dxa"/>
            <w:vAlign w:val="bottom"/>
          </w:tcPr>
          <w:p>
            <w:pPr>
              <w:jc w:val="right"/>
              <w:spacing w:after="0"/>
              <w:rPr>
                <w:sz w:val="20"/>
                <w:szCs w:val="20"/>
                <w:color w:val="auto"/>
              </w:rPr>
            </w:pPr>
            <w:r>
              <w:rPr>
                <w:rFonts w:ascii="Arial" w:cs="Arial" w:eastAsia="Arial" w:hAnsi="Arial"/>
                <w:sz w:val="13"/>
                <w:szCs w:val="13"/>
                <w:color w:val="auto"/>
              </w:rPr>
              <w:t>7,475</w:t>
            </w: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1</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129,464</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129,465</w:t>
            </w:r>
          </w:p>
        </w:tc>
        <w:tc>
          <w:tcPr>
            <w:tcW w:w="120" w:type="dxa"/>
            <w:vAlign w:val="bottom"/>
          </w:tcPr>
          <w:p>
            <w:pPr>
              <w:spacing w:after="0"/>
              <w:rPr>
                <w:sz w:val="12"/>
                <w:szCs w:val="12"/>
                <w:color w:val="auto"/>
              </w:rPr>
            </w:pPr>
          </w:p>
        </w:tc>
      </w:tr>
      <w:tr>
        <w:trPr>
          <w:trHeight w:val="148"/>
        </w:trPr>
        <w:tc>
          <w:tcPr>
            <w:tcW w:w="3960" w:type="dxa"/>
            <w:vAlign w:val="bottom"/>
            <w:gridSpan w:val="2"/>
            <w:shd w:val="clear" w:color="auto" w:fill="CFF0FC"/>
          </w:tcPr>
          <w:p>
            <w:pPr>
              <w:ind w:left="260"/>
              <w:spacing w:after="0"/>
              <w:rPr>
                <w:sz w:val="20"/>
                <w:szCs w:val="20"/>
                <w:color w:val="auto"/>
              </w:rPr>
            </w:pPr>
            <w:r>
              <w:rPr>
                <w:rFonts w:ascii="Arial" w:cs="Arial" w:eastAsia="Arial" w:hAnsi="Arial"/>
                <w:sz w:val="13"/>
                <w:szCs w:val="13"/>
                <w:color w:val="auto"/>
              </w:rPr>
              <w:t>Vesting of restricted stock awards and units</w:t>
            </w: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w:t>
            </w:r>
          </w:p>
        </w:tc>
        <w:tc>
          <w:tcPr>
            <w:tcW w:w="26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r>
      <w:tr>
        <w:trPr>
          <w:trHeight w:val="149"/>
        </w:trPr>
        <w:tc>
          <w:tcPr>
            <w:tcW w:w="3960" w:type="dxa"/>
            <w:vAlign w:val="bottom"/>
            <w:gridSpan w:val="2"/>
          </w:tcPr>
          <w:p>
            <w:pPr>
              <w:ind w:left="260"/>
              <w:spacing w:after="0"/>
              <w:rPr>
                <w:sz w:val="20"/>
                <w:szCs w:val="20"/>
                <w:color w:val="auto"/>
              </w:rPr>
            </w:pPr>
            <w:r>
              <w:rPr>
                <w:rFonts w:ascii="Arial" w:cs="Arial" w:eastAsia="Arial" w:hAnsi="Arial"/>
                <w:sz w:val="13"/>
                <w:szCs w:val="13"/>
                <w:color w:val="auto"/>
              </w:rPr>
              <w:t>Net loss</w:t>
            </w: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3"/>
                <w:szCs w:val="13"/>
                <w:color w:val="auto"/>
              </w:rPr>
              <w:t>(17,145)</w:t>
            </w:r>
          </w:p>
        </w:tc>
        <w:tc>
          <w:tcPr>
            <w:tcW w:w="200" w:type="dxa"/>
            <w:vAlign w:val="bottom"/>
          </w:tcPr>
          <w:p>
            <w:pPr>
              <w:spacing w:after="0"/>
              <w:rPr>
                <w:sz w:val="12"/>
                <w:szCs w:val="12"/>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3"/>
                <w:szCs w:val="13"/>
                <w:color w:val="auto"/>
              </w:rPr>
              <w:t>(17,145)</w:t>
            </w:r>
          </w:p>
        </w:tc>
      </w:tr>
      <w:tr>
        <w:trPr>
          <w:trHeight w:val="142"/>
        </w:trPr>
        <w:tc>
          <w:tcPr>
            <w:tcW w:w="3000" w:type="dxa"/>
            <w:vAlign w:val="bottom"/>
            <w:tcBorders>
              <w:top w:val="single" w:sz="8" w:color="CFF0FC"/>
              <w:bottom w:val="single" w:sz="8" w:color="CFF0FC"/>
            </w:tcBorders>
            <w:shd w:val="clear" w:color="auto" w:fill="CFF0FC"/>
          </w:tcPr>
          <w:p>
            <w:pPr>
              <w:spacing w:after="0" w:line="142" w:lineRule="exact"/>
              <w:rPr>
                <w:sz w:val="20"/>
                <w:szCs w:val="20"/>
                <w:color w:val="auto"/>
              </w:rPr>
            </w:pPr>
            <w:r>
              <w:rPr>
                <w:rFonts w:ascii="Arial" w:cs="Arial" w:eastAsia="Arial" w:hAnsi="Arial"/>
                <w:sz w:val="13"/>
                <w:szCs w:val="13"/>
                <w:b w:val="1"/>
                <w:bCs w:val="1"/>
                <w:color w:val="auto"/>
              </w:rPr>
              <w:t>Balance as of September 30, 2019</w:t>
            </w:r>
          </w:p>
        </w:tc>
        <w:tc>
          <w:tcPr>
            <w:tcW w:w="960" w:type="dxa"/>
            <w:vAlign w:val="bottom"/>
            <w:tcBorders>
              <w:top w:val="single" w:sz="8" w:color="auto"/>
              <w:bottom w:val="single" w:sz="8" w:color="auto"/>
            </w:tcBorders>
            <w:shd w:val="clear" w:color="auto" w:fill="CFF0FC"/>
          </w:tcPr>
          <w:p>
            <w:pPr>
              <w:spacing w:after="0"/>
              <w:rPr>
                <w:sz w:val="12"/>
                <w:szCs w:val="12"/>
                <w:color w:val="auto"/>
              </w:rPr>
            </w:pPr>
          </w:p>
        </w:tc>
        <w:tc>
          <w:tcPr>
            <w:tcW w:w="4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31,607</w:t>
            </w:r>
          </w:p>
        </w:tc>
        <w:tc>
          <w:tcPr>
            <w:tcW w:w="260" w:type="dxa"/>
            <w:vAlign w:val="bottom"/>
            <w:tcBorders>
              <w:top w:val="single" w:sz="8" w:color="CFF0FC"/>
              <w:bottom w:val="single" w:sz="8" w:color="CFF0FC"/>
            </w:tcBorders>
            <w:shd w:val="clear" w:color="auto" w:fill="CFF0FC"/>
          </w:tcPr>
          <w:p>
            <w:pPr>
              <w:spacing w:after="0"/>
              <w:rPr>
                <w:sz w:val="12"/>
                <w:szCs w:val="12"/>
                <w:color w:val="auto"/>
              </w:rPr>
            </w:pPr>
          </w:p>
        </w:tc>
        <w:tc>
          <w:tcPr>
            <w:tcW w:w="1100" w:type="dxa"/>
            <w:vAlign w:val="bottom"/>
            <w:tcBorders>
              <w:top w:val="single" w:sz="8" w:color="auto"/>
              <w:bottom w:val="single" w:sz="8" w:color="auto"/>
            </w:tcBorders>
            <w:shd w:val="clear" w:color="auto" w:fill="CFF0FC"/>
          </w:tcPr>
          <w:p>
            <w:pPr>
              <w:jc w:val="right"/>
              <w:ind w:right="985"/>
              <w:spacing w:after="0"/>
              <w:rPr>
                <w:sz w:val="20"/>
                <w:szCs w:val="20"/>
                <w:color w:val="auto"/>
              </w:rPr>
            </w:pPr>
            <w:r>
              <w:rPr>
                <w:rFonts w:ascii="Arial" w:cs="Arial" w:eastAsia="Arial" w:hAnsi="Arial"/>
                <w:sz w:val="10"/>
                <w:szCs w:val="10"/>
                <w:b w:val="1"/>
                <w:bCs w:val="1"/>
                <w:color w:val="auto"/>
                <w:w w:val="71"/>
              </w:rPr>
              <w:t>$</w:t>
            </w:r>
          </w:p>
        </w:tc>
        <w:tc>
          <w:tcPr>
            <w:tcW w:w="3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3</w:t>
            </w:r>
          </w:p>
        </w:tc>
        <w:tc>
          <w:tcPr>
            <w:tcW w:w="280" w:type="dxa"/>
            <w:vAlign w:val="bottom"/>
            <w:tcBorders>
              <w:top w:val="single" w:sz="8" w:color="CFF0FC"/>
              <w:bottom w:val="single" w:sz="8" w:color="CFF0FC"/>
            </w:tcBorders>
            <w:shd w:val="clear" w:color="auto" w:fill="CFF0FC"/>
          </w:tcPr>
          <w:p>
            <w:pPr>
              <w:spacing w:after="0"/>
              <w:rPr>
                <w:sz w:val="12"/>
                <w:szCs w:val="12"/>
                <w:color w:val="auto"/>
              </w:rPr>
            </w:pPr>
          </w:p>
        </w:tc>
        <w:tc>
          <w:tcPr>
            <w:tcW w:w="240" w:type="dxa"/>
            <w:vAlign w:val="bottom"/>
            <w:tcBorders>
              <w:top w:val="single" w:sz="8" w:color="auto"/>
              <w:bottom w:val="single" w:sz="8" w:color="auto"/>
            </w:tcBorders>
            <w:shd w:val="clear" w:color="auto" w:fill="CFF0FC"/>
          </w:tcPr>
          <w:p>
            <w:pPr>
              <w:jc w:val="right"/>
              <w:ind w:right="128"/>
              <w:spacing w:after="0"/>
              <w:rPr>
                <w:sz w:val="20"/>
                <w:szCs w:val="20"/>
                <w:color w:val="auto"/>
              </w:rPr>
            </w:pPr>
            <w:r>
              <w:rPr>
                <w:rFonts w:ascii="Arial" w:cs="Arial" w:eastAsia="Arial" w:hAnsi="Arial"/>
                <w:sz w:val="10"/>
                <w:szCs w:val="10"/>
                <w:b w:val="1"/>
                <w:bCs w:val="1"/>
                <w:color w:val="auto"/>
                <w:w w:val="71"/>
              </w:rPr>
              <w:t>$</w:t>
            </w:r>
          </w:p>
        </w:tc>
        <w:tc>
          <w:tcPr>
            <w:tcW w:w="11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328,799</w:t>
            </w:r>
          </w:p>
        </w:tc>
        <w:tc>
          <w:tcPr>
            <w:tcW w:w="280" w:type="dxa"/>
            <w:vAlign w:val="bottom"/>
            <w:tcBorders>
              <w:top w:val="single" w:sz="8" w:color="CFF0FC"/>
              <w:bottom w:val="single" w:sz="8" w:color="CFF0FC"/>
            </w:tcBorders>
            <w:shd w:val="clear" w:color="auto" w:fill="CFF0FC"/>
          </w:tcPr>
          <w:p>
            <w:pPr>
              <w:spacing w:after="0"/>
              <w:rPr>
                <w:sz w:val="12"/>
                <w:szCs w:val="12"/>
                <w:color w:val="auto"/>
              </w:rPr>
            </w:pPr>
          </w:p>
        </w:tc>
        <w:tc>
          <w:tcPr>
            <w:tcW w:w="200" w:type="dxa"/>
            <w:vAlign w:val="bottom"/>
            <w:tcBorders>
              <w:top w:val="single" w:sz="8" w:color="auto"/>
              <w:bottom w:val="single" w:sz="8" w:color="auto"/>
            </w:tcBorders>
            <w:shd w:val="clear" w:color="auto" w:fill="CFF0FC"/>
          </w:tcPr>
          <w:p>
            <w:pPr>
              <w:jc w:val="right"/>
              <w:ind w:right="88"/>
              <w:spacing w:after="0"/>
              <w:rPr>
                <w:sz w:val="20"/>
                <w:szCs w:val="20"/>
                <w:color w:val="auto"/>
              </w:rPr>
            </w:pPr>
            <w:r>
              <w:rPr>
                <w:rFonts w:ascii="Arial" w:cs="Arial" w:eastAsia="Arial" w:hAnsi="Arial"/>
                <w:sz w:val="10"/>
                <w:szCs w:val="10"/>
                <w:b w:val="1"/>
                <w:bCs w:val="1"/>
                <w:color w:val="auto"/>
                <w:w w:val="71"/>
              </w:rPr>
              <w:t>$</w:t>
            </w:r>
          </w:p>
        </w:tc>
        <w:tc>
          <w:tcPr>
            <w:tcW w:w="12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(122,042)</w:t>
            </w:r>
          </w:p>
        </w:tc>
        <w:tc>
          <w:tcPr>
            <w:tcW w:w="260" w:type="dxa"/>
            <w:vAlign w:val="bottom"/>
            <w:tcBorders>
              <w:top w:val="single" w:sz="8" w:color="CFF0FC"/>
              <w:bottom w:val="single" w:sz="8" w:color="CFF0FC"/>
            </w:tcBorders>
            <w:shd w:val="clear" w:color="auto" w:fill="CFF0FC"/>
          </w:tcPr>
          <w:p>
            <w:pPr>
              <w:spacing w:after="0"/>
              <w:rPr>
                <w:sz w:val="12"/>
                <w:szCs w:val="12"/>
                <w:color w:val="auto"/>
              </w:rPr>
            </w:pPr>
          </w:p>
        </w:tc>
        <w:tc>
          <w:tcPr>
            <w:tcW w:w="200" w:type="dxa"/>
            <w:vAlign w:val="bottom"/>
            <w:tcBorders>
              <w:top w:val="single" w:sz="8" w:color="auto"/>
              <w:bottom w:val="single" w:sz="8" w:color="auto"/>
            </w:tcBorders>
            <w:shd w:val="clear" w:color="auto" w:fill="CFF0FC"/>
          </w:tcPr>
          <w:p>
            <w:pPr>
              <w:jc w:val="right"/>
              <w:ind w:right="88"/>
              <w:spacing w:after="0"/>
              <w:rPr>
                <w:sz w:val="20"/>
                <w:szCs w:val="20"/>
                <w:color w:val="auto"/>
              </w:rPr>
            </w:pPr>
            <w:r>
              <w:rPr>
                <w:rFonts w:ascii="Arial" w:cs="Arial" w:eastAsia="Arial" w:hAnsi="Arial"/>
                <w:sz w:val="10"/>
                <w:szCs w:val="10"/>
                <w:b w:val="1"/>
                <w:bCs w:val="1"/>
                <w:color w:val="auto"/>
                <w:w w:val="71"/>
              </w:rPr>
              <w:t>$</w:t>
            </w:r>
          </w:p>
        </w:tc>
        <w:tc>
          <w:tcPr>
            <w:tcW w:w="12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206,760</w:t>
            </w: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r>
      <w:tr>
        <w:trPr>
          <w:trHeight w:val="20"/>
        </w:trPr>
        <w:tc>
          <w:tcPr>
            <w:tcW w:w="30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60" w:type="dxa"/>
            <w:vAlign w:val="bottom"/>
            <w:tcBorders>
              <w:bottom w:val="single" w:sz="8" w:color="auto"/>
            </w:tcBorders>
            <w:gridSpan w:val="4"/>
          </w:tcPr>
          <w:p>
            <w:pPr>
              <w:jc w:val="right"/>
              <w:ind w:right="53"/>
              <w:spacing w:after="0"/>
              <w:rPr>
                <w:sz w:val="20"/>
                <w:szCs w:val="20"/>
                <w:color w:val="auto"/>
              </w:rPr>
            </w:pPr>
            <w:r>
              <w:rPr>
                <w:rFonts w:ascii="Arial" w:cs="Arial" w:eastAsia="Arial" w:hAnsi="Arial"/>
                <w:sz w:val="14"/>
                <w:szCs w:val="14"/>
                <w:b w:val="1"/>
                <w:bCs w:val="1"/>
                <w:color w:val="auto"/>
              </w:rPr>
              <w:t>Nine Months Ended September 30,</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160" w:type="dxa"/>
            <w:vAlign w:val="bottom"/>
            <w:tcBorders>
              <w:bottom w:val="single" w:sz="8" w:color="CFF0FC"/>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10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60" w:type="dxa"/>
            <w:vAlign w:val="bottom"/>
            <w:tcBorders>
              <w:bottom w:val="single" w:sz="8" w:color="auto"/>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10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68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60" w:type="dxa"/>
            <w:vAlign w:val="bottom"/>
          </w:tcPr>
          <w:p>
            <w:pPr>
              <w:spacing w:after="0"/>
              <w:rPr>
                <w:sz w:val="20"/>
                <w:szCs w:val="20"/>
                <w:color w:val="auto"/>
              </w:rPr>
            </w:pPr>
            <w:r>
              <w:rPr>
                <w:rFonts w:ascii="Arial" w:cs="Arial" w:eastAsia="Arial" w:hAnsi="Arial"/>
                <w:sz w:val="18"/>
                <w:szCs w:val="18"/>
                <w:color w:val="auto"/>
              </w:rPr>
              <w:t>Net loss</w:t>
            </w:r>
          </w:p>
        </w:tc>
        <w:tc>
          <w:tcPr>
            <w:tcW w:w="1280" w:type="dxa"/>
            <w:vAlign w:val="bottom"/>
            <w:gridSpan w:val="2"/>
          </w:tcPr>
          <w:p>
            <w:pPr>
              <w:jc w:val="right"/>
              <w:ind w:right="887"/>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(91,581)</w:t>
            </w:r>
          </w:p>
        </w:tc>
        <w:tc>
          <w:tcPr>
            <w:tcW w:w="1060" w:type="dxa"/>
            <w:vAlign w:val="bottom"/>
          </w:tcPr>
          <w:p>
            <w:pPr>
              <w:jc w:val="right"/>
              <w:ind w:right="873"/>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(50,303)</w:t>
            </w:r>
          </w:p>
        </w:tc>
        <w:tc>
          <w:tcPr>
            <w:tcW w:w="0" w:type="dxa"/>
            <w:vAlign w:val="bottom"/>
          </w:tcPr>
          <w:p>
            <w:pPr>
              <w:spacing w:after="0"/>
              <w:rPr>
                <w:sz w:val="1"/>
                <w:szCs w:val="1"/>
                <w:color w:val="auto"/>
              </w:rPr>
            </w:pPr>
          </w:p>
        </w:tc>
      </w:tr>
      <w:tr>
        <w:trPr>
          <w:trHeight w:val="230"/>
        </w:trPr>
        <w:tc>
          <w:tcPr>
            <w:tcW w:w="716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60" w:type="dxa"/>
            <w:vAlign w:val="bottom"/>
          </w:tcPr>
          <w:p>
            <w:pPr>
              <w:ind w:left="260"/>
              <w:spacing w:after="0"/>
              <w:rPr>
                <w:sz w:val="20"/>
                <w:szCs w:val="20"/>
                <w:color w:val="auto"/>
              </w:rPr>
            </w:pPr>
            <w:r>
              <w:rPr>
                <w:rFonts w:ascii="Arial" w:cs="Arial" w:eastAsia="Arial" w:hAnsi="Arial"/>
                <w:sz w:val="18"/>
                <w:szCs w:val="18"/>
                <w:color w:val="auto"/>
              </w:rPr>
              <w:t>Depreciation and amortization expense</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898</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 expense</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11,526</w:t>
            </w: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60" w:type="dxa"/>
            <w:vAlign w:val="bottom"/>
          </w:tcPr>
          <w:p>
            <w:pPr>
              <w:ind w:left="260"/>
              <w:spacing w:after="0"/>
              <w:rPr>
                <w:sz w:val="20"/>
                <w:szCs w:val="20"/>
                <w:color w:val="auto"/>
              </w:rPr>
            </w:pPr>
            <w:r>
              <w:rPr>
                <w:rFonts w:ascii="Arial" w:cs="Arial" w:eastAsia="Arial" w:hAnsi="Arial"/>
                <w:sz w:val="18"/>
                <w:szCs w:val="18"/>
                <w:color w:val="auto"/>
              </w:rPr>
              <w:t>Deferred rent expense</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(151)</w:t>
            </w:r>
          </w:p>
        </w:tc>
        <w:tc>
          <w:tcPr>
            <w:tcW w:w="106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29"/>
        </w:trPr>
        <w:tc>
          <w:tcPr>
            <w:tcW w:w="7160" w:type="dxa"/>
            <w:vAlign w:val="bottom"/>
            <w:shd w:val="clear" w:color="auto" w:fill="CFF0FC"/>
          </w:tcPr>
          <w:p>
            <w:pPr>
              <w:spacing w:after="0"/>
              <w:rPr>
                <w:sz w:val="20"/>
                <w:szCs w:val="20"/>
                <w:color w:val="auto"/>
              </w:rPr>
            </w:pPr>
            <w:r>
              <w:rPr>
                <w:rFonts w:ascii="Arial" w:cs="Arial" w:eastAsia="Arial" w:hAnsi="Arial"/>
                <w:sz w:val="18"/>
                <w:szCs w:val="18"/>
                <w:color w:val="auto"/>
              </w:rPr>
              <w:t>Changes in operating assets and liabilities:</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(782)</w:t>
            </w:r>
          </w:p>
        </w:tc>
        <w:tc>
          <w:tcPr>
            <w:tcW w:w="106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(3,616)</w:t>
            </w:r>
          </w:p>
        </w:tc>
        <w:tc>
          <w:tcPr>
            <w:tcW w:w="0" w:type="dxa"/>
            <w:vAlign w:val="bottom"/>
          </w:tcPr>
          <w:p>
            <w:pPr>
              <w:spacing w:after="0"/>
              <w:rPr>
                <w:sz w:val="1"/>
                <w:szCs w:val="1"/>
                <w:color w:val="auto"/>
              </w:rPr>
            </w:pPr>
          </w:p>
        </w:tc>
      </w:tr>
      <w:tr>
        <w:trPr>
          <w:trHeight w:val="229"/>
        </w:trPr>
        <w:tc>
          <w:tcPr>
            <w:tcW w:w="71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assets</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w:t>
            </w: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7160" w:type="dxa"/>
            <w:vAlign w:val="bottom"/>
          </w:tcPr>
          <w:p>
            <w:pPr>
              <w:ind w:left="500"/>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(1,263)</w:t>
            </w:r>
          </w:p>
        </w:tc>
        <w:tc>
          <w:tcPr>
            <w:tcW w:w="106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(1,127)</w:t>
            </w:r>
          </w:p>
        </w:tc>
        <w:tc>
          <w:tcPr>
            <w:tcW w:w="0" w:type="dxa"/>
            <w:vAlign w:val="bottom"/>
          </w:tcPr>
          <w:p>
            <w:pPr>
              <w:spacing w:after="0"/>
              <w:rPr>
                <w:sz w:val="1"/>
                <w:szCs w:val="1"/>
                <w:color w:val="auto"/>
              </w:rPr>
            </w:pPr>
          </w:p>
        </w:tc>
      </w:tr>
      <w:tr>
        <w:trPr>
          <w:trHeight w:val="230"/>
        </w:trPr>
        <w:tc>
          <w:tcPr>
            <w:tcW w:w="71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Accrued expenses and other current liabilities</w:t>
            </w:r>
          </w:p>
        </w:tc>
        <w:tc>
          <w:tcPr>
            <w:tcW w:w="240" w:type="dxa"/>
            <w:vAlign w:val="bottom"/>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12,878</w:t>
            </w:r>
          </w:p>
        </w:tc>
        <w:tc>
          <w:tcPr>
            <w:tcW w:w="300" w:type="dxa"/>
            <w:vAlign w:val="bottom"/>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Net cash used in operating activities</w:t>
            </w:r>
          </w:p>
        </w:tc>
        <w:tc>
          <w:tcPr>
            <w:tcW w:w="24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(68,315)</w:t>
            </w:r>
          </w:p>
        </w:tc>
        <w:tc>
          <w:tcPr>
            <w:tcW w:w="30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(49,085)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6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(1,096)</w:t>
            </w:r>
          </w:p>
        </w:tc>
        <w:tc>
          <w:tcPr>
            <w:tcW w:w="106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(819)</w:t>
            </w:r>
          </w:p>
        </w:tc>
        <w:tc>
          <w:tcPr>
            <w:tcW w:w="0" w:type="dxa"/>
            <w:vAlign w:val="bottom"/>
          </w:tcPr>
          <w:p>
            <w:pPr>
              <w:spacing w:after="0"/>
              <w:rPr>
                <w:sz w:val="1"/>
                <w:szCs w:val="1"/>
                <w:color w:val="auto"/>
              </w:rPr>
            </w:pPr>
          </w:p>
        </w:tc>
      </w:tr>
      <w:tr>
        <w:trPr>
          <w:trHeight w:val="223"/>
        </w:trPr>
        <w:tc>
          <w:tcPr>
            <w:tcW w:w="716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spacing w:after="0"/>
              <w:rPr>
                <w:sz w:val="19"/>
                <w:szCs w:val="19"/>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(1,096)</w:t>
            </w:r>
          </w:p>
        </w:tc>
        <w:tc>
          <w:tcPr>
            <w:tcW w:w="30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6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60" w:type="dxa"/>
            <w:vAlign w:val="bottom"/>
            <w:shd w:val="clear" w:color="auto" w:fill="CFF0FC"/>
          </w:tcPr>
          <w:p>
            <w:pPr>
              <w:spacing w:after="0"/>
              <w:rPr>
                <w:sz w:val="20"/>
                <w:szCs w:val="20"/>
                <w:color w:val="auto"/>
              </w:rPr>
            </w:pPr>
            <w:r>
              <w:rPr>
                <w:rFonts w:ascii="Arial" w:cs="Arial" w:eastAsia="Arial" w:hAnsi="Arial"/>
                <w:sz w:val="18"/>
                <w:szCs w:val="18"/>
                <w:color w:val="auto"/>
              </w:rPr>
              <w:t>Proceeds from exercise of stock options</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w:t>
            </w: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160" w:type="dxa"/>
            <w:vAlign w:val="bottom"/>
          </w:tcPr>
          <w:p>
            <w:pPr>
              <w:spacing w:after="0"/>
              <w:rPr>
                <w:sz w:val="20"/>
                <w:szCs w:val="20"/>
                <w:color w:val="auto"/>
              </w:rPr>
            </w:pPr>
            <w:r>
              <w:rPr>
                <w:rFonts w:ascii="Arial" w:cs="Arial" w:eastAsia="Arial" w:hAnsi="Arial"/>
                <w:sz w:val="18"/>
                <w:szCs w:val="18"/>
                <w:color w:val="auto"/>
              </w:rPr>
              <w:t>Proceeds from issuance of common shares upon completion of public offering,</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60" w:type="dxa"/>
            <w:vAlign w:val="bottom"/>
          </w:tcPr>
          <w:p>
            <w:pPr>
              <w:ind w:left="140"/>
              <w:spacing w:after="0"/>
              <w:rPr>
                <w:sz w:val="20"/>
                <w:szCs w:val="20"/>
                <w:color w:val="auto"/>
              </w:rPr>
            </w:pPr>
            <w:r>
              <w:rPr>
                <w:rFonts w:ascii="Arial" w:cs="Arial" w:eastAsia="Arial" w:hAnsi="Arial"/>
                <w:sz w:val="18"/>
                <w:szCs w:val="18"/>
                <w:color w:val="auto"/>
              </w:rPr>
              <w:t>net of offering costs</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93,628</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129,465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160" w:type="dxa"/>
            <w:vAlign w:val="bottom"/>
            <w:shd w:val="clear" w:color="auto" w:fill="CFF0FC"/>
          </w:tcPr>
          <w:p>
            <w:pPr>
              <w:spacing w:after="0"/>
              <w:rPr>
                <w:sz w:val="20"/>
                <w:szCs w:val="20"/>
                <w:color w:val="auto"/>
              </w:rPr>
            </w:pPr>
            <w:r>
              <w:rPr>
                <w:rFonts w:ascii="Arial" w:cs="Arial" w:eastAsia="Arial" w:hAnsi="Arial"/>
                <w:sz w:val="18"/>
                <w:szCs w:val="18"/>
                <w:color w:val="auto"/>
              </w:rPr>
              <w:t>Proceeds from issuance of common shares under ATM facility,</w:t>
            </w: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net of offering costs</w:t>
            </w:r>
          </w:p>
        </w:tc>
        <w:tc>
          <w:tcPr>
            <w:tcW w:w="24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8,130</w:t>
            </w:r>
          </w:p>
        </w:tc>
        <w:tc>
          <w:tcPr>
            <w:tcW w:w="30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1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tcBorders>
              <w:bottom w:val="single" w:sz="8" w:color="CFF0FC"/>
            </w:tcBorders>
          </w:tcPr>
          <w:p>
            <w:pPr>
              <w:spacing w:after="0"/>
              <w:rPr>
                <w:sz w:val="19"/>
                <w:szCs w:val="19"/>
                <w:color w:val="auto"/>
              </w:rPr>
            </w:pPr>
          </w:p>
        </w:tc>
        <w:tc>
          <w:tcPr>
            <w:tcW w:w="104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101,914</w:t>
            </w:r>
          </w:p>
        </w:tc>
        <w:tc>
          <w:tcPr>
            <w:tcW w:w="300" w:type="dxa"/>
            <w:vAlign w:val="bottom"/>
            <w:tcBorders>
              <w:bottom w:val="single" w:sz="8" w:color="CFF0FC"/>
            </w:tcBorders>
          </w:tcPr>
          <w:p>
            <w:pPr>
              <w:spacing w:after="0"/>
              <w:rPr>
                <w:sz w:val="19"/>
                <w:szCs w:val="19"/>
                <w:color w:val="auto"/>
              </w:rPr>
            </w:pPr>
          </w:p>
        </w:tc>
        <w:tc>
          <w:tcPr>
            <w:tcW w:w="106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129,964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increase in cash, cash equivalents and restricted cash</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32,503</w:t>
            </w: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80,060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24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187,535</w:t>
            </w:r>
          </w:p>
        </w:tc>
        <w:tc>
          <w:tcPr>
            <w:tcW w:w="30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126,794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24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88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220,038</w:t>
            </w:r>
          </w:p>
        </w:tc>
        <w:tc>
          <w:tcPr>
            <w:tcW w:w="30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873"/>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206,854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6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2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160" w:type="dxa"/>
            <w:vAlign w:val="bottom"/>
            <w:shd w:val="clear" w:color="auto" w:fill="CFF0FC"/>
          </w:tcPr>
          <w:p>
            <w:pPr>
              <w:spacing w:after="0"/>
              <w:rPr>
                <w:sz w:val="20"/>
                <w:szCs w:val="20"/>
                <w:color w:val="auto"/>
              </w:rPr>
            </w:pPr>
            <w:r>
              <w:rPr>
                <w:rFonts w:ascii="Arial" w:cs="Arial" w:eastAsia="Arial" w:hAnsi="Arial"/>
                <w:sz w:val="18"/>
                <w:szCs w:val="18"/>
                <w:color w:val="auto"/>
              </w:rPr>
              <w:t>Purchases of property and equipment included in accounts payable and</w:t>
            </w: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60" w:type="dxa"/>
            <w:vAlign w:val="bottom"/>
            <w:shd w:val="clear" w:color="auto" w:fill="CFF0FC"/>
          </w:tcPr>
          <w:p>
            <w:pPr>
              <w:spacing w:after="0"/>
              <w:rPr>
                <w:sz w:val="20"/>
                <w:szCs w:val="20"/>
                <w:color w:val="auto"/>
              </w:rPr>
            </w:pPr>
            <w:r>
              <w:rPr>
                <w:rFonts w:ascii="Arial" w:cs="Arial" w:eastAsia="Arial" w:hAnsi="Arial"/>
                <w:sz w:val="18"/>
                <w:szCs w:val="18"/>
                <w:color w:val="auto"/>
              </w:rPr>
              <w:t>accrued expenses</w:t>
            </w:r>
          </w:p>
        </w:tc>
        <w:tc>
          <w:tcPr>
            <w:tcW w:w="1280" w:type="dxa"/>
            <w:vAlign w:val="bottom"/>
            <w:gridSpan w:val="2"/>
            <w:shd w:val="clear" w:color="auto" w:fill="CFF0FC"/>
          </w:tcPr>
          <w:p>
            <w:pPr>
              <w:jc w:val="right"/>
              <w:ind w:right="887"/>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873"/>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7160" w:type="dxa"/>
            <w:vAlign w:val="bottom"/>
          </w:tcPr>
          <w:p>
            <w:pPr>
              <w:spacing w:after="0"/>
              <w:rPr>
                <w:sz w:val="20"/>
                <w:szCs w:val="20"/>
                <w:color w:val="auto"/>
              </w:rPr>
            </w:pPr>
            <w:r>
              <w:rPr>
                <w:rFonts w:ascii="Arial" w:cs="Arial" w:eastAsia="Arial" w:hAnsi="Arial"/>
                <w:sz w:val="18"/>
                <w:szCs w:val="18"/>
                <w:b w:val="1"/>
                <w:bCs w:val="1"/>
                <w:color w:val="auto"/>
                <w:w w:val="91"/>
              </w:rPr>
              <w:t>Reconciliation of cash, cash equivalents and restricted cash reported within the condensed</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160" w:type="dxa"/>
            <w:vAlign w:val="bottom"/>
          </w:tcPr>
          <w:p>
            <w:pPr>
              <w:spacing w:after="0"/>
              <w:rPr>
                <w:sz w:val="20"/>
                <w:szCs w:val="20"/>
                <w:color w:val="auto"/>
              </w:rPr>
            </w:pPr>
            <w:r>
              <w:rPr>
                <w:rFonts w:ascii="Arial" w:cs="Arial" w:eastAsia="Arial" w:hAnsi="Arial"/>
                <w:sz w:val="18"/>
                <w:szCs w:val="18"/>
                <w:b w:val="1"/>
                <w:bCs w:val="1"/>
                <w:color w:val="auto"/>
              </w:rPr>
              <w:t>consolidated balance sheets:</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16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end of period</w:t>
            </w:r>
          </w:p>
        </w:tc>
        <w:tc>
          <w:tcPr>
            <w:tcW w:w="1280" w:type="dxa"/>
            <w:vAlign w:val="bottom"/>
            <w:gridSpan w:val="2"/>
            <w:shd w:val="clear" w:color="auto" w:fill="CFF0FC"/>
          </w:tcPr>
          <w:p>
            <w:pPr>
              <w:jc w:val="right"/>
              <w:ind w:right="887"/>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219,546</w:t>
            </w: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873"/>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206,362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Restricted cash</w:t>
            </w:r>
          </w:p>
        </w:tc>
        <w:tc>
          <w:tcPr>
            <w:tcW w:w="24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w:t>
            </w:r>
          </w:p>
        </w:tc>
        <w:tc>
          <w:tcPr>
            <w:tcW w:w="30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cash equivalents and restricted cash, end of period</w:t>
            </w:r>
          </w:p>
        </w:tc>
        <w:tc>
          <w:tcPr>
            <w:tcW w:w="24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88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220,038</w:t>
            </w:r>
          </w:p>
        </w:tc>
        <w:tc>
          <w:tcPr>
            <w:tcW w:w="30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873"/>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206,854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ind w:left="498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the Business</w:t>
      </w:r>
    </w:p>
    <w:p>
      <w:pPr>
        <w:spacing w:after="0" w:line="121" w:lineRule="exact"/>
        <w:rPr>
          <w:sz w:val="20"/>
          <w:szCs w:val="20"/>
          <w:color w:val="auto"/>
        </w:rPr>
      </w:pPr>
    </w:p>
    <w:p>
      <w:pPr>
        <w:ind w:right="420" w:firstLine="510"/>
        <w:spacing w:after="0" w:line="277" w:lineRule="auto"/>
        <w:rPr>
          <w:sz w:val="20"/>
          <w:szCs w:val="20"/>
          <w:color w:val="auto"/>
        </w:rPr>
      </w:pPr>
      <w:r>
        <w:rPr>
          <w:rFonts w:ascii="Arial" w:cs="Arial" w:eastAsia="Arial" w:hAnsi="Arial"/>
          <w:sz w:val="18"/>
          <w:szCs w:val="18"/>
          <w:color w:val="auto"/>
        </w:rPr>
        <w:t xml:space="preserve">AVROBIO, Inc. (the “Company” or “AVROBIO”) is a clinical-stage gene therapy company focused on developing potentially curative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lentiviral gene therapies to treat rare diseases following a single dose treatment regimen.</w:t>
      </w:r>
    </w:p>
    <w:p>
      <w:pPr>
        <w:spacing w:after="0" w:line="170" w:lineRule="exact"/>
        <w:rPr>
          <w:sz w:val="20"/>
          <w:szCs w:val="20"/>
          <w:color w:val="auto"/>
        </w:rPr>
      </w:pPr>
    </w:p>
    <w:p>
      <w:pPr>
        <w:ind w:right="160" w:firstLine="510"/>
        <w:spacing w:after="0" w:line="297" w:lineRule="auto"/>
        <w:rPr>
          <w:sz w:val="20"/>
          <w:szCs w:val="20"/>
          <w:color w:val="auto"/>
        </w:rPr>
      </w:pPr>
      <w:r>
        <w:rPr>
          <w:rFonts w:ascii="Arial" w:cs="Arial" w:eastAsia="Arial" w:hAnsi="Arial"/>
          <w:sz w:val="16"/>
          <w:szCs w:val="16"/>
          <w:color w:val="auto"/>
        </w:rPr>
        <w:t>The Company is subject to risks and uncertainties common to clinical-stage companies in the biotechnology industry, including but not limited to, risks associated with completing preclinical studies and clinical trials, receiving regulatory approvals for product candidates, development by competitors of new biopharmaceutical products, dependence on key personnel, protection of proprietary technology, compliance with government regulations and the ability to secure additional capital to fund operations. Product candidates currently under development will require significant additional research and development efforts, including preclinical and clinical testing and regulatory approval, prior to commercialization. These efforts require significant amounts of additional capital, adequate personnel and infrastructure and extensive compliance-reporting capabilities. Even if the Company’s product development efforts are successful, it is uncertain when, if ever, the Company will realize revenue from product sales.</w:t>
      </w:r>
    </w:p>
    <w:p>
      <w:pPr>
        <w:spacing w:after="0" w:line="161" w:lineRule="exact"/>
        <w:rPr>
          <w:sz w:val="20"/>
          <w:szCs w:val="20"/>
          <w:color w:val="auto"/>
        </w:rPr>
      </w:pPr>
    </w:p>
    <w:p>
      <w:pPr>
        <w:ind w:right="60" w:firstLine="510"/>
        <w:spacing w:after="0" w:line="274" w:lineRule="auto"/>
        <w:rPr>
          <w:sz w:val="20"/>
          <w:szCs w:val="20"/>
          <w:color w:val="auto"/>
        </w:rPr>
      </w:pPr>
      <w:r>
        <w:rPr>
          <w:rFonts w:ascii="Arial" w:cs="Arial" w:eastAsia="Arial" w:hAnsi="Arial"/>
          <w:sz w:val="17"/>
          <w:szCs w:val="17"/>
          <w:color w:val="auto"/>
        </w:rPr>
        <w:t>The Company has incurred recurring losses since its inception, including net losses of $91,581 and $50,303 for the nine months ended September 30, 2020 and 2019, respectively. In addition, as of September 30, 2020, the Company had an accumulated deficit of $236,285. The Company has primarily funded these losses through the proceeds from sales of common and preferred stock. Although the Company has incurred recurring losses and expects to continue to incur losses for the foreseeable future, the Company expects that its existing cash and cash equivalents on hand as of September 30, 2020 of $219,546 will be sufficient to fund current planned operations and capital expenditure requirements for at least the next twelve months from the filing date of this Quarterly Report on Form 10-Q with the SEC. However, the future viability of the Company is dependent on its ability to raise additional capital to finance its operations. The Company’s inability to raise capital as and when needed could have a negative impact on its financial condition and ability to pursue its business strategies. There can be no assurance that the current operating plan will be achieved or that additional funding will be available on terms acceptable to the Company, or at all.</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The accompanying condensed consolidated financial statements have been prepared in conformity with accounting principles generally accepted in the United States of America (“GAAP”). Any reference in these notes to applicable guidance is meant to refer to the authoritative United States generally accepted accounting principles as found in the Accounting Standards Codification (“ASC”) and Accounting Standards Update (“ASU”) of the Financial Accounting Standards Board (“FASB”).</w:t>
      </w:r>
    </w:p>
    <w:p>
      <w:pPr>
        <w:spacing w:after="0" w:line="187" w:lineRule="exact"/>
        <w:rPr>
          <w:sz w:val="20"/>
          <w:szCs w:val="20"/>
          <w:color w:val="auto"/>
        </w:rPr>
      </w:pPr>
    </w:p>
    <w:p>
      <w:pPr>
        <w:ind w:right="20" w:firstLine="510"/>
        <w:spacing w:after="0" w:line="275" w:lineRule="auto"/>
        <w:rPr>
          <w:sz w:val="20"/>
          <w:szCs w:val="20"/>
          <w:color w:val="auto"/>
        </w:rPr>
      </w:pPr>
      <w:r>
        <w:rPr>
          <w:rFonts w:ascii="Arial" w:cs="Arial" w:eastAsia="Arial" w:hAnsi="Arial"/>
          <w:sz w:val="17"/>
          <w:szCs w:val="17"/>
          <w:color w:val="auto"/>
        </w:rPr>
        <w:t>The unaudited condensed consolidated interim financial statements have been prepared on the same basis as the audited annual consolidated financial statements as of and for the year ended December 31, 2019, and, in the opinion of management, reflect all adjustments, consisting of normal recurring adjustments, necessary for the fair presentation of the Company’s financial position as of September 30, 2020, and the results of its operations for the three and nine months ended September 30, 2020 and 2019, its statements of stockholders’ equity for the three and nine months ended September 30, 2020 and 2019 and its statement of cash flows for the nine months ended September 30, 2020 and 2019.</w:t>
      </w:r>
    </w:p>
    <w:p>
      <w:pPr>
        <w:spacing w:after="0" w:line="176"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The results for the three and nine months ended September 30, 2020 are not necessarily indicative of the results to be expected for the year ending December 31, 2020, any other interim periods, or any future year or period. These interim financial statements should be read in conjunction with the audited financial statements as of and for the year ended December 31, 2019, and the notes thereto, which are included in the Company’s Annual Report on Form 10-K for the year ended December 31, 2019, filed with the SEC on March 16, 2020.</w:t>
      </w:r>
    </w:p>
    <w:p>
      <w:pPr>
        <w:spacing w:after="0" w:line="187" w:lineRule="exact"/>
        <w:rPr>
          <w:sz w:val="20"/>
          <w:szCs w:val="20"/>
          <w:color w:val="auto"/>
        </w:rPr>
      </w:pPr>
    </w:p>
    <w:p>
      <w:pPr>
        <w:ind w:right="80" w:firstLine="510"/>
        <w:spacing w:after="0" w:line="287" w:lineRule="auto"/>
        <w:rPr>
          <w:sz w:val="20"/>
          <w:szCs w:val="20"/>
          <w:color w:val="auto"/>
        </w:rPr>
      </w:pPr>
      <w:r>
        <w:rPr>
          <w:rFonts w:ascii="Arial" w:cs="Arial" w:eastAsia="Arial" w:hAnsi="Arial"/>
          <w:sz w:val="16"/>
          <w:szCs w:val="16"/>
          <w:color w:val="auto"/>
        </w:rPr>
        <w:t>The accompanying unaudited condensed consolidated financial statements reflect the application of certain significant accounting policies as described below and elsewhere in these notes to the unaudited condensed consolidated financial statements. As of September 30, 2020, there have been no changes to the Company’s significant accounting policies as described in the Company’s Annual Report on Form 10-K for the fiscal year</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ended December 31, 2019, except as it related to the adoption of new accounting standards during the first nine months of 2020 as discussed below.</w:t>
      </w: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 w:name="page12"/>
    <w:bookmarkEnd w:id="11"/>
    <w:p>
      <w:pPr>
        <w:ind w:left="498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31"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Certain reclassifications have been made to the prior year condensed consolidated balance sheet to conform to the current year presentation, which reflect a reclassification from other assets to restricted cash for $492 and from other current liabilities to deferred rent for $231. These reclassifications have no impact on the Company’s net loss or cash flows.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40" w:firstLine="510"/>
        <w:spacing w:after="0" w:line="272" w:lineRule="auto"/>
        <w:rPr>
          <w:sz w:val="20"/>
          <w:szCs w:val="20"/>
          <w:color w:val="auto"/>
        </w:rPr>
      </w:pPr>
      <w:r>
        <w:rPr>
          <w:rFonts w:ascii="Arial" w:cs="Arial" w:eastAsia="Arial" w:hAnsi="Arial"/>
          <w:sz w:val="17"/>
          <w:szCs w:val="17"/>
          <w:color w:val="auto"/>
        </w:rPr>
        <w:t>The preparation of consolidated financial statements in conformity with U.S. GAAP requires management to make estimates and assumptions that affect the reported amounts of assets and liabilities, the disclosure of contingent assets and liabilities at the date of the consolidated financial statements and the reported amounts of revenue and expenses during the reporting periods. Significant estimates and assumptions reflected in these consolidated financial statements include, but are not limited to, the accrual for research and development expenses, stock-based compensation expense, the valuation of equity and derivative instruments and the recoverability of the Company’s net deferred tax assets and related valuation allowance. Estimates are periodically reviewed in light of changes in circumstances, facts and experience. Actual results may differ from these estimates under different assumptions or conditions. Changes in estimates are recorded in the period in which they become known.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117"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The Company is an “emerging growth company,” as defined in the Jumpstart Our Business Startups Act, or JOBS Act, and may take advantage of certain exemptions from various reporting requirements that are applicable to other public companies that are not emerging growth companies. The Company may take advantage of these exemptions until the Company is no longer an “emerging growth company.” Section 107 of the JOBS Act provides that an “emerging growth company” can take advantage of the extended transition period afforded by the JOBS Act for the implementation of new or revised accounting standards. The Company has elected to use the extended transition period for complying with new or revised accounting standards and as a result of this election, its consolidated financial statements may not be comparable to companies that comply with public company effective dates. The Company may take advantage of these exemptions up until the last day of the fiscal year following the fifth anniversary of its initial public offering (“IPO”) or such earlier time that it is no longer an “emerging growth company”.</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Subsequent Event Considerations</w:t>
      </w:r>
    </w:p>
    <w:p>
      <w:pPr>
        <w:spacing w:after="0" w:line="117" w:lineRule="exact"/>
        <w:rPr>
          <w:sz w:val="20"/>
          <w:szCs w:val="20"/>
          <w:color w:val="auto"/>
        </w:rPr>
      </w:pPr>
    </w:p>
    <w:p>
      <w:pPr>
        <w:ind w:right="580" w:firstLine="510"/>
        <w:spacing w:after="0" w:line="263" w:lineRule="auto"/>
        <w:rPr>
          <w:sz w:val="20"/>
          <w:szCs w:val="20"/>
          <w:color w:val="auto"/>
        </w:rPr>
      </w:pPr>
      <w:r>
        <w:rPr>
          <w:rFonts w:ascii="Arial" w:cs="Arial" w:eastAsia="Arial" w:hAnsi="Arial"/>
          <w:sz w:val="18"/>
          <w:szCs w:val="18"/>
          <w:color w:val="auto"/>
        </w:rPr>
        <w:t>The Company considers events or transactions that occur after the balance sheet date but prior to the issuance of the consolidated financial statements to provide additional evidence for certain estimates or to identify matters that require additional disclosure. Subsequent events have been evaluated as required.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ind w:right="40" w:firstLine="510"/>
        <w:spacing w:after="0" w:line="293" w:lineRule="auto"/>
        <w:rPr>
          <w:sz w:val="20"/>
          <w:szCs w:val="20"/>
          <w:color w:val="auto"/>
        </w:rPr>
      </w:pPr>
      <w:r>
        <w:rPr>
          <w:rFonts w:ascii="Arial" w:cs="Arial" w:eastAsia="Arial" w:hAnsi="Arial"/>
          <w:sz w:val="16"/>
          <w:szCs w:val="16"/>
          <w:color w:val="auto"/>
        </w:rPr>
        <w:t xml:space="preserve">In November 2018, the FASB issued ASU No. 2018-18, </w:t>
      </w:r>
      <w:r>
        <w:rPr>
          <w:rFonts w:ascii="Arial" w:cs="Arial" w:eastAsia="Arial" w:hAnsi="Arial"/>
          <w:sz w:val="16"/>
          <w:szCs w:val="16"/>
          <w:i w:val="1"/>
          <w:iCs w:val="1"/>
          <w:color w:val="auto"/>
        </w:rPr>
        <w:t>Collaborative Arrangements (Topic 808)—Clarifying the Interaction between Topic 808</w:t>
      </w:r>
      <w:r>
        <w:rPr>
          <w:rFonts w:ascii="Arial" w:cs="Arial" w:eastAsia="Arial" w:hAnsi="Arial"/>
          <w:sz w:val="16"/>
          <w:szCs w:val="16"/>
          <w:color w:val="auto"/>
        </w:rPr>
        <w:t xml:space="preserve"> </w:t>
      </w:r>
      <w:r>
        <w:rPr>
          <w:rFonts w:ascii="Arial" w:cs="Arial" w:eastAsia="Arial" w:hAnsi="Arial"/>
          <w:sz w:val="16"/>
          <w:szCs w:val="16"/>
          <w:i w:val="1"/>
          <w:iCs w:val="1"/>
          <w:color w:val="auto"/>
        </w:rPr>
        <w:t>and Topic 606</w:t>
      </w:r>
      <w:r>
        <w:rPr>
          <w:rFonts w:ascii="Arial" w:cs="Arial" w:eastAsia="Arial" w:hAnsi="Arial"/>
          <w:sz w:val="16"/>
          <w:szCs w:val="16"/>
          <w:color w:val="auto"/>
        </w:rPr>
        <w:t>, or ASU 2018-18. The amendments in ASU 2018-18 clarify that certain transactions between collaborative arrangement participants should</w:t>
      </w:r>
      <w:r>
        <w:rPr>
          <w:rFonts w:ascii="Arial" w:cs="Arial" w:eastAsia="Arial" w:hAnsi="Arial"/>
          <w:sz w:val="16"/>
          <w:szCs w:val="16"/>
          <w:i w:val="1"/>
          <w:iCs w:val="1"/>
          <w:color w:val="auto"/>
        </w:rPr>
        <w:t xml:space="preserve"> </w:t>
      </w:r>
      <w:r>
        <w:rPr>
          <w:rFonts w:ascii="Arial" w:cs="Arial" w:eastAsia="Arial" w:hAnsi="Arial"/>
          <w:sz w:val="16"/>
          <w:szCs w:val="16"/>
          <w:color w:val="auto"/>
        </w:rPr>
        <w:t>be accounted for as revenue under ASC 606 when the collaborative arrangement participant is a customer in the context of a unit of account. The amendments under ASU 2018-18 are effective for interim and annual fiscal periods beginning after December 15, 2019, with early adoption permitted. The amendments in ASU 2018-18 should be applied retrospectively to the date of initial application of ASC 606. The Company adopted ASU 2018-18 during the quarter ended March 31, 2020. The adoption did not have a material impact on the condensed consolidated financial statements.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In August 2018, the FASB issued ASU No. 2018-15, </w:t>
      </w:r>
      <w:r>
        <w:rPr>
          <w:rFonts w:ascii="Arial" w:cs="Arial" w:eastAsia="Arial" w:hAnsi="Arial"/>
          <w:sz w:val="18"/>
          <w:szCs w:val="18"/>
          <w:i w:val="1"/>
          <w:iCs w:val="1"/>
          <w:color w:val="auto"/>
        </w:rPr>
        <w:t>Intangible-Goodwill and Other Internal-Use Software (Subtopic 350-40),</w:t>
      </w:r>
      <w:r>
        <w:rPr>
          <w:rFonts w:ascii="Arial" w:cs="Arial" w:eastAsia="Arial" w:hAnsi="Arial"/>
          <w:sz w:val="18"/>
          <w:szCs w:val="18"/>
          <w:color w:val="auto"/>
        </w:rPr>
        <w:t xml:space="preserve"> or ASU 2018-</w:t>
      </w:r>
    </w:p>
    <w:p>
      <w:pPr>
        <w:spacing w:after="0" w:line="23" w:lineRule="exact"/>
        <w:rPr>
          <w:sz w:val="20"/>
          <w:szCs w:val="20"/>
          <w:color w:val="auto"/>
        </w:rPr>
      </w:pPr>
    </w:p>
    <w:p>
      <w:pPr>
        <w:ind w:right="140" w:firstLine="8"/>
        <w:spacing w:after="0" w:line="253" w:lineRule="auto"/>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ASU 2018-15 updates guidance regarding accounting for implementation costs associated with a cloud computing arrangement that is a service contract. The amendments under ASU 2018-15 are effective for interim and annual fiscal periods beginning after December 15, 2019, with early adoption permitted. The Company adopted ASU 2018-15 during the quarter ended March 31, 2020. The adoption did not have a material impact on the condensed consolidated financial statements.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ind w:left="498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27"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 xml:space="preserve">In August 2018, the FASB issued ASU No. 2018-13, </w:t>
      </w:r>
      <w:r>
        <w:rPr>
          <w:rFonts w:ascii="Arial" w:cs="Arial" w:eastAsia="Arial" w:hAnsi="Arial"/>
          <w:sz w:val="18"/>
          <w:szCs w:val="18"/>
          <w:i w:val="1"/>
          <w:iCs w:val="1"/>
          <w:color w:val="auto"/>
        </w:rPr>
        <w:t>Fair Value Measurement (Topic 820): Disclosure Framework—Changes to the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Requirements for Fair Value Measurement</w:t>
      </w:r>
      <w:r>
        <w:rPr>
          <w:rFonts w:ascii="Arial" w:cs="Arial" w:eastAsia="Arial" w:hAnsi="Arial"/>
          <w:sz w:val="18"/>
          <w:szCs w:val="18"/>
          <w:color w:val="auto"/>
        </w:rPr>
        <w:t>, or ASU 2018-13. The amendments in ASU 2018-13 eliminate, add, and modify certain disclosure requirements</w:t>
      </w:r>
      <w:r>
        <w:rPr>
          <w:rFonts w:ascii="Arial" w:cs="Arial" w:eastAsia="Arial" w:hAnsi="Arial"/>
          <w:sz w:val="18"/>
          <w:szCs w:val="18"/>
          <w:i w:val="1"/>
          <w:iCs w:val="1"/>
          <w:color w:val="auto"/>
        </w:rPr>
        <w:t xml:space="preserve"> </w:t>
      </w:r>
      <w:r>
        <w:rPr>
          <w:rFonts w:ascii="Arial" w:cs="Arial" w:eastAsia="Arial" w:hAnsi="Arial"/>
          <w:sz w:val="18"/>
          <w:szCs w:val="18"/>
          <w:color w:val="auto"/>
        </w:rPr>
        <w:t>for fair value measurements. The amendments are effective for interim and annual reporting periods beginning after December 15, 2019, with early adoption permitted for either the entire ASU or only the provisions that eliminate or modify requirements. The amendments with respect to changes in unrealized gains and losses, the range and weighted-average of significant unobservable inputs used to develop Level 3 fair value measurements, and the narrative description of measurement uncertainty are to be applied prospectively. All other amendments are to be applied retrospectively to all periods presented. The Company adopted ASU 2018-13 during the quarter ended March 31, 2020. The adoption did not have a material impact on the condensed consolidated financial statements.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(Topic 842) Leases,</w:t>
      </w:r>
      <w:r>
        <w:rPr>
          <w:rFonts w:ascii="Arial" w:cs="Arial" w:eastAsia="Arial" w:hAnsi="Arial"/>
          <w:sz w:val="16"/>
          <w:szCs w:val="16"/>
          <w:color w:val="auto"/>
        </w:rPr>
        <w:t xml:space="preserve"> or ASU 2016-02. ASU 2016-02 requires an entity to recognize assets and liabilities arising from a lease for both financing and operating leases. The ASU will also require new qualitative and quantitative disclosures to help investors and other financial statement users better understand the amount, timing, and uncertainty of cash flows arising from leases. For public</w:t>
      </w:r>
    </w:p>
    <w:p>
      <w:pPr>
        <w:spacing w:after="0" w:line="2"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entities, ASU 2016-02 is effective for fiscal years beginning after December 15, 2018. As a result of the Company having elected the extended transition period for complying with new or revised accounting standards pursuant to Section 107(b) of the JOBS Act, ASU 2016-02 is effective for the Company for the year ended December 31, 2022, and all interim periods thereafter. Early adoption is permitted. The Company is currently evaluating the impact that the adoption of ASU 2016-02 will have on its consolidated financial statements. Based on this evaluation the Company currently expects that its operating lease commitments will be subject to the new standard and recognized as right-of-use assets and operating lease liabilities upon adoption of this standard, which will increase the Company’s total assets and total liabilities.</w:t>
      </w:r>
    </w:p>
    <w:p>
      <w:pPr>
        <w:spacing w:after="0" w:line="178" w:lineRule="exact"/>
        <w:rPr>
          <w:sz w:val="20"/>
          <w:szCs w:val="20"/>
          <w:color w:val="auto"/>
        </w:rPr>
      </w:pPr>
    </w:p>
    <w:p>
      <w:pPr>
        <w:ind w:right="120" w:firstLine="510"/>
        <w:spacing w:after="0" w:line="254"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w:t>
      </w:r>
      <w:r>
        <w:rPr>
          <w:rFonts w:ascii="Arial" w:cs="Arial" w:eastAsia="Arial" w:hAnsi="Arial"/>
          <w:sz w:val="18"/>
          <w:szCs w:val="18"/>
          <w:color w:val="auto"/>
        </w:rPr>
        <w:t>, or ASU 2016-13. ASU 2016-13 requires that credit losses be reported as an allowance using an expected losses model, representing the</w:t>
      </w:r>
      <w:r>
        <w:rPr>
          <w:rFonts w:ascii="Arial" w:cs="Arial" w:eastAsia="Arial" w:hAnsi="Arial"/>
          <w:sz w:val="18"/>
          <w:szCs w:val="18"/>
          <w:i w:val="1"/>
          <w:iCs w:val="1"/>
          <w:color w:val="auto"/>
        </w:rPr>
        <w:t xml:space="preserve"> </w:t>
      </w:r>
      <w:r>
        <w:rPr>
          <w:rFonts w:ascii="Arial" w:cs="Arial" w:eastAsia="Arial" w:hAnsi="Arial"/>
          <w:sz w:val="18"/>
          <w:szCs w:val="18"/>
          <w:color w:val="auto"/>
        </w:rPr>
        <w:t>entity's current estimate of credit losses expected to be incurred. The accounting guidance currently in effect is based on an incurred loss model. For available-for-sale debt securities with unrealized losses, this standard now requires allowances to be recorded instead of reducing the amortized cost of the investment. ASU 2016-13 is effective for non-EGCs for fiscal years beginning December 15, 2019 and interim periods within those fiscal years, and will be effective for the Company for fiscal years beginning after December 15, 2022 and interim periods within those fiscal years, assuming the Company remains an EGC. Early adoption is permitted. The Company is currently evaluating the effects the adoption of ASU 2016-13 may have on its financial statements.</w:t>
      </w:r>
    </w:p>
    <w:p>
      <w:pPr>
        <w:spacing w:after="0" w:line="192" w:lineRule="exact"/>
        <w:rPr>
          <w:sz w:val="20"/>
          <w:szCs w:val="20"/>
          <w:color w:val="auto"/>
        </w:rPr>
      </w:pPr>
    </w:p>
    <w:p>
      <w:pPr>
        <w:ind w:right="100" w:firstLine="510"/>
        <w:spacing w:after="0" w:line="269" w:lineRule="auto"/>
        <w:rPr>
          <w:sz w:val="20"/>
          <w:szCs w:val="20"/>
          <w:color w:val="auto"/>
        </w:rPr>
      </w:pPr>
      <w:r>
        <w:rPr>
          <w:rFonts w:ascii="Arial" w:cs="Arial" w:eastAsia="Arial" w:hAnsi="Arial"/>
          <w:sz w:val="17"/>
          <w:szCs w:val="17"/>
          <w:color w:val="auto"/>
        </w:rPr>
        <w:t>In November 2019, the FASB issued ASU 2019-11, “</w:t>
      </w:r>
      <w:r>
        <w:rPr>
          <w:rFonts w:ascii="Arial" w:cs="Arial" w:eastAsia="Arial" w:hAnsi="Arial"/>
          <w:sz w:val="17"/>
          <w:szCs w:val="17"/>
          <w:i w:val="1"/>
          <w:iCs w:val="1"/>
          <w:color w:val="auto"/>
        </w:rPr>
        <w:t>Codification Improvements to Topic 326, Financial Instruments – Credit Losses</w:t>
      </w:r>
      <w:r>
        <w:rPr>
          <w:rFonts w:ascii="Arial" w:cs="Arial" w:eastAsia="Arial" w:hAnsi="Arial"/>
          <w:sz w:val="17"/>
          <w:szCs w:val="17"/>
          <w:color w:val="auto"/>
        </w:rPr>
        <w:t>”, or ASU 2019-11. ASU 2019-11 is an accounting pronouncement that amends ASU 2016-13, “</w:t>
      </w:r>
      <w:r>
        <w:rPr>
          <w:rFonts w:ascii="Arial" w:cs="Arial" w:eastAsia="Arial" w:hAnsi="Arial"/>
          <w:sz w:val="17"/>
          <w:szCs w:val="17"/>
          <w:i w:val="1"/>
          <w:iCs w:val="1"/>
          <w:color w:val="auto"/>
        </w:rPr>
        <w:t>Financial Instruments – Credit Losses (Topic 326): Measurement of</w:t>
      </w:r>
      <w:r>
        <w:rPr>
          <w:rFonts w:ascii="Arial" w:cs="Arial" w:eastAsia="Arial" w:hAnsi="Arial"/>
          <w:sz w:val="17"/>
          <w:szCs w:val="17"/>
          <w:color w:val="auto"/>
        </w:rPr>
        <w:t xml:space="preserve"> </w:t>
      </w:r>
      <w:r>
        <w:rPr>
          <w:rFonts w:ascii="Arial" w:cs="Arial" w:eastAsia="Arial" w:hAnsi="Arial"/>
          <w:sz w:val="17"/>
          <w:szCs w:val="17"/>
          <w:i w:val="1"/>
          <w:iCs w:val="1"/>
          <w:color w:val="auto"/>
        </w:rPr>
        <w:t>Credit Losses on Financial Instruments</w:t>
      </w:r>
      <w:r>
        <w:rPr>
          <w:rFonts w:ascii="Arial" w:cs="Arial" w:eastAsia="Arial" w:hAnsi="Arial"/>
          <w:sz w:val="17"/>
          <w:szCs w:val="17"/>
          <w:color w:val="auto"/>
        </w:rPr>
        <w:t>.” The amendments update guidance on reporting credit losses for financial assets. These amendments affect loans,</w:t>
      </w:r>
      <w:r>
        <w:rPr>
          <w:rFonts w:ascii="Arial" w:cs="Arial" w:eastAsia="Arial" w:hAnsi="Arial"/>
          <w:sz w:val="17"/>
          <w:szCs w:val="17"/>
          <w:i w:val="1"/>
          <w:iCs w:val="1"/>
          <w:color w:val="auto"/>
        </w:rPr>
        <w:t xml:space="preserve"> </w:t>
      </w:r>
      <w:r>
        <w:rPr>
          <w:rFonts w:ascii="Arial" w:cs="Arial" w:eastAsia="Arial" w:hAnsi="Arial"/>
          <w:sz w:val="17"/>
          <w:szCs w:val="17"/>
          <w:color w:val="auto"/>
        </w:rPr>
        <w:t>debt securities, trade receivables, net investments in leases, off balance sheet credit exposures, reinsurance receivables, and any other financial assets not excluded from the scope that have the contractual right to receive cash. The amendments in both ASU 2016-13 and ASU 2019-11 are effective for annual reporting periods beginning after December 15, 2019, including interim periods within those fiscal years. As a result of the Company having elected the extended transition period for complying with new or revised accounting standards pursuant to Section 107(b) of the JOBS Act, 2016-13 and ASU 2019-11 are effective for the Company for fiscal years beginning after December 15, 2020, and interim periods within fiscal years beginning after December 15, 2021. The Company is currently evaluating ASU 2016-13 and ASU 2019-11 and their impact on its condensed consolidated financial statements and financial statement disclosures.</w:t>
      </w:r>
    </w:p>
    <w:p>
      <w:pPr>
        <w:spacing w:after="0" w:line="185" w:lineRule="exact"/>
        <w:rPr>
          <w:sz w:val="20"/>
          <w:szCs w:val="20"/>
          <w:color w:val="auto"/>
        </w:rPr>
      </w:pPr>
    </w:p>
    <w:p>
      <w:pPr>
        <w:ind w:right="220" w:firstLine="510"/>
        <w:spacing w:after="0" w:line="255" w:lineRule="auto"/>
        <w:rPr>
          <w:sz w:val="20"/>
          <w:szCs w:val="20"/>
          <w:color w:val="auto"/>
        </w:rPr>
      </w:pPr>
      <w:r>
        <w:rPr>
          <w:rFonts w:ascii="Arial" w:cs="Arial" w:eastAsia="Arial" w:hAnsi="Arial"/>
          <w:sz w:val="18"/>
          <w:szCs w:val="18"/>
          <w:color w:val="auto"/>
        </w:rPr>
        <w:t xml:space="preserve">In December 2019, the FASB issued ASU No. 2019-12, </w:t>
      </w:r>
      <w:r>
        <w:rPr>
          <w:rFonts w:ascii="Arial" w:cs="Arial" w:eastAsia="Arial" w:hAnsi="Arial"/>
          <w:sz w:val="18"/>
          <w:szCs w:val="18"/>
          <w:i w:val="1"/>
          <w:iCs w:val="1"/>
          <w:color w:val="auto"/>
        </w:rPr>
        <w:t>Simplifying the Accounting for Income Taxes</w:t>
      </w:r>
      <w:r>
        <w:rPr>
          <w:rFonts w:ascii="Arial" w:cs="Arial" w:eastAsia="Arial" w:hAnsi="Arial"/>
          <w:sz w:val="18"/>
          <w:szCs w:val="18"/>
          <w:color w:val="auto"/>
        </w:rPr>
        <w:t>, or ASU 2019-12. ASU 2019-12 eliminates certain exceptions related to the approach for intraperiod tax allocation, the methodology for calculating income taxes in an interim period and the recognition of deferred tax liabilities for outside basis differences. It also clarifies and simplifies other aspects of the accounting for income taxes. For public companies, the ASU is effective for fiscal years beginning after December 15, 2020, and interim periods within those fiscal years, with early adoption permitted. The Company plans to adopt this guidance on January 1, 2021. The Company is currently evaluating the impact that the adoption of ASU 2019-12 will have on its consolidated financial statements.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ind w:left="498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w:t>
      </w:r>
    </w:p>
    <w:p>
      <w:pPr>
        <w:spacing w:after="0" w:line="121" w:lineRule="exact"/>
        <w:rPr>
          <w:sz w:val="20"/>
          <w:szCs w:val="20"/>
          <w:color w:val="auto"/>
        </w:rPr>
      </w:pPr>
    </w:p>
    <w:p>
      <w:pPr>
        <w:ind w:right="80" w:firstLine="749"/>
        <w:spacing w:after="0" w:line="277" w:lineRule="auto"/>
        <w:rPr>
          <w:sz w:val="20"/>
          <w:szCs w:val="20"/>
          <w:color w:val="auto"/>
        </w:rPr>
      </w:pPr>
      <w:r>
        <w:rPr>
          <w:rFonts w:ascii="Arial" w:cs="Arial" w:eastAsia="Arial" w:hAnsi="Arial"/>
          <w:sz w:val="18"/>
          <w:szCs w:val="18"/>
          <w:color w:val="auto"/>
        </w:rPr>
        <w:t>The following table presents information about the Company’s financial assets measured at fair value on a recurring basis and indicates the level of the fair value hierarchy utilized to determine such fair values as of September 30, 2020 and December 31, 2019:</w:t>
      </w:r>
    </w:p>
    <w:p>
      <w:pPr>
        <w:spacing w:after="0" w:line="256"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82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rPr>
              <w:t>Fair Value Measurements as of September 30, 2020</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3"/>
                <w:szCs w:val="13"/>
                <w:color w:val="auto"/>
              </w:rPr>
            </w:pPr>
          </w:p>
        </w:tc>
        <w:tc>
          <w:tcPr>
            <w:tcW w:w="106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3"/>
                <w:szCs w:val="13"/>
                <w:color w:val="auto"/>
              </w:rPr>
            </w:pPr>
          </w:p>
        </w:tc>
        <w:tc>
          <w:tcPr>
            <w:tcW w:w="106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Level 3</w:t>
            </w:r>
          </w:p>
        </w:tc>
        <w:tc>
          <w:tcPr>
            <w:tcW w:w="280" w:type="dxa"/>
            <w:vAlign w:val="bottom"/>
          </w:tcPr>
          <w:p>
            <w:pPr>
              <w:spacing w:after="0"/>
              <w:rPr>
                <w:sz w:val="13"/>
                <w:szCs w:val="13"/>
                <w:color w:val="auto"/>
              </w:rPr>
            </w:pPr>
          </w:p>
        </w:tc>
        <w:tc>
          <w:tcPr>
            <w:tcW w:w="760" w:type="dxa"/>
            <w:vAlign w:val="bottom"/>
          </w:tcPr>
          <w:p>
            <w:pPr>
              <w:jc w:val="right"/>
              <w:ind w:right="296"/>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240" w:type="dxa"/>
            <w:vAlign w:val="bottom"/>
          </w:tcPr>
          <w:p>
            <w:pPr>
              <w:ind w:left="240"/>
              <w:spacing w:after="0"/>
              <w:rPr>
                <w:sz w:val="20"/>
                <w:szCs w:val="20"/>
                <w:color w:val="auto"/>
              </w:rPr>
            </w:pPr>
            <w:r>
              <w:rPr>
                <w:rFonts w:ascii="Arial" w:cs="Arial" w:eastAsia="Arial" w:hAnsi="Arial"/>
                <w:sz w:val="18"/>
                <w:szCs w:val="18"/>
                <w:color w:val="auto"/>
              </w:rPr>
              <w:t>Money market funds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219,306</w:t>
            </w:r>
          </w:p>
        </w:tc>
        <w:tc>
          <w:tcPr>
            <w:tcW w:w="22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219,306</w:t>
            </w:r>
          </w:p>
        </w:tc>
        <w:tc>
          <w:tcPr>
            <w:tcW w:w="100" w:type="dxa"/>
            <w:vAlign w:val="bottom"/>
          </w:tcPr>
          <w:p>
            <w:pPr>
              <w:spacing w:after="0"/>
              <w:rPr>
                <w:sz w:val="19"/>
                <w:szCs w:val="19"/>
                <w:color w:val="auto"/>
              </w:rPr>
            </w:pPr>
          </w:p>
        </w:tc>
      </w:tr>
      <w:tr>
        <w:trPr>
          <w:trHeight w:val="223"/>
        </w:trPr>
        <w:tc>
          <w:tcPr>
            <w:tcW w:w="5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219,306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ind w:left="64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ind w:left="64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219,306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52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gridSpan w:val="9"/>
          </w:tcPr>
          <w:p>
            <w:pPr>
              <w:jc w:val="right"/>
              <w:ind w:right="7"/>
              <w:spacing w:after="0"/>
              <w:rPr>
                <w:sz w:val="20"/>
                <w:szCs w:val="20"/>
                <w:color w:val="auto"/>
              </w:rPr>
            </w:pPr>
            <w:r>
              <w:rPr>
                <w:rFonts w:ascii="Arial" w:cs="Arial" w:eastAsia="Arial" w:hAnsi="Arial"/>
                <w:sz w:val="14"/>
                <w:szCs w:val="14"/>
                <w:b w:val="1"/>
                <w:bCs w:val="1"/>
                <w:color w:val="auto"/>
              </w:rPr>
              <w:t>Fair Value Measurements as of December 31, 2019</w:t>
            </w: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5"/>
        </w:trPr>
        <w:tc>
          <w:tcPr>
            <w:tcW w:w="5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3"/>
                <w:szCs w:val="13"/>
                <w:color w:val="auto"/>
              </w:rPr>
            </w:pPr>
          </w:p>
        </w:tc>
        <w:tc>
          <w:tcPr>
            <w:tcW w:w="106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3"/>
                <w:szCs w:val="13"/>
                <w:color w:val="auto"/>
              </w:rPr>
            </w:pPr>
          </w:p>
        </w:tc>
        <w:tc>
          <w:tcPr>
            <w:tcW w:w="106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Level 3</w:t>
            </w:r>
          </w:p>
        </w:tc>
        <w:tc>
          <w:tcPr>
            <w:tcW w:w="280" w:type="dxa"/>
            <w:vAlign w:val="bottom"/>
          </w:tcPr>
          <w:p>
            <w:pPr>
              <w:spacing w:after="0"/>
              <w:rPr>
                <w:sz w:val="13"/>
                <w:szCs w:val="13"/>
                <w:color w:val="auto"/>
              </w:rPr>
            </w:pPr>
          </w:p>
        </w:tc>
        <w:tc>
          <w:tcPr>
            <w:tcW w:w="760" w:type="dxa"/>
            <w:vAlign w:val="bottom"/>
          </w:tcPr>
          <w:p>
            <w:pPr>
              <w:jc w:val="right"/>
              <w:ind w:right="296"/>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240" w:type="dxa"/>
            <w:vAlign w:val="bottom"/>
          </w:tcPr>
          <w:p>
            <w:pPr>
              <w:ind w:left="240"/>
              <w:spacing w:after="0"/>
              <w:rPr>
                <w:sz w:val="20"/>
                <w:szCs w:val="20"/>
                <w:color w:val="auto"/>
              </w:rPr>
            </w:pPr>
            <w:r>
              <w:rPr>
                <w:rFonts w:ascii="Arial" w:cs="Arial" w:eastAsia="Arial" w:hAnsi="Arial"/>
                <w:sz w:val="18"/>
                <w:szCs w:val="18"/>
                <w:color w:val="auto"/>
              </w:rPr>
              <w:t>Money market funds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186,797</w:t>
            </w:r>
          </w:p>
        </w:tc>
        <w:tc>
          <w:tcPr>
            <w:tcW w:w="22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186,797</w:t>
            </w:r>
          </w:p>
        </w:tc>
        <w:tc>
          <w:tcPr>
            <w:tcW w:w="100" w:type="dxa"/>
            <w:vAlign w:val="bottom"/>
          </w:tcPr>
          <w:p>
            <w:pPr>
              <w:spacing w:after="0"/>
              <w:rPr>
                <w:sz w:val="19"/>
                <w:szCs w:val="19"/>
                <w:color w:val="auto"/>
              </w:rPr>
            </w:pPr>
          </w:p>
        </w:tc>
      </w:tr>
      <w:tr>
        <w:trPr>
          <w:trHeight w:val="223"/>
        </w:trPr>
        <w:tc>
          <w:tcPr>
            <w:tcW w:w="5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186,797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ind w:left="64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ind w:left="64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186,797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fair value of cash equivalents was determined through quoted prices by third-party pricing services.</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During the three and nine months ended September 30, 2020, there were no transfers between levels.</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Prepaid Expenses and Other Current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current assets consisted of the following: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1"/>
              </w:rPr>
              <w:t>September 30,</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December 31,</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700" w:type="dxa"/>
            <w:vAlign w:val="bottom"/>
          </w:tcPr>
          <w:p>
            <w:pPr>
              <w:spacing w:after="0"/>
              <w:rPr>
                <w:sz w:val="14"/>
                <w:szCs w:val="14"/>
                <w:color w:val="auto"/>
              </w:rPr>
            </w:pPr>
          </w:p>
        </w:tc>
        <w:tc>
          <w:tcPr>
            <w:tcW w:w="3720" w:type="dxa"/>
            <w:vAlign w:val="bottom"/>
            <w:tcBorders>
              <w:bottom w:val="single" w:sz="8" w:color="CFF0FC"/>
            </w:tcBorders>
          </w:tcPr>
          <w:p>
            <w:pPr>
              <w:spacing w:after="0"/>
              <w:rPr>
                <w:sz w:val="14"/>
                <w:szCs w:val="14"/>
                <w:color w:val="auto"/>
              </w:rPr>
            </w:pPr>
          </w:p>
        </w:tc>
        <w:tc>
          <w:tcPr>
            <w:tcW w:w="164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6"/>
              </w:rPr>
              <w:t>2019</w:t>
            </w:r>
          </w:p>
        </w:tc>
        <w:tc>
          <w:tcPr>
            <w:tcW w:w="80" w:type="dxa"/>
            <w:vAlign w:val="bottom"/>
            <w:tcBorders>
              <w:bottom w:val="single" w:sz="8" w:color="CFF0FC"/>
            </w:tcBorders>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Tax incentive refund</w:t>
            </w:r>
          </w:p>
        </w:tc>
        <w:tc>
          <w:tcPr>
            <w:tcW w:w="16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2,366</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1,916</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Prepaid research and development costs</w:t>
            </w: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3,528</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4,915</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Prepaid insurance</w:t>
            </w:r>
          </w:p>
        </w:tc>
        <w:tc>
          <w:tcPr>
            <w:tcW w:w="16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1,762</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897</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Prepaid compensation and benefit costs</w:t>
            </w: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621</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362</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Other current assets</w:t>
            </w:r>
          </w:p>
        </w:tc>
        <w:tc>
          <w:tcPr>
            <w:tcW w:w="16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1,163</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568</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9,440</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8,658</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5. Property and Equipment, Net</w:t>
            </w: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5420" w:type="dxa"/>
            <w:vAlign w:val="bottom"/>
            <w:gridSpan w:val="2"/>
            <w:vMerge w:val="continue"/>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420" w:type="dxa"/>
            <w:vAlign w:val="bottom"/>
            <w:gridSpan w:val="2"/>
          </w:tcPr>
          <w:p>
            <w:pPr>
              <w:ind w:left="520"/>
              <w:spacing w:after="0"/>
              <w:rPr>
                <w:sz w:val="20"/>
                <w:szCs w:val="20"/>
                <w:color w:val="auto"/>
              </w:rPr>
            </w:pPr>
            <w:r>
              <w:rPr>
                <w:rFonts w:ascii="Arial" w:cs="Arial" w:eastAsia="Arial" w:hAnsi="Arial"/>
                <w:sz w:val="18"/>
                <w:szCs w:val="18"/>
                <w:color w:val="auto"/>
              </w:rPr>
              <w:t>Property and equipment, net consisted of the following:</w:t>
            </w: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17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1"/>
              </w:rPr>
              <w:t>September 30,</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December 31,</w:t>
            </w: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700" w:type="dxa"/>
            <w:vAlign w:val="bottom"/>
          </w:tcPr>
          <w:p>
            <w:pPr>
              <w:spacing w:after="0"/>
              <w:rPr>
                <w:sz w:val="14"/>
                <w:szCs w:val="14"/>
                <w:color w:val="auto"/>
              </w:rPr>
            </w:pPr>
          </w:p>
        </w:tc>
        <w:tc>
          <w:tcPr>
            <w:tcW w:w="3720" w:type="dxa"/>
            <w:vAlign w:val="bottom"/>
            <w:tcBorders>
              <w:bottom w:val="single" w:sz="8" w:color="CFF0FC"/>
            </w:tcBorders>
          </w:tcPr>
          <w:p>
            <w:pPr>
              <w:spacing w:after="0"/>
              <w:rPr>
                <w:sz w:val="14"/>
                <w:szCs w:val="14"/>
                <w:color w:val="auto"/>
              </w:rPr>
            </w:pPr>
          </w:p>
        </w:tc>
        <w:tc>
          <w:tcPr>
            <w:tcW w:w="1640" w:type="dxa"/>
            <w:vAlign w:val="bottom"/>
            <w:tcBorders>
              <w:bottom w:val="single" w:sz="8" w:color="CFF0FC"/>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2020</w:t>
            </w:r>
          </w:p>
        </w:tc>
        <w:tc>
          <w:tcPr>
            <w:tcW w:w="2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6"/>
              </w:rPr>
              <w:t>2019</w:t>
            </w:r>
          </w:p>
        </w:tc>
        <w:tc>
          <w:tcPr>
            <w:tcW w:w="80" w:type="dxa"/>
            <w:vAlign w:val="bottom"/>
            <w:tcBorders>
              <w:bottom w:val="single" w:sz="8" w:color="CFF0FC"/>
            </w:tcBorders>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Laboratory and office equipment</w:t>
            </w:r>
          </w:p>
        </w:tc>
        <w:tc>
          <w:tcPr>
            <w:tcW w:w="1640" w:type="dxa"/>
            <w:vAlign w:val="bottom"/>
            <w:shd w:val="clear" w:color="auto" w:fill="CFF0FC"/>
          </w:tcPr>
          <w:p>
            <w:pPr>
              <w:spacing w:after="0"/>
              <w:rPr>
                <w:sz w:val="19"/>
                <w:szCs w:val="19"/>
                <w:color w:val="auto"/>
              </w:rPr>
            </w:pP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3,923</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3,456</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1,378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1,340</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Computer equipment and software</w:t>
            </w:r>
          </w:p>
        </w:tc>
        <w:tc>
          <w:tcPr>
            <w:tcW w:w="164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5,444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4,930</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w w:val="94"/>
              </w:rPr>
              <w:t>Less: Accumulated depreciation and amortization</w:t>
            </w:r>
          </w:p>
        </w:tc>
        <w:tc>
          <w:tcPr>
            <w:tcW w:w="16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(2,132)</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(1,234)</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3,312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3,696</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640" w:type="dxa"/>
            <w:vAlign w:val="bottom"/>
            <w:vMerge w:val="restart"/>
          </w:tcPr>
          <w:p>
            <w:pPr>
              <w:jc w:val="right"/>
              <w:ind w:right="1310"/>
              <w:spacing w:after="0"/>
              <w:rPr>
                <w:sz w:val="20"/>
                <w:szCs w:val="20"/>
                <w:color w:val="auto"/>
              </w:rPr>
            </w:pPr>
            <w:r>
              <w:rPr>
                <w:rFonts w:ascii="Arial" w:cs="Arial" w:eastAsia="Arial" w:hAnsi="Arial"/>
                <w:sz w:val="18"/>
                <w:szCs w:val="18"/>
                <w:color w:val="auto"/>
              </w:rPr>
              <w:t>8</w:t>
            </w: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17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6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72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ind w:left="498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1" w:lineRule="exact"/>
        <w:rPr>
          <w:sz w:val="20"/>
          <w:szCs w:val="20"/>
          <w:color w:val="auto"/>
        </w:rPr>
      </w:pPr>
    </w:p>
    <w:p>
      <w:pPr>
        <w:ind w:right="320" w:firstLine="510"/>
        <w:spacing w:after="0" w:line="277" w:lineRule="auto"/>
        <w:rPr>
          <w:sz w:val="20"/>
          <w:szCs w:val="20"/>
          <w:color w:val="auto"/>
        </w:rPr>
      </w:pPr>
      <w:r>
        <w:rPr>
          <w:rFonts w:ascii="Arial" w:cs="Arial" w:eastAsia="Arial" w:hAnsi="Arial"/>
          <w:sz w:val="18"/>
          <w:szCs w:val="18"/>
          <w:color w:val="auto"/>
        </w:rPr>
        <w:t>Depreciation and amortization expense was $314 and $215 for the three months ended September 30, 2020 and 2019, respectively and $898 and $605 for the nine months ended September 30, 2020 and 2019.</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Accrued Expenses and Other Current Liabilities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expenses and other current liabilities consisted of the following:</w:t>
      </w:r>
    </w:p>
    <w:p>
      <w:pPr>
        <w:spacing w:after="0" w:line="21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3860" w:type="dxa"/>
            <w:vAlign w:val="bottom"/>
            <w:tcBorders>
              <w:bottom w:val="single" w:sz="8" w:color="CFF0FC"/>
            </w:tcBorders>
          </w:tcPr>
          <w:p>
            <w:pPr>
              <w:spacing w:after="0"/>
              <w:rPr>
                <w:sz w:val="14"/>
                <w:szCs w:val="14"/>
                <w:color w:val="auto"/>
              </w:rPr>
            </w:pPr>
          </w:p>
        </w:tc>
        <w:tc>
          <w:tcPr>
            <w:tcW w:w="150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4"/>
                <w:szCs w:val="14"/>
                <w:color w:val="auto"/>
              </w:rPr>
            </w:pPr>
          </w:p>
        </w:tc>
      </w:tr>
      <w:tr>
        <w:trPr>
          <w:trHeight w:val="223"/>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Compensation and benefit costs</w:t>
            </w:r>
          </w:p>
        </w:tc>
        <w:tc>
          <w:tcPr>
            <w:tcW w:w="15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5,761</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3,028</w:t>
            </w:r>
          </w:p>
        </w:tc>
        <w:tc>
          <w:tcPr>
            <w:tcW w:w="80" w:type="dxa"/>
            <w:vAlign w:val="bottom"/>
            <w:shd w:val="clear" w:color="auto" w:fill="CFF0FC"/>
          </w:tcPr>
          <w:p>
            <w:pPr>
              <w:spacing w:after="0"/>
              <w:rPr>
                <w:sz w:val="19"/>
                <w:szCs w:val="19"/>
                <w:color w:val="auto"/>
              </w:rPr>
            </w:pP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Research and development costs</w:t>
            </w: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7,540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5,794</w:t>
            </w:r>
          </w:p>
        </w:tc>
        <w:tc>
          <w:tcPr>
            <w:tcW w:w="80" w:type="dxa"/>
            <w:vAlign w:val="bottom"/>
          </w:tcPr>
          <w:p>
            <w:pPr>
              <w:spacing w:after="0"/>
              <w:rPr>
                <w:sz w:val="19"/>
                <w:szCs w:val="19"/>
                <w:color w:val="auto"/>
              </w:rPr>
            </w:pPr>
          </w:p>
        </w:tc>
      </w:tr>
      <w:tr>
        <w:trPr>
          <w:trHeight w:val="229"/>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Consulting and professional fees</w:t>
            </w:r>
          </w:p>
        </w:tc>
        <w:tc>
          <w:tcPr>
            <w:tcW w:w="1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1,028</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917</w:t>
            </w:r>
          </w:p>
        </w:tc>
        <w:tc>
          <w:tcPr>
            <w:tcW w:w="80" w:type="dxa"/>
            <w:vAlign w:val="bottom"/>
            <w:shd w:val="clear" w:color="auto" w:fill="CFF0FC"/>
          </w:tcPr>
          <w:p>
            <w:pPr>
              <w:spacing w:after="0"/>
              <w:rPr>
                <w:sz w:val="19"/>
                <w:szCs w:val="19"/>
                <w:color w:val="auto"/>
              </w:rPr>
            </w:pPr>
          </w:p>
        </w:tc>
      </w:tr>
      <w:tr>
        <w:trPr>
          <w:trHeight w:val="229"/>
        </w:trPr>
        <w:tc>
          <w:tcPr>
            <w:tcW w:w="3860" w:type="dxa"/>
            <w:vAlign w:val="bottom"/>
          </w:tcPr>
          <w:p>
            <w:pPr>
              <w:spacing w:after="0"/>
              <w:rPr>
                <w:sz w:val="20"/>
                <w:szCs w:val="20"/>
                <w:color w:val="auto"/>
              </w:rPr>
            </w:pPr>
            <w:r>
              <w:rPr>
                <w:rFonts w:ascii="Arial" w:cs="Arial" w:eastAsia="Arial" w:hAnsi="Arial"/>
                <w:sz w:val="18"/>
                <w:szCs w:val="18"/>
                <w:color w:val="auto"/>
              </w:rPr>
              <w:t>License agreement</w:t>
            </w: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8,000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Other liabilities</w:t>
            </w:r>
          </w:p>
        </w:tc>
        <w:tc>
          <w:tcPr>
            <w:tcW w:w="15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w:t>
            </w:r>
          </w:p>
        </w:tc>
        <w:tc>
          <w:tcPr>
            <w:tcW w:w="80" w:type="dxa"/>
            <w:vAlign w:val="bottom"/>
            <w:shd w:val="clear" w:color="auto" w:fill="CFF0FC"/>
          </w:tcPr>
          <w:p>
            <w:pPr>
              <w:spacing w:after="0"/>
              <w:rPr>
                <w:sz w:val="19"/>
                <w:szCs w:val="19"/>
                <w:color w:val="auto"/>
              </w:rPr>
            </w:pPr>
          </w:p>
        </w:tc>
      </w:tr>
      <w:tr>
        <w:trPr>
          <w:trHeight w:val="237"/>
        </w:trPr>
        <w:tc>
          <w:tcPr>
            <w:tcW w:w="3860" w:type="dxa"/>
            <w:vAlign w:val="bottom"/>
          </w:tcPr>
          <w:p>
            <w:pPr>
              <w:spacing w:after="0"/>
              <w:rPr>
                <w:sz w:val="20"/>
                <w:szCs w:val="20"/>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22,525</w:t>
            </w:r>
          </w:p>
        </w:tc>
        <w:tc>
          <w:tcPr>
            <w:tcW w:w="180" w:type="dxa"/>
            <w:vAlign w:val="bottom"/>
          </w:tcPr>
          <w:p>
            <w:pPr>
              <w:spacing w:after="0"/>
              <w:rPr>
                <w:sz w:val="20"/>
                <w:szCs w:val="20"/>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9,854</w:t>
            </w:r>
          </w:p>
        </w:tc>
        <w:tc>
          <w:tcPr>
            <w:tcW w:w="80" w:type="dxa"/>
            <w:vAlign w:val="bottom"/>
          </w:tcPr>
          <w:p>
            <w:pPr>
              <w:spacing w:after="0"/>
              <w:rPr>
                <w:sz w:val="20"/>
                <w:szCs w:val="20"/>
                <w:color w:val="auto"/>
              </w:rPr>
            </w:pPr>
          </w:p>
        </w:tc>
      </w:tr>
      <w:tr>
        <w:trPr>
          <w:trHeight w:val="20"/>
        </w:trPr>
        <w:tc>
          <w:tcPr>
            <w:tcW w:w="38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Stockholders’ Equity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C</w:t>
      </w:r>
      <w:r>
        <w:rPr>
          <w:rFonts w:ascii="Arial" w:cs="Arial" w:eastAsia="Arial" w:hAnsi="Arial"/>
          <w:sz w:val="18"/>
          <w:szCs w:val="18"/>
          <w:b w:val="1"/>
          <w:bCs w:val="1"/>
          <w:i w:val="1"/>
          <w:iCs w:val="1"/>
          <w:color w:val="auto"/>
        </w:rPr>
        <w:t>ommon Stock</w:t>
      </w:r>
    </w:p>
    <w:p>
      <w:pPr>
        <w:spacing w:after="0" w:line="117" w:lineRule="exact"/>
        <w:rPr>
          <w:sz w:val="20"/>
          <w:szCs w:val="20"/>
          <w:color w:val="auto"/>
        </w:rPr>
      </w:pPr>
    </w:p>
    <w:p>
      <w:pPr>
        <w:ind w:right="260" w:firstLine="510"/>
        <w:spacing w:after="0" w:line="263" w:lineRule="auto"/>
        <w:rPr>
          <w:sz w:val="20"/>
          <w:szCs w:val="20"/>
          <w:color w:val="auto"/>
        </w:rPr>
      </w:pPr>
      <w:r>
        <w:rPr>
          <w:rFonts w:ascii="Arial" w:cs="Arial" w:eastAsia="Arial" w:hAnsi="Arial"/>
          <w:sz w:val="18"/>
          <w:szCs w:val="18"/>
          <w:color w:val="auto"/>
        </w:rPr>
        <w:t>As of September 30, 2020 and December 31, 2019, the authorized capital stock of the Company included 150,000,000 shares of common stock, $0.0001 par value and 10,000,000 shares of undesignated preferred stock. As of September 30, 2020 and December 31, 2019, no undesignated preferred stock was outstanding.</w:t>
      </w:r>
    </w:p>
    <w:p>
      <w:pPr>
        <w:spacing w:after="0" w:line="184"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In accordance with the Fourth Amended and Restated Certificate of Incorporation, the holders of the common stock shall have the exclusive right to vote for the election of directors of the Company and on all other matters requiring stockholder action, each outstanding share entitling the holder thereof to one vote on each matter properly submitted to the stockholders of the Company for their vote; provided, however, that, except as otherwise required by law, holders of common stock, as such, shall not be entitled to vote on any amendment to a certificate of designations of any series of undesignated preferred stock that alters or changes the powers, preferences, rights or other terms of one or more outstanding series of undesignated preferred stock if the holders of such affected series of undesignated preferred stock are entitled to vote, either separately or together with the holders of one or more other such series, on such amendment pursuant to a certificate of designations of any series of undesignated preferred stock.</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September 30, 2020, no cash dividends have been declared or paid.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Reserved for Future Issuance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As of September 30, 2020 and December 31, 2019, the Company has reserved the following shares of common stock for future issuance: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28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700" w:type="dxa"/>
            <w:vAlign w:val="bottom"/>
          </w:tcPr>
          <w:p>
            <w:pPr>
              <w:spacing w:after="0"/>
              <w:rPr>
                <w:sz w:val="14"/>
                <w:szCs w:val="14"/>
                <w:color w:val="auto"/>
              </w:rPr>
            </w:pPr>
          </w:p>
        </w:tc>
        <w:tc>
          <w:tcPr>
            <w:tcW w:w="5420" w:type="dxa"/>
            <w:vAlign w:val="bottom"/>
            <w:tcBorders>
              <w:bottom w:val="single" w:sz="8" w:color="CFF0FC"/>
            </w:tcBorders>
          </w:tcPr>
          <w:p>
            <w:pPr>
              <w:spacing w:after="0"/>
              <w:rPr>
                <w:sz w:val="14"/>
                <w:szCs w:val="14"/>
                <w:color w:val="auto"/>
              </w:rPr>
            </w:pPr>
          </w:p>
        </w:tc>
        <w:tc>
          <w:tcPr>
            <w:tcW w:w="10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4"/>
                <w:szCs w:val="14"/>
                <w:color w:val="auto"/>
              </w:rPr>
            </w:pPr>
          </w:p>
        </w:tc>
        <w:tc>
          <w:tcPr>
            <w:tcW w:w="10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Shares reserved for vesting of restricted stock awards</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30,252</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Shares reserved for exercise of outstanding stock options</w:t>
            </w:r>
          </w:p>
        </w:tc>
        <w:tc>
          <w:tcPr>
            <w:tcW w:w="1080" w:type="dxa"/>
            <w:vAlign w:val="bottom"/>
          </w:tcPr>
          <w:p>
            <w:pPr>
              <w:jc w:val="right"/>
              <w:spacing w:after="0"/>
              <w:rPr>
                <w:sz w:val="20"/>
                <w:szCs w:val="20"/>
                <w:color w:val="auto"/>
              </w:rPr>
            </w:pPr>
            <w:r>
              <w:rPr>
                <w:rFonts w:ascii="Arial" w:cs="Arial" w:eastAsia="Arial" w:hAnsi="Arial"/>
                <w:sz w:val="18"/>
                <w:szCs w:val="18"/>
                <w:color w:val="auto"/>
              </w:rPr>
              <w:t>5,658,890</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3,414,445</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Shares reserved for vesting of restricted stock units</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1,342</w:t>
            </w: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2,300</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70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Shares reserved for issuance under the 2018 Stock Option</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p>
        </w:tc>
        <w:tc>
          <w:tcPr>
            <w:tcW w:w="5420" w:type="dxa"/>
            <w:vAlign w:val="bottom"/>
          </w:tcPr>
          <w:p>
            <w:pPr>
              <w:ind w:left="140"/>
              <w:spacing w:after="0"/>
              <w:rPr>
                <w:sz w:val="20"/>
                <w:szCs w:val="20"/>
                <w:color w:val="auto"/>
              </w:rPr>
            </w:pPr>
            <w:r>
              <w:rPr>
                <w:rFonts w:ascii="Arial" w:cs="Arial" w:eastAsia="Arial" w:hAnsi="Arial"/>
                <w:sz w:val="18"/>
                <w:szCs w:val="18"/>
                <w:color w:val="auto"/>
              </w:rPr>
              <w:t>and Grant Plan</w:t>
            </w:r>
          </w:p>
        </w:tc>
        <w:tc>
          <w:tcPr>
            <w:tcW w:w="1080" w:type="dxa"/>
            <w:vAlign w:val="bottom"/>
          </w:tcPr>
          <w:p>
            <w:pPr>
              <w:jc w:val="right"/>
              <w:spacing w:after="0"/>
              <w:rPr>
                <w:sz w:val="20"/>
                <w:szCs w:val="20"/>
                <w:color w:val="auto"/>
              </w:rPr>
            </w:pPr>
            <w:r>
              <w:rPr>
                <w:rFonts w:ascii="Arial" w:cs="Arial" w:eastAsia="Arial" w:hAnsi="Arial"/>
                <w:sz w:val="18"/>
                <w:szCs w:val="18"/>
                <w:color w:val="auto"/>
              </w:rPr>
              <w:t>3,541,042</w:t>
            </w: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332,513</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700" w:type="dxa"/>
            <w:vAlign w:val="bottom"/>
          </w:tcPr>
          <w:p>
            <w:pPr>
              <w:spacing w:after="0"/>
              <w:rPr>
                <w:sz w:val="18"/>
                <w:szCs w:val="18"/>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Shares reserved for issuance under the 2018 Employee Stock</w:t>
            </w:r>
          </w:p>
        </w:tc>
        <w:tc>
          <w:tcPr>
            <w:tcW w:w="10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p>
        </w:tc>
        <w:tc>
          <w:tcPr>
            <w:tcW w:w="54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Purchase Plan</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774,088</w:t>
            </w:r>
          </w:p>
        </w:tc>
        <w:tc>
          <w:tcPr>
            <w:tcW w:w="20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459,595</w:t>
            </w:r>
          </w:p>
        </w:tc>
        <w:tc>
          <w:tcPr>
            <w:tcW w:w="80" w:type="dxa"/>
            <w:vAlign w:val="bottom"/>
            <w:shd w:val="clear" w:color="auto" w:fill="CFF0FC"/>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5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Shares reserved for issuance under the 2019 Inducement Plan</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831,550</w:t>
            </w:r>
          </w:p>
        </w:tc>
        <w:tc>
          <w:tcPr>
            <w:tcW w:w="200" w:type="dxa"/>
            <w:vAlign w:val="bottom"/>
            <w:tcBorders>
              <w:bottom w:val="single" w:sz="8" w:color="CFF0FC"/>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1,800,000</w:t>
            </w:r>
          </w:p>
        </w:tc>
        <w:tc>
          <w:tcPr>
            <w:tcW w:w="80" w:type="dxa"/>
            <w:vAlign w:val="bottom"/>
            <w:tcBorders>
              <w:bottom w:val="single" w:sz="8" w:color="CFF0FC"/>
            </w:tcBorders>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700" w:type="dxa"/>
            <w:vAlign w:val="bottom"/>
          </w:tcPr>
          <w:p>
            <w:pPr>
              <w:spacing w:after="0"/>
              <w:rPr>
                <w:sz w:val="18"/>
                <w:szCs w:val="18"/>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Total shares of authorized common stock reserved for future</w:t>
            </w:r>
          </w:p>
        </w:tc>
        <w:tc>
          <w:tcPr>
            <w:tcW w:w="10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p>
        </w:tc>
        <w:tc>
          <w:tcPr>
            <w:tcW w:w="542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issuance</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10,806,912</w:t>
            </w:r>
          </w:p>
        </w:tc>
        <w:tc>
          <w:tcPr>
            <w:tcW w:w="200" w:type="dxa"/>
            <w:vAlign w:val="bottom"/>
            <w:tcBorders>
              <w:bottom w:val="single" w:sz="8" w:color="CFF0FC"/>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6,039,105</w:t>
            </w:r>
          </w:p>
        </w:tc>
        <w:tc>
          <w:tcPr>
            <w:tcW w:w="80" w:type="dxa"/>
            <w:vAlign w:val="bottom"/>
            <w:tcBorders>
              <w:bottom w:val="single" w:sz="8" w:color="CFF0FC"/>
            </w:tcBorders>
            <w:shd w:val="clear" w:color="auto" w:fill="CFF0FC"/>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120" w:type="dxa"/>
            <w:vAlign w:val="bottom"/>
            <w:gridSpan w:val="2"/>
            <w:vMerge w:val="restart"/>
          </w:tcPr>
          <w:p>
            <w:pPr>
              <w:jc w:val="right"/>
              <w:ind w:right="1370"/>
              <w:spacing w:after="0"/>
              <w:rPr>
                <w:sz w:val="20"/>
                <w:szCs w:val="20"/>
                <w:color w:val="auto"/>
              </w:rPr>
            </w:pPr>
            <w:r>
              <w:rPr>
                <w:rFonts w:ascii="Arial" w:cs="Arial" w:eastAsia="Arial" w:hAnsi="Arial"/>
                <w:sz w:val="18"/>
                <w:szCs w:val="18"/>
                <w:color w:val="auto"/>
              </w:rPr>
              <w:t>9</w:t>
            </w: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7120" w:type="dxa"/>
            <w:vAlign w:val="bottom"/>
            <w:gridSpan w:val="2"/>
            <w:vMerge w:val="continue"/>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54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ind w:left="498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Valuation</w:t>
      </w:r>
    </w:p>
    <w:p>
      <w:pPr>
        <w:spacing w:after="0" w:line="117" w:lineRule="exact"/>
        <w:rPr>
          <w:sz w:val="20"/>
          <w:szCs w:val="20"/>
          <w:color w:val="auto"/>
        </w:rPr>
      </w:pPr>
    </w:p>
    <w:p>
      <w:pPr>
        <w:ind w:right="80" w:firstLine="510"/>
        <w:spacing w:after="0" w:line="277" w:lineRule="auto"/>
        <w:rPr>
          <w:sz w:val="20"/>
          <w:szCs w:val="20"/>
          <w:color w:val="auto"/>
        </w:rPr>
      </w:pPr>
      <w:r>
        <w:rPr>
          <w:rFonts w:ascii="Arial" w:cs="Arial" w:eastAsia="Arial" w:hAnsi="Arial"/>
          <w:sz w:val="18"/>
          <w:szCs w:val="18"/>
          <w:color w:val="auto"/>
        </w:rPr>
        <w:t>The assumptions that the Company used to determine the grant-date fair value of stock options granted to employees and members of the board of directors were as follows, presented on a weighted-average basis:</w:t>
      </w:r>
    </w:p>
    <w:p>
      <w:pPr>
        <w:spacing w:after="0" w:line="256"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5260" w:type="dxa"/>
            <w:vAlign w:val="bottom"/>
          </w:tcPr>
          <w:p>
            <w:pPr>
              <w:spacing w:after="0"/>
              <w:rPr>
                <w:sz w:val="14"/>
                <w:szCs w:val="14"/>
                <w:color w:val="auto"/>
              </w:rPr>
            </w:pPr>
          </w:p>
        </w:tc>
        <w:tc>
          <w:tcPr>
            <w:tcW w:w="260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156"/>
        </w:trPr>
        <w:tc>
          <w:tcPr>
            <w:tcW w:w="5260" w:type="dxa"/>
            <w:vAlign w:val="bottom"/>
            <w:tcBorders>
              <w:bottom w:val="single" w:sz="8" w:color="CFF0FC"/>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top w:val="single" w:sz="8" w:color="auto"/>
              <w:bottom w:val="single" w:sz="8" w:color="CFF0FC"/>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3"/>
                <w:szCs w:val="13"/>
                <w:color w:val="auto"/>
              </w:rPr>
            </w:pPr>
          </w:p>
        </w:tc>
      </w:tr>
      <w:tr>
        <w:trPr>
          <w:trHeight w:val="223"/>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Expected option life (years)</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w:t>
            </w: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5.97</w:t>
            </w:r>
          </w:p>
        </w:tc>
        <w:tc>
          <w:tcPr>
            <w:tcW w:w="180" w:type="dxa"/>
            <w:vAlign w:val="bottom"/>
            <w:shd w:val="clear" w:color="auto" w:fill="CFF0FC"/>
          </w:tcPr>
          <w:p>
            <w:pPr>
              <w:spacing w:after="0"/>
              <w:rPr>
                <w:sz w:val="19"/>
                <w:szCs w:val="19"/>
                <w:color w:val="auto"/>
              </w:rPr>
            </w:pP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0.84%</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2.40%</w:t>
            </w:r>
          </w:p>
        </w:tc>
      </w:tr>
      <w:tr>
        <w:trPr>
          <w:trHeight w:val="229"/>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75.85%</w:t>
            </w: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81.25%</w:t>
            </w: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r>
    </w:tbl>
    <w:p>
      <w:pPr>
        <w:spacing w:after="0" w:line="20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Company’s stock option activity for the nine months ended September 30, 2020:</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Weighted-</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4"/>
              </w:rPr>
              <w:t>Weighted-</w:t>
            </w: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Remaining</w:t>
            </w:r>
          </w:p>
        </w:tc>
        <w:tc>
          <w:tcPr>
            <w:tcW w:w="140" w:type="dxa"/>
            <w:vAlign w:val="bottom"/>
          </w:tcPr>
          <w:p>
            <w:pPr>
              <w:spacing w:after="0"/>
              <w:rPr>
                <w:sz w:val="12"/>
                <w:szCs w:val="12"/>
                <w:color w:val="auto"/>
              </w:rPr>
            </w:pPr>
          </w:p>
        </w:tc>
        <w:tc>
          <w:tcPr>
            <w:tcW w:w="10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24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2"/>
                <w:szCs w:val="12"/>
                <w:color w:val="auto"/>
              </w:rPr>
            </w:pPr>
          </w:p>
        </w:tc>
        <w:tc>
          <w:tcPr>
            <w:tcW w:w="11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Exercise</w:t>
            </w: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Term</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5240" w:type="dxa"/>
            <w:vAlign w:val="bottom"/>
          </w:tcPr>
          <w:p>
            <w:pPr>
              <w:spacing w:after="0"/>
              <w:rPr>
                <w:sz w:val="14"/>
                <w:szCs w:val="14"/>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Options</w:t>
            </w:r>
          </w:p>
        </w:tc>
        <w:tc>
          <w:tcPr>
            <w:tcW w:w="14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Price</w:t>
            </w: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(Years)</w:t>
            </w: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as of December 31, 2019</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3,414,445</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12.08</w:t>
            </w:r>
          </w:p>
        </w:tc>
        <w:tc>
          <w:tcPr>
            <w:tcW w:w="2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8.43</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29,353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spacing w:after="0"/>
              <w:rPr>
                <w:sz w:val="20"/>
                <w:szCs w:val="20"/>
                <w:color w:val="auto"/>
              </w:rPr>
            </w:pPr>
            <w:r>
              <w:rPr>
                <w:rFonts w:ascii="Arial" w:cs="Arial" w:eastAsia="Arial" w:hAnsi="Arial"/>
                <w:sz w:val="18"/>
                <w:szCs w:val="18"/>
                <w:color w:val="auto"/>
              </w:rPr>
              <w:t>Granted</w:t>
            </w:r>
          </w:p>
        </w:tc>
        <w:tc>
          <w:tcPr>
            <w:tcW w:w="1020" w:type="dxa"/>
            <w:vAlign w:val="bottom"/>
          </w:tcPr>
          <w:p>
            <w:pPr>
              <w:jc w:val="right"/>
              <w:spacing w:after="0"/>
              <w:rPr>
                <w:sz w:val="20"/>
                <w:szCs w:val="20"/>
                <w:color w:val="auto"/>
              </w:rPr>
            </w:pPr>
            <w:r>
              <w:rPr>
                <w:rFonts w:ascii="Arial" w:cs="Arial" w:eastAsia="Arial" w:hAnsi="Arial"/>
                <w:sz w:val="18"/>
                <w:szCs w:val="18"/>
                <w:color w:val="auto"/>
              </w:rPr>
              <w:t>2,485,413</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19.82</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(38,761)</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spacing w:after="0"/>
              <w:rPr>
                <w:sz w:val="20"/>
                <w:szCs w:val="20"/>
                <w:color w:val="auto"/>
              </w:rPr>
            </w:pPr>
            <w:r>
              <w:rPr>
                <w:rFonts w:ascii="Arial" w:cs="Arial" w:eastAsia="Arial" w:hAnsi="Arial"/>
                <w:sz w:val="18"/>
                <w:szCs w:val="18"/>
                <w:color w:val="auto"/>
              </w:rPr>
              <w:t>Cancelled or forfeited</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(202,207)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20.07</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as of September 30, 2020</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5,658,890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15.25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8.43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13,481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Arial" w:cs="Arial" w:eastAsia="Arial" w:hAnsi="Arial"/>
                <w:sz w:val="18"/>
                <w:szCs w:val="18"/>
                <w:color w:val="auto"/>
              </w:rPr>
              <w:t>Exercisable as of September 30, 2020</w:t>
            </w: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8.92</w:t>
            </w:r>
          </w:p>
        </w:tc>
        <w:tc>
          <w:tcPr>
            <w:tcW w:w="220" w:type="dxa"/>
            <w:vAlign w:val="bottom"/>
          </w:tcPr>
          <w:p>
            <w:pPr>
              <w:spacing w:after="0" w:line="20" w:lineRule="exact"/>
              <w:rPr>
                <w:sz w:val="1"/>
                <w:szCs w:val="1"/>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7.06</w:t>
            </w:r>
          </w:p>
        </w:tc>
        <w:tc>
          <w:tcPr>
            <w:tcW w:w="220" w:type="dxa"/>
            <w:vAlign w:val="bottom"/>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11,057</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240" w:type="dxa"/>
            <w:vAlign w:val="bottom"/>
            <w:vMerge w:val="continue"/>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1,754,340</w:t>
            </w:r>
          </w:p>
        </w:tc>
        <w:tc>
          <w:tcPr>
            <w:tcW w:w="22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The aggregate intrinsic value of stock options is calculated as the difference between the exercise price of the underlying stock options and the estimated fair value of the Company’s common stock for those stock options that had exercise prices lower than the estimated fair value of the Company’s common stock.</w:t>
      </w:r>
    </w:p>
    <w:p>
      <w:pPr>
        <w:spacing w:after="0" w:line="22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aggregate intrinsic value of options exercised during the nine months ended September 30, 2020 and 2019 was $595 and $3,446, respectively.</w:t>
      </w:r>
    </w:p>
    <w:p>
      <w:pPr>
        <w:spacing w:after="0" w:line="248"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color w:val="auto"/>
        </w:rPr>
        <w:t>The weighted-average grant-date fair value of the Company’s stock options granted during the nine months ended September 30, 2020 and 2019 was $12.98 and $11.77, respectively.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Common Stock</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Company’s restricted common stock activity for the nine months ended September 30, 2020:</w:t>
      </w:r>
    </w:p>
    <w:p>
      <w:pPr>
        <w:spacing w:after="0" w:line="21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120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Number</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Grant</w:t>
            </w:r>
          </w:p>
        </w:tc>
        <w:tc>
          <w:tcPr>
            <w:tcW w:w="0" w:type="dxa"/>
            <w:vAlign w:val="bottom"/>
          </w:tcPr>
          <w:p>
            <w:pPr>
              <w:spacing w:after="0"/>
              <w:rPr>
                <w:sz w:val="1"/>
                <w:szCs w:val="1"/>
                <w:color w:val="auto"/>
              </w:rPr>
            </w:pPr>
          </w:p>
        </w:tc>
      </w:tr>
      <w:tr>
        <w:trPr>
          <w:trHeight w:val="149"/>
        </w:trPr>
        <w:tc>
          <w:tcPr>
            <w:tcW w:w="54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Date Fair</w:t>
            </w:r>
          </w:p>
        </w:tc>
        <w:tc>
          <w:tcPr>
            <w:tcW w:w="0" w:type="dxa"/>
            <w:vAlign w:val="bottom"/>
          </w:tcPr>
          <w:p>
            <w:pPr>
              <w:spacing w:after="0"/>
              <w:rPr>
                <w:sz w:val="1"/>
                <w:szCs w:val="1"/>
                <w:color w:val="auto"/>
              </w:rPr>
            </w:pPr>
          </w:p>
        </w:tc>
      </w:tr>
      <w:tr>
        <w:trPr>
          <w:trHeight w:val="171"/>
        </w:trPr>
        <w:tc>
          <w:tcPr>
            <w:tcW w:w="5400" w:type="dxa"/>
            <w:vAlign w:val="bottom"/>
          </w:tcPr>
          <w:p>
            <w:pPr>
              <w:spacing w:after="0"/>
              <w:rPr>
                <w:sz w:val="14"/>
                <w:szCs w:val="14"/>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of Shares</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3"/>
        </w:trPr>
        <w:tc>
          <w:tcPr>
            <w:tcW w:w="5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Issued and unvested as of December 31, 2019</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32,552</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tcPr>
          <w:p>
            <w:pPr>
              <w:spacing w:after="0"/>
              <w:rPr>
                <w:sz w:val="20"/>
                <w:szCs w:val="20"/>
                <w:color w:val="auto"/>
              </w:rPr>
            </w:pPr>
            <w:r>
              <w:rPr>
                <w:rFonts w:ascii="Arial" w:cs="Arial" w:eastAsia="Arial" w:hAnsi="Arial"/>
                <w:sz w:val="18"/>
                <w:szCs w:val="18"/>
                <w:color w:val="auto"/>
              </w:rPr>
              <w:t>Granted</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(31,210)</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Forfeited, cancelled or expired</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Issued and unvested as of September 30, 2020</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1,342</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15.65</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439"/>
        <w:spacing w:after="0"/>
        <w:rPr>
          <w:sz w:val="20"/>
          <w:szCs w:val="20"/>
          <w:color w:val="auto"/>
        </w:rPr>
      </w:pPr>
      <w:r>
        <w:rPr>
          <w:rFonts w:ascii="Arial" w:cs="Arial" w:eastAsia="Arial" w:hAnsi="Arial"/>
          <w:sz w:val="16"/>
          <w:szCs w:val="16"/>
          <w:color w:val="auto"/>
        </w:rPr>
        <w:t>The total fair value of restricted common stock vested during the nine months ended September 30, 2020 and 2019 was $28 and $44, respectively.</w:t>
      </w:r>
    </w:p>
    <w:p>
      <w:pPr>
        <w:spacing w:after="0" w:line="24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16" w:name="page17"/>
    <w:bookmarkEnd w:id="16"/>
    <w:p>
      <w:pPr>
        <w:ind w:left="498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Stock-based compensation expense was allocated as follows: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4"/>
          </w:tcPr>
          <w:p>
            <w:pPr>
              <w:jc w:val="right"/>
              <w:ind w:right="195"/>
              <w:spacing w:after="0"/>
              <w:rPr>
                <w:sz w:val="20"/>
                <w:szCs w:val="20"/>
                <w:color w:val="auto"/>
              </w:rPr>
            </w:pPr>
            <w:r>
              <w:rPr>
                <w:rFonts w:ascii="Arial" w:cs="Arial" w:eastAsia="Arial" w:hAnsi="Arial"/>
                <w:sz w:val="14"/>
                <w:szCs w:val="14"/>
                <w:b w:val="1"/>
                <w:bCs w:val="1"/>
                <w:color w:val="auto"/>
                <w:w w:val="99"/>
              </w:rPr>
              <w:t>Three Months Ended</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4"/>
              </w:rPr>
              <w:t>Nine Months Ended</w:t>
            </w:r>
          </w:p>
        </w:tc>
      </w:tr>
      <w:tr>
        <w:trPr>
          <w:trHeight w:val="171"/>
        </w:trPr>
        <w:tc>
          <w:tcPr>
            <w:tcW w:w="6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4"/>
          </w:tcPr>
          <w:p>
            <w:pPr>
              <w:jc w:val="right"/>
              <w:ind w:right="415"/>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r>
      <w:tr>
        <w:trPr>
          <w:trHeight w:val="156"/>
        </w:trPr>
        <w:tc>
          <w:tcPr>
            <w:tcW w:w="602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79"/>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75"/>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99"/>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75"/>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r>
      <w:tr>
        <w:trPr>
          <w:trHeight w:val="223"/>
        </w:trPr>
        <w:tc>
          <w:tcPr>
            <w:tcW w:w="602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2,686</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889</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6,095</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2,649</w:t>
            </w:r>
          </w:p>
        </w:tc>
        <w:tc>
          <w:tcPr>
            <w:tcW w:w="120" w:type="dxa"/>
            <w:vAlign w:val="bottom"/>
            <w:shd w:val="clear" w:color="auto" w:fill="CFF0FC"/>
          </w:tcPr>
          <w:p>
            <w:pPr>
              <w:spacing w:after="0"/>
              <w:rPr>
                <w:sz w:val="19"/>
                <w:szCs w:val="19"/>
                <w:color w:val="auto"/>
              </w:rPr>
            </w:pPr>
          </w:p>
        </w:tc>
      </w:tr>
      <w:tr>
        <w:trPr>
          <w:trHeight w:val="229"/>
        </w:trPr>
        <w:tc>
          <w:tcPr>
            <w:tcW w:w="6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2,119</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5,431</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2,265</w:t>
            </w:r>
          </w:p>
        </w:tc>
        <w:tc>
          <w:tcPr>
            <w:tcW w:w="120" w:type="dxa"/>
            <w:vAlign w:val="bottom"/>
            <w:tcBorders>
              <w:bottom w:val="single" w:sz="8" w:color="CFF0FC"/>
            </w:tcBorders>
          </w:tcPr>
          <w:p>
            <w:pPr>
              <w:spacing w:after="0"/>
              <w:rPr>
                <w:sz w:val="19"/>
                <w:szCs w:val="19"/>
                <w:color w:val="auto"/>
              </w:rPr>
            </w:pPr>
          </w:p>
        </w:tc>
      </w:tr>
      <w:tr>
        <w:trPr>
          <w:trHeight w:val="223"/>
        </w:trPr>
        <w:tc>
          <w:tcPr>
            <w:tcW w:w="60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stock-based compensation expense</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4,805</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1,797</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11,526</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4,914</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6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As of September 30, 2020, total unrecognized compensation cost related to the unvested stock-based awards was $41,143, which is expected to be recognized over a weighted-average period of 3.08 years.</w:t>
      </w:r>
    </w:p>
    <w:p>
      <w:pPr>
        <w:spacing w:after="0" w:line="170" w:lineRule="exact"/>
        <w:rPr>
          <w:sz w:val="20"/>
          <w:szCs w:val="20"/>
          <w:color w:val="auto"/>
        </w:rPr>
      </w:pPr>
    </w:p>
    <w:p>
      <w:pPr>
        <w:ind w:right="500" w:firstLine="510"/>
        <w:spacing w:after="0" w:line="263" w:lineRule="auto"/>
        <w:rPr>
          <w:sz w:val="20"/>
          <w:szCs w:val="20"/>
          <w:color w:val="auto"/>
        </w:rPr>
      </w:pPr>
      <w:r>
        <w:rPr>
          <w:rFonts w:ascii="Arial" w:cs="Arial" w:eastAsia="Arial" w:hAnsi="Arial"/>
          <w:sz w:val="18"/>
          <w:szCs w:val="18"/>
          <w:color w:val="auto"/>
        </w:rPr>
        <w:t>During the three months ended September 30, 2020, the Company modified certain awards in conjunction with an employee’s termination. The modification provided for the extension of the post-employment exercise period. The modifications resulted in approximately $274 of additional research and development expenses during the three and nine months ended September 30, 2020.</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License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 with The University of Manchester</w:t>
      </w:r>
    </w:p>
    <w:p>
      <w:pPr>
        <w:spacing w:after="0" w:line="117" w:lineRule="exact"/>
        <w:rPr>
          <w:sz w:val="20"/>
          <w:szCs w:val="20"/>
          <w:color w:val="auto"/>
        </w:rPr>
      </w:pPr>
    </w:p>
    <w:p>
      <w:pPr>
        <w:ind w:right="120" w:firstLine="510"/>
        <w:spacing w:after="0" w:line="275" w:lineRule="auto"/>
        <w:rPr>
          <w:sz w:val="20"/>
          <w:szCs w:val="20"/>
          <w:color w:val="auto"/>
        </w:rPr>
      </w:pPr>
      <w:r>
        <w:rPr>
          <w:rFonts w:ascii="Arial" w:cs="Arial" w:eastAsia="Arial" w:hAnsi="Arial"/>
          <w:sz w:val="17"/>
          <w:szCs w:val="17"/>
          <w:color w:val="auto"/>
        </w:rPr>
        <w:t xml:space="preserve">On September 30, 2020, the Company entered into an agreement (“MPSII License Agreement”) with The University of Manchester, England (“UoM”), whereby UoM granted to the Company an exclusive worldwide license under certain patent and other intellectual property rights, subject to certain retained rights, to develop, commercialize and sell an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lentiviral gene therapy for use in the treatment of Hunter syndrome, or mucopolysaccharidosis type II (“MPSII”). As consideration for the MPSII License Agreement, the Company agreed to pay UoM an upfront, one-time fee of $8,000, which was recognized as research and development expense for the three and nine months ended September 30, 2020.</w:t>
      </w:r>
    </w:p>
    <w:p>
      <w:pPr>
        <w:spacing w:after="0" w:line="176"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As part of the agreement, the Company is obligated to make milestone payments of up to an aggregate of $80,000 upon the achievement of specified development and regulatory milestones, to pay royalties, on a product-by-product and country-by-country basis, of a mid-single digit percentage based on net sales of products licensed under the agreement and to pay a low double digit percentage of any sublicense fees received by the Company. The next anticipated payment milestones under the MPSII License Agreement include $2,000, which would become due following the date of regulatory approval of the clinical trial application for the investigator-sponsored Phase 1/2 clinical trial sponsored by UoM, and $4,000, upon the dosing of the first patient in the investigator-sponsored Phase 1/2 clinical trial sponsored by UoM.</w:t>
      </w:r>
    </w:p>
    <w:p>
      <w:pPr>
        <w:spacing w:after="0" w:line="178" w:lineRule="exact"/>
        <w:rPr>
          <w:sz w:val="20"/>
          <w:szCs w:val="20"/>
          <w:color w:val="auto"/>
        </w:rPr>
      </w:pPr>
    </w:p>
    <w:p>
      <w:pPr>
        <w:ind w:right="40" w:firstLine="510"/>
        <w:spacing w:after="0" w:line="265" w:lineRule="auto"/>
        <w:rPr>
          <w:sz w:val="20"/>
          <w:szCs w:val="20"/>
          <w:color w:val="auto"/>
        </w:rPr>
      </w:pPr>
      <w:r>
        <w:rPr>
          <w:rFonts w:ascii="Arial" w:cs="Arial" w:eastAsia="Arial" w:hAnsi="Arial"/>
          <w:sz w:val="18"/>
          <w:szCs w:val="18"/>
          <w:color w:val="auto"/>
        </w:rPr>
        <w:t>Unless terminated earlier, the agreement expires upon the later of 15 years from the effective date or the expiration of the last valid claim of the licensed patents, subject to certain surviving rights and obligations. UoM and the Company can each terminate the agreement in the event of the bankruptcy or insolvency of the other party, or a material breach by the other party and failure to cure such breach within a certain period of time. UoM has the right to terminate the agreement in the event of certain actions relating to challenge or opposition to the licensed intellectual property brought by the Company or its affiliates or sublicensees.</w:t>
      </w:r>
    </w:p>
    <w:p>
      <w:pPr>
        <w:spacing w:after="0" w:line="180" w:lineRule="exact"/>
        <w:rPr>
          <w:sz w:val="20"/>
          <w:szCs w:val="20"/>
          <w:color w:val="auto"/>
        </w:rPr>
      </w:pPr>
    </w:p>
    <w:p>
      <w:pPr>
        <w:jc w:val="both"/>
        <w:ind w:right="440" w:firstLine="510"/>
        <w:spacing w:after="0" w:line="269" w:lineRule="auto"/>
        <w:rPr>
          <w:sz w:val="20"/>
          <w:szCs w:val="20"/>
          <w:color w:val="auto"/>
        </w:rPr>
      </w:pPr>
      <w:r>
        <w:rPr>
          <w:rFonts w:ascii="Arial" w:cs="Arial" w:eastAsia="Arial" w:hAnsi="Arial"/>
          <w:sz w:val="18"/>
          <w:szCs w:val="18"/>
          <w:color w:val="auto"/>
        </w:rPr>
        <w:t>Concurrently with the MPSII License Agreement, the Company entered into a collaborative research funding agreement with UoM (“CRFA”). Under the CRFA, the Company has agreed to fund the budgeted costs of an investigator-sponsored Phase 1/2 clinical trial to be sponsored by UoM in connection with the development activities under the MPSII License Agreement, which are currently estimated to equal approximately £9,100 in the aggregate.</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September 30, 2020, the Company recognized no costs related to the CRFA.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ind w:left="498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Agreements with UHN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Fabry License Agreement—</w:t>
      </w:r>
    </w:p>
    <w:p>
      <w:pPr>
        <w:spacing w:after="0" w:line="117" w:lineRule="exact"/>
        <w:rPr>
          <w:sz w:val="20"/>
          <w:szCs w:val="20"/>
          <w:color w:val="auto"/>
        </w:rPr>
      </w:pPr>
    </w:p>
    <w:p>
      <w:pPr>
        <w:ind w:right="80" w:firstLine="510"/>
        <w:spacing w:after="0" w:line="296" w:lineRule="auto"/>
        <w:rPr>
          <w:sz w:val="20"/>
          <w:szCs w:val="20"/>
          <w:color w:val="auto"/>
        </w:rPr>
      </w:pPr>
      <w:r>
        <w:rPr>
          <w:rFonts w:ascii="Arial" w:cs="Arial" w:eastAsia="Arial" w:hAnsi="Arial"/>
          <w:sz w:val="16"/>
          <w:szCs w:val="16"/>
          <w:color w:val="auto"/>
        </w:rPr>
        <w:t>On January 27, 2016, the Company entered into an agreement with the University Health Network (“UHN”), pursuant to which UHN granted the Company an option to enter into an exclusive license under the UHN intellectual property related to Fabry disease in accordance with the pre-negotiated licensing terms. On November 4, 2016, the Company exercised its option and entered into a license agreement with UHN, pursuant to which UHN granted the Company an exclusive worldwide license under certain intellectual property rights and a non-exclusive worldwide license under certain know-how, in each case subject to certain retained rights, to develop, commercialize and sell products for use in the treatment of Fabry disease.</w:t>
      </w:r>
    </w:p>
    <w:p>
      <w:pPr>
        <w:spacing w:after="0" w:line="161"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Under this agreement, the Company paid an option fee of CAD $20, an upfront license fee of CAD $75, plus the annual license maintenance fee for the first year. Thereafter, the Company is also required to pay UHN future annual license maintenance fees until the first sale of a licensed product in certain markets. The Company is also obligated to make future milestone payments in an aggregate amount of up to CAD $2,450 upon the achievement of specified milestones as well as royalties on a country-by-country basis of a low to mid-single-digit percentage of annual net sales of licensed products and a lower single-digit royalty percentage in certain circumstances. Additionally, the Company has agreed to pay a low double-digit royalty percentage of all sublicensing revenue.</w:t>
      </w:r>
    </w:p>
    <w:p>
      <w:pPr>
        <w:spacing w:after="0" w:line="192" w:lineRule="exact"/>
        <w:rPr>
          <w:sz w:val="20"/>
          <w:szCs w:val="20"/>
          <w:color w:val="auto"/>
        </w:rPr>
      </w:pPr>
    </w:p>
    <w:p>
      <w:pPr>
        <w:ind w:right="40" w:firstLine="510"/>
        <w:spacing w:after="0" w:line="296" w:lineRule="auto"/>
        <w:rPr>
          <w:sz w:val="20"/>
          <w:szCs w:val="20"/>
          <w:color w:val="auto"/>
        </w:rPr>
      </w:pPr>
      <w:r>
        <w:rPr>
          <w:rFonts w:ascii="Arial" w:cs="Arial" w:eastAsia="Arial" w:hAnsi="Arial"/>
          <w:sz w:val="16"/>
          <w:szCs w:val="16"/>
          <w:color w:val="auto"/>
        </w:rPr>
        <w:t>The agreement requires the Company to meet certain performance milestones within specified timeframes. UHN may terminate the agreement if the Company fails to meet these performance milestones despite using commercially reasonable efforts and the Company is unable to reach agreement with UHN on revised timeframes. The Company’s royalty obligation expires on a licensed product-by-licensed product and country-by-country basis upon the latest to occur of the expiration or termination of the last valid claim under the licensed intellectual property rights in such country, the tenth anniversary of the first commercial sale of such licensed product in such country and the expiration of any applicable regulatory exclusivity in such country.</w:t>
      </w:r>
    </w:p>
    <w:p>
      <w:pPr>
        <w:spacing w:after="0" w:line="161"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Unless terminated earlier, the agreement expires upon the expiration of the Company’s royalty obligation for all licensed products. UHN can terminate the agreement if the Company fails to make any payments within a specified period after receiving written notice of such failure, or in the event that the Company fails to obtain or maintain insurance. Either the Company or UHN may terminate the license agreement in the event of a material breach by the other party and failure to cure such breach within a certain period of time. The Company can voluntarily terminate the agreement with prior notice to UHN.</w:t>
      </w:r>
    </w:p>
    <w:p>
      <w:pPr>
        <w:spacing w:after="0" w:line="188"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For the three months ended September 30, 2020 and 2019, the Company recorded research and development expense related to this agreement with UHN of $65 and $415, respectively, which consists of reimbursable funded study trial costs. For the nine months ended September 30, 2020 and 2019, the Company recorded research and development expense related to this agreement with UHN of $174 and $741, respectively, which consists of reimbursable funded study trial costs. No milestone or maintenance fees were incurred related to the Fabry license agreement in the nine months ended September 30, 2020 and 2019.</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Interleukin 12 License Agreement—</w:t>
      </w:r>
    </w:p>
    <w:p>
      <w:pPr>
        <w:spacing w:after="0" w:line="117" w:lineRule="exact"/>
        <w:rPr>
          <w:sz w:val="20"/>
          <w:szCs w:val="20"/>
          <w:color w:val="auto"/>
        </w:rPr>
      </w:pPr>
    </w:p>
    <w:p>
      <w:pPr>
        <w:ind w:right="80" w:firstLine="510"/>
        <w:spacing w:after="0" w:line="272" w:lineRule="auto"/>
        <w:rPr>
          <w:sz w:val="20"/>
          <w:szCs w:val="20"/>
          <w:color w:val="auto"/>
        </w:rPr>
      </w:pPr>
      <w:r>
        <w:rPr>
          <w:rFonts w:ascii="Arial" w:cs="Arial" w:eastAsia="Arial" w:hAnsi="Arial"/>
          <w:sz w:val="17"/>
          <w:szCs w:val="17"/>
          <w:color w:val="auto"/>
        </w:rPr>
        <w:t>On January 27, 2016, the Company entered into an exclusive license agreement with UHN, pursuant to which UHN granted the Company a license to certain patent rights for the commercial development, manufacture, distribution and use of any products or processes resulting from development of those patent rights related to Interleukin 12. Upon execution of this agreement, the Company paid an upfront license fee of CAD $264. In addition, as part of the initial consideration for the license, the Company issued to UHN 1,161,665 shares of the Company’s common stock. The fair value of the shares issued to UHN of $480 and the upfront fee was expensed upon the execution of the agreement. In addition, the Company agreed to pay UHN up to $2,000 upon the closing of its IPO if certain criteria were met. This obligation was considered a derivative instrument and was initially recorded at fair value. The Company is also required to pay UHN future annual license maintenance fees of CAD $50 on each anniversary of the effective date of the license agreement prior to expiration or termination and potential future milestone payments of up to CAD $19,275 upon the achievement of specified clinical and regulatory milestones. The Company also agreed to pay UHN royalties of a low single-digit percentage of net sales of licensed products sold by the Company. If the Company grants any sublicense rights under the license agreement, the Company has agreed to pay UHN a low double-digit royalty percentage of any sublicense income received by the Company.</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ind w:left="498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27" w:lineRule="exact"/>
        <w:rPr>
          <w:sz w:val="20"/>
          <w:szCs w:val="20"/>
          <w:color w:val="auto"/>
        </w:rPr>
      </w:pPr>
    </w:p>
    <w:p>
      <w:pPr>
        <w:ind w:right="40" w:firstLine="510"/>
        <w:spacing w:after="0" w:line="275" w:lineRule="auto"/>
        <w:rPr>
          <w:sz w:val="20"/>
          <w:szCs w:val="20"/>
          <w:color w:val="auto"/>
        </w:rPr>
      </w:pPr>
      <w:r>
        <w:rPr>
          <w:rFonts w:ascii="Arial" w:cs="Arial" w:eastAsia="Arial" w:hAnsi="Arial"/>
          <w:sz w:val="17"/>
          <w:szCs w:val="17"/>
          <w:color w:val="auto"/>
        </w:rPr>
        <w:t>The agreement requires the Company to meet certain diligence requirements based upon specified milestones. The agreement expires on the later of the date the last patent rights expire in the last country or ten years from the date of first sale. UHN can terminate the agreement if the Company fails to make any payments within a specified period after receiving written notice of such failure, or in the event that the Company fails to obtain or maintain insurance. The Company can voluntarily terminate the agreement with prior notice to UHN. Either the Company or UHN may terminate the license agreement in the event of a material breach by the other party and failure to cure such breach within a certain period of time.</w:t>
      </w:r>
    </w:p>
    <w:p>
      <w:pPr>
        <w:spacing w:after="0" w:line="176" w:lineRule="exact"/>
        <w:rPr>
          <w:sz w:val="20"/>
          <w:szCs w:val="20"/>
          <w:color w:val="auto"/>
        </w:rPr>
      </w:pPr>
    </w:p>
    <w:p>
      <w:pPr>
        <w:ind w:firstLine="510"/>
        <w:spacing w:after="0" w:line="280" w:lineRule="auto"/>
        <w:rPr>
          <w:sz w:val="20"/>
          <w:szCs w:val="20"/>
          <w:color w:val="auto"/>
        </w:rPr>
      </w:pPr>
      <w:r>
        <w:rPr>
          <w:rFonts w:ascii="Arial" w:cs="Arial" w:eastAsia="Arial" w:hAnsi="Arial"/>
          <w:sz w:val="18"/>
          <w:szCs w:val="18"/>
          <w:color w:val="auto"/>
        </w:rPr>
        <w:t>For the three months ended September 30, 2020 and 2019, the Company did not record research and development expense related to this agreement with UHN. For the nine months ended September 30, 2020 and 2019, the Company recorded research and development expense related to this agreement with UHN of $38 and $38, respectively, which consists of license maintenance fees. No milestone fees were incurred related to the IL-12 license agreement in the nine months ended September 30, 2020 and 2019.</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 with BioMarin Pharmaceutical Inc. (“BioMarin”)</w:t>
      </w:r>
    </w:p>
    <w:p>
      <w:pPr>
        <w:spacing w:after="0" w:line="117"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On August 31, 2017, the Company entered into a license agreement with BioMarin, pursuant to which BioMarin granted the Company an exclusive worldwide license under certain intellectual property rights owned or controlled by BioMarin to develop, commercialize and sell products for use in the treatment of Pompe disease. As consideration for this agreement, the Company paid an upfront license fee of $500 in cash and issued 233,765 shares of preferred stock to BioMarin in January 2018. The Company is also obligated to make future milestone payments of up to $13,000 upon the achievement of certain specified milestones and agreed to pay BioMarin royalties of a low single-digit percentage of net sales of licensed products sold by the Company or its affiliates covered by patent rights in a relevant country No milestone fees related to the license were recorded for the nine months ended September 30, 2020 and 2019.</w:t>
      </w:r>
    </w:p>
    <w:p>
      <w:pPr>
        <w:spacing w:after="0" w:line="195" w:lineRule="exact"/>
        <w:rPr>
          <w:sz w:val="20"/>
          <w:szCs w:val="20"/>
          <w:color w:val="auto"/>
        </w:rPr>
      </w:pPr>
    </w:p>
    <w:p>
      <w:pPr>
        <w:ind w:right="40" w:firstLine="510"/>
        <w:spacing w:after="0" w:line="273" w:lineRule="auto"/>
        <w:rPr>
          <w:sz w:val="20"/>
          <w:szCs w:val="20"/>
          <w:color w:val="auto"/>
        </w:rPr>
      </w:pPr>
      <w:r>
        <w:rPr>
          <w:rFonts w:ascii="Arial" w:cs="Arial" w:eastAsia="Arial" w:hAnsi="Arial"/>
          <w:sz w:val="17"/>
          <w:szCs w:val="17"/>
          <w:color w:val="auto"/>
        </w:rPr>
        <w:t>Unless terminated earlier, the agreement expires upon the expiration of the Company’s royalty obligation for all licensed products throughout the world. BioMarin and the Company can terminate the agreement in the event of a material breach by the other party and failure to cure such breach within a certain period of time. The Company may terminate the agreement at will upon written notice to BioMarin. BioMarin has the right to terminate the agreement upon the Company’s bankruptcy or insolvency, or in the event of any challenge or opposition to the licensed patent rights or related actions brought by the Company or its affiliates or sublicensees, or if the Company, its affiliates or sublicensees knowingly assist a third-party in challenging or otherwise opposing the licensed patent rights, except as required under a court order or subpoena.</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 with GenStem Therapeutics, Inc. (“GenStem”)</w:t>
      </w:r>
    </w:p>
    <w:p>
      <w:pPr>
        <w:spacing w:after="0" w:line="117" w:lineRule="exact"/>
        <w:rPr>
          <w:sz w:val="20"/>
          <w:szCs w:val="20"/>
          <w:color w:val="auto"/>
        </w:rPr>
      </w:pPr>
    </w:p>
    <w:p>
      <w:pPr>
        <w:ind w:firstLine="510"/>
        <w:spacing w:after="0" w:line="289" w:lineRule="auto"/>
        <w:rPr>
          <w:sz w:val="20"/>
          <w:szCs w:val="20"/>
          <w:color w:val="auto"/>
        </w:rPr>
      </w:pPr>
      <w:r>
        <w:rPr>
          <w:rFonts w:ascii="Arial" w:cs="Arial" w:eastAsia="Arial" w:hAnsi="Arial"/>
          <w:sz w:val="16"/>
          <w:szCs w:val="16"/>
          <w:color w:val="auto"/>
        </w:rPr>
        <w:t>On October 2, 2017, the Company entered into a license agreement with GenStem, pursuant to which GenStem granted the Company an exclusive worldwide license, subject to certain retained rights, under certain intellectual property rights owned or controlled by GenStem to develop, commercialize and sell products for use in the treatment of cystinosis. Under this agreement, the Company paid an upfront license fee of $1,000 and is required to make payments upon completion of certain milestones up to an aggregate of $16,000. In November 2019, the Company made a payment of $2,000 in connection with the dosing of the first patient in the investigator-sponsored Phase 1/2 clinical trial of AVR-RD-04 in cystinosis in the United States. The next anticipated payment under this Agreement is $2,000, which would become due following the dosing of the first patient in the first pivotal clinical trial of AVR-RD-04 in cystinosis in the United States. The Company also agreed to pay GenStem a tiered mid to high single-digit royalty percentage on annual net sales of licensed products as well as a low double-digit percentage of sublicense income received from certain third-party licensees. The Company’s royalty obligation expires on a licensed product-by-licensed product and country-by-country basis on the eleventh anniversary of the first commercial sale of such licensed product in such country or the expiration of the last valid claim under the licensed patent rights covering such licensed product in such country, whichever is later. Unless terminated earlier, the agreement expires upon the expiration of the Company’s royalty obligation for all licensed products throughout the world. GenStem and the Company can terminate the agreement in the event of a material breach by the other party and failure to cure such breach within a certain period of time. The Company may terminate the agreement at will upon the specified prior written notice to GenStem. No milestone fees related to the license were recorded for the nine months ended September 30, 2020 and 2019.</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9" w:name="page20"/>
    <w:bookmarkEnd w:id="19"/>
    <w:p>
      <w:pPr>
        <w:ind w:left="498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 with Lund University Rights Holders</w:t>
      </w:r>
    </w:p>
    <w:p>
      <w:pPr>
        <w:spacing w:after="0" w:line="117"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On November 17, 2016, the Company entered into a license agreement with affiliates of Lund University, along with certain other relevant rights holders that may be added from time to time, pursuant to which such rights holders granted to the Company an exclusive worldwide license, subject to certain retained rights, under certain intellectual property rights to develop, commercialize and sell products in any and all uses relevant to Gaucher disease. As consideration for the license, the Company is required to make payments in connection with the achievement of certain milestones up to an aggregate of $550. The agreement expires on the latest of (i) the twentieth anniversary of the end of a certain research project the Company is funding pursuant to an agreement with Lund University, (ii) the expiration of the term of any patent filed on the licensed rights that covers a licensed product, (iii) the expiration of any applicable marketing exclusivity right and (iv) such time that neither the Company nor any sublicensees, partners or contractors are commercializing a licensed product. Either the Company or the rights holders acting together may terminate the license agreement if the other such party commits a material breach and fails to cure such breach within a certain period of time, or if the other party enters into liquidation, becomes insolvent, or enters into composition or statutory reorganization proceedings. No milestone fees related to the license were recorded for the nine months ended September 30, 2020 and 2019.</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Net Loss per Share Attributable to Common Stockholders</w:t>
      </w:r>
    </w:p>
    <w:p>
      <w:pPr>
        <w:spacing w:after="0" w:line="121"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For purposes of the diluted net loss per share calculation, stock options and unvested restricted stock are considered to be common stock equivalents but have been excluded from the calculation of diluted net loss per share, as their effect would be anti-dilutive for all periods presented. Therefore, the weighted-average number of common shares outstanding used to calculate both basic and diluted net loss per share attributable to common stockholders is the same.</w:t>
      </w:r>
    </w:p>
    <w:p>
      <w:pPr>
        <w:spacing w:after="0" w:line="187"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The following potentially dilutive common stock equivalents, presented based on amounts outstanding at each period end, were excluded from the computation of diluted net loss per share attributable to common stockholders for the periods indicated:</w:t>
      </w:r>
    </w:p>
    <w:p>
      <w:pPr>
        <w:spacing w:after="0" w:line="256"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5420" w:type="dxa"/>
            <w:vAlign w:val="bottom"/>
          </w:tcPr>
          <w:p>
            <w:pPr>
              <w:spacing w:after="0"/>
              <w:rPr>
                <w:sz w:val="14"/>
                <w:szCs w:val="14"/>
                <w:color w:val="auto"/>
              </w:rPr>
            </w:pPr>
          </w:p>
        </w:tc>
        <w:tc>
          <w:tcPr>
            <w:tcW w:w="2440" w:type="dxa"/>
            <w:vAlign w:val="bottom"/>
            <w:gridSpan w:val="4"/>
          </w:tcPr>
          <w:p>
            <w:pPr>
              <w:ind w:left="100"/>
              <w:spacing w:after="0"/>
              <w:rPr>
                <w:sz w:val="20"/>
                <w:szCs w:val="20"/>
                <w:color w:val="auto"/>
              </w:rPr>
            </w:pPr>
            <w:r>
              <w:rPr>
                <w:rFonts w:ascii="Arial" w:cs="Arial" w:eastAsia="Arial" w:hAnsi="Arial"/>
                <w:sz w:val="14"/>
                <w:szCs w:val="14"/>
                <w:b w:val="1"/>
                <w:bCs w:val="1"/>
                <w:color w:val="auto"/>
              </w:rPr>
              <w:t>Nine Months Ended September 30,</w:t>
            </w:r>
          </w:p>
        </w:tc>
      </w:tr>
      <w:tr>
        <w:trPr>
          <w:trHeight w:val="155"/>
        </w:trPr>
        <w:tc>
          <w:tcPr>
            <w:tcW w:w="5420" w:type="dxa"/>
            <w:vAlign w:val="bottom"/>
            <w:tcBorders>
              <w:bottom w:val="single" w:sz="8" w:color="CFF0FC"/>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CFF0FC"/>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336"/>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r>
      <w:tr>
        <w:trPr>
          <w:trHeight w:val="223"/>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Options to purchase common stock</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5,658,890</w:t>
            </w: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3,145,428</w:t>
            </w:r>
          </w:p>
        </w:tc>
        <w:tc>
          <w:tcPr>
            <w:tcW w:w="80" w:type="dxa"/>
            <w:vAlign w:val="bottom"/>
            <w:shd w:val="clear" w:color="auto" w:fill="CFF0FC"/>
          </w:tcPr>
          <w:p>
            <w:pPr>
              <w:spacing w:after="0"/>
              <w:rPr>
                <w:sz w:val="19"/>
                <w:szCs w:val="19"/>
                <w:color w:val="auto"/>
              </w:rPr>
            </w:pPr>
          </w:p>
        </w:tc>
      </w:t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Restricted common stock</w:t>
            </w:r>
          </w:p>
        </w:tc>
        <w:tc>
          <w:tcPr>
            <w:tcW w:w="1080" w:type="dxa"/>
            <w:vAlign w:val="bottom"/>
          </w:tcPr>
          <w:p>
            <w:pPr>
              <w:jc w:val="right"/>
              <w:spacing w:after="0"/>
              <w:rPr>
                <w:sz w:val="20"/>
                <w:szCs w:val="20"/>
                <w:color w:val="auto"/>
              </w:rPr>
            </w:pPr>
            <w:r>
              <w:rPr>
                <w:rFonts w:ascii="Arial" w:cs="Arial" w:eastAsia="Arial" w:hAnsi="Arial"/>
                <w:sz w:val="18"/>
                <w:szCs w:val="18"/>
                <w:color w:val="auto"/>
              </w:rPr>
              <w:t>1,342</w:t>
            </w: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63,313</w:t>
            </w:r>
          </w:p>
        </w:tc>
        <w:tc>
          <w:tcPr>
            <w:tcW w:w="80" w:type="dxa"/>
            <w:vAlign w:val="bottom"/>
          </w:tcPr>
          <w:p>
            <w:pPr>
              <w:spacing w:after="0"/>
              <w:rPr>
                <w:sz w:val="20"/>
                <w:szCs w:val="20"/>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Agreement</w:t>
      </w:r>
    </w:p>
    <w:p>
      <w:pPr>
        <w:spacing w:after="0" w:line="225" w:lineRule="exact"/>
        <w:rPr>
          <w:sz w:val="20"/>
          <w:szCs w:val="20"/>
          <w:color w:val="auto"/>
        </w:rPr>
      </w:pPr>
    </w:p>
    <w:p>
      <w:pPr>
        <w:ind w:right="160" w:firstLine="510"/>
        <w:spacing w:after="0" w:line="301" w:lineRule="auto"/>
        <w:rPr>
          <w:sz w:val="20"/>
          <w:szCs w:val="20"/>
          <w:color w:val="auto"/>
        </w:rPr>
      </w:pPr>
      <w:r>
        <w:rPr>
          <w:rFonts w:ascii="Arial" w:cs="Arial" w:eastAsia="Arial" w:hAnsi="Arial"/>
          <w:sz w:val="16"/>
          <w:szCs w:val="16"/>
          <w:color w:val="auto"/>
        </w:rPr>
        <w:t>On June 1, 2020, the Company entered into a lease agreement for office space located in Toronto, Ontario, Canada, which is set to expire in June 2025. The annual lease payments are fixed for years 1 and 2, and then subject to a 6.67% increase for years 2 through 5. As a result, the Company’s lease obligations through 2025 increased by CAD $865 during the nine months ended September 30, 2020. In accordance with the lease agreement, the Company is required to maintain a security deposit of CAD $27, which was recorded in other long-term assets as of September 30, 2020.</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jc w:val="both"/>
        <w:ind w:right="60" w:firstLine="510"/>
        <w:spacing w:after="0" w:line="263" w:lineRule="auto"/>
        <w:rPr>
          <w:sz w:val="20"/>
          <w:szCs w:val="20"/>
          <w:color w:val="auto"/>
        </w:rPr>
      </w:pPr>
      <w:r>
        <w:rPr>
          <w:rFonts w:ascii="Arial" w:cs="Arial" w:eastAsia="Arial" w:hAnsi="Arial"/>
          <w:sz w:val="18"/>
          <w:szCs w:val="18"/>
          <w:color w:val="auto"/>
        </w:rPr>
        <w:t>The Company, from time to time, may be party to litigation arising in the ordinary course of business. The Company was not subject to any material legal proceedings during the nine months ended September 30, 2020 and 2019 and to the best of its knowledge, no material legal proceedings are currently pending or threatened.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17" w:lineRule="exact"/>
        <w:rPr>
          <w:sz w:val="20"/>
          <w:szCs w:val="20"/>
          <w:color w:val="auto"/>
        </w:rPr>
      </w:pPr>
    </w:p>
    <w:p>
      <w:pPr>
        <w:jc w:val="both"/>
        <w:ind w:right="60" w:firstLine="510"/>
        <w:spacing w:after="0" w:line="286" w:lineRule="auto"/>
        <w:rPr>
          <w:sz w:val="20"/>
          <w:szCs w:val="20"/>
          <w:color w:val="auto"/>
        </w:rPr>
      </w:pPr>
      <w:r>
        <w:rPr>
          <w:rFonts w:ascii="Arial" w:cs="Arial" w:eastAsia="Arial" w:hAnsi="Arial"/>
          <w:sz w:val="17"/>
          <w:szCs w:val="17"/>
          <w:color w:val="auto"/>
        </w:rPr>
        <w:t>The Company is also party to various agreements, principally relating to licensed technology, that require future payments relating to milestones not met at September 30, 2020 and December 31, 2019, or royalties on future sales. No milestone or royalty payments under these agreements are expected to be payable in the immediate future, except as disclosed in Note 9. See Note 9 for discussion of these arrangements.</w:t>
      </w:r>
    </w:p>
    <w:p>
      <w:pPr>
        <w:spacing w:after="0" w:line="165"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color w:val="auto"/>
        </w:rPr>
        <w:t>The Company enters into standard indemnification agreements in the ordinary course of business. Pursuant to the agreements, the Company agrees to indemnify, hold harmless, and to reimburse the indemnified party for losses suffered or incurred by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ind w:left="498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2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indemnified party, generally the Company’s business partners, in connection with any U.S. patent or any copyright or other intellectual property infringement claim by any third-party with respect to the Company’s products. Further, the Company indemnifies its directors and officers who are, or were, serving at the Company’s request in such capacities. The Company’s maximum exposure under these arrangements is unknown at September 30, 2020. The Company does not anticipate recognizing any significant losses relating to these arrangements. The term of these indemnification agreements is generally perpetual any time after execution of the agreement. The maximum potential amount of future payments the Company could be required to make under these indemnification agreements is unlimited. The Company has never incurred costs to defend lawsuits or settle claims related to these indemnification agreements.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Related Party Transactions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UHN</w:t>
      </w:r>
    </w:p>
    <w:p>
      <w:pPr>
        <w:spacing w:after="0" w:line="225" w:lineRule="exact"/>
        <w:rPr>
          <w:sz w:val="20"/>
          <w:szCs w:val="20"/>
          <w:color w:val="auto"/>
        </w:rPr>
      </w:pPr>
    </w:p>
    <w:p>
      <w:pPr>
        <w:ind w:right="140" w:firstLine="510"/>
        <w:spacing w:after="0" w:line="303" w:lineRule="auto"/>
        <w:rPr>
          <w:sz w:val="20"/>
          <w:szCs w:val="20"/>
          <w:color w:val="auto"/>
        </w:rPr>
      </w:pPr>
      <w:r>
        <w:rPr>
          <w:rFonts w:ascii="Arial" w:cs="Arial" w:eastAsia="Arial" w:hAnsi="Arial"/>
          <w:sz w:val="17"/>
          <w:szCs w:val="17"/>
          <w:color w:val="auto"/>
        </w:rPr>
        <w:t>For the three months ended September 30, 2020 and 2019, the Company recognized $65 and $415, respectively, of research and development expense related to the license agreements with UHN. For the nine months ended September 30, 2020 and 2019, the Company recognized $212 and $779, respectively, of research and development expense related to the license agreements with UHN (Note 9).</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Others</w:t>
      </w:r>
    </w:p>
    <w:p>
      <w:pPr>
        <w:spacing w:after="0" w:line="117"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For three months ended September 30, 2020 and 2019, the Company recorded expenses of $355 and $369, respectively, related to a sublease to rent lab space, provided by an entity affiliated with a member of the Company’s board of directors. For the nine months ended September 30, 2020 and 2019, the Company recorded expenses of $1,081 and $1,090, respectively, related to a sublease to rent lab space, provided by an entity affiliated with a member of the Company’s board of directors.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1" w:name="page22"/>
    <w:bookmarkEnd w:id="21"/>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consolidated financial statements and the related notes appearing elsewhere in this Quarterly Report on Form 10-Q and our audited consolidated financial statements and related notes for the year ended December 31, 2019 included in our Annual Report on Form 10-K for the year ended December 31, 2019. Some of the information contained in this discussion and analysis or set forth elsewhere in this report, including information with respect to our plans and strategy for our business, includes forward-looking statements that involve risks, uncertainties and assumptions. Factors that might cause future results to differ materially from those projected in the forward-looking statements include, but are not limited to, those set forth in our Annual Report on Form 10-K for the year ended December 31, 2019, as supplemented by our subsequent filings with the SEC.</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 xml:space="preserve">We are a leading clinical-stage gene therapy company with a mission to free people from a lifetime of genetic disease. Our Company is focused on developing potentially curative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lentiviral-based gene therapies to treat patients with rare diseases following a single dose treatment regimen. Our investigational gene therapies employ hematopoietic stem cells that are harvested from the patient and then modified with a lentiviral vector to insert the equivalent of a functional copy of the gene that is defective in the target disease. We believe that our approach, which is designed to transform stem cells from patients into therapeutic products, has the potential to provide curative benefit for a range of diseases. Our initial focus is on a group of rare genetic diseases referred to as lysosomal diseases, some of which today are primarily managed with enzyme replacement therapies, or ERTs. These lysosomal diseases have well-understood biologies, identified patient populations, established standards of care yet with significant unmet needs, and represent large market opportunities with approximately $4.6 billion in worldwide net sales in 2019.</w:t>
      </w:r>
    </w:p>
    <w:p>
      <w:pPr>
        <w:spacing w:after="0" w:line="178"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Our initial pipeline is comprised of five lentiviral-based gene therapy programs, including AVR-RD-01 for the treatment of Fabry disease, AVR-RD-04 for the treatment of cystinosis, AVR-RD-02 for the treatment of Gaucher disease, AVR-RD-05 for the treatment of Hunter syndrome, and AVR-RD-03 for the treatment of Pompe disease. AVR-RD-01 is currently being studied in an investigator-sponsored Phase 1 clinical trial and a Company-sponsored Phase 2 clinical trial, which we refer to as FAB-201. Five patients have been dosed in the investigator-sponsored Phase 1 clinical trial of AVR-RD-01, and enrollment is complete. Four patients have been dosed in the Company-sponsored Phase 2 FAB-201 trial. AVR-RD-04 is currently being studied by our collaborators at the University of California, San Diego, or UCSD, in a Phase 1/2 investigator-sponsored clinical trial, and two patients have been dosed. AVR-RD-02 is currently being studied in a Company-sponsored Phase 1/2 clinical trial, which we refer to as GuardOne, and one patient has been dosed. AVR-RD-05 is being studied by our collaborators at The University of Manchester, and a Phase 1/2 investigator-sponsored clinical trial is expected to commence in the second half of 2021. AVR-RD-03 is currently in preclinical development, with IND-enabling preclinical studies, including a proof-of-concept study, expected to conclude in 2020.</w:t>
      </w:r>
    </w:p>
    <w:p>
      <w:pPr>
        <w:spacing w:after="0" w:line="185"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Since our inception in 2015, we have devoted substantially all of our resources to organizing and staffing our company, business planning, raising capital, acquiring or discovering product candidates and securing related intellectual property rights, conducting discovery, research and development activities for our programs and planning for potential commercialization. We do not have any products approved for sale and have not generated any revenue from product sales. To date, we have funded our operations with proceeds from the sales of preferred stock and our initial public offering, or IPO, and we have raised additional capital through an underwritten public offering that closed in July 2019, or the July 2019 Follow-On Offering, and an underwritten public offering that closed in February 2020, or the February 2020 Follow-On Offering. Through September 30, 2020, we had received gross cash proceeds of $87.5 million from sales of our preferred stock, and gross cash proceeds, before deducting underwriting discounts and commissions and expenses, of $114.7 million, $138.3 million and $100.0 million from sales of our common stock through our IPO, July 2019 Follow-On Offering and February 2020 Follow-On Offering, respectively. In July 2019, we entered into a Sales Agreement with Cowen and Company, LLC, as sales agent, to provide for the offering, issuance and sale of up to $50.0 million of our common stock from time to time in “at-the-market” offerings, or the ATM Facility. We did not sell any shares of common stock under the ATM Facility during the quarter ended September 30, 2020. Through September 30, 2020, we sold and issued 384,140 shares of common stock under the ATM Facility for gross proceeds of approximately $8.5 million, and approximately $41.5 million of common stock remained available for future issuance under the ATM Facility.</w:t>
      </w:r>
    </w:p>
    <w:p>
      <w:pPr>
        <w:spacing w:after="0" w:line="186"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Since our inception, we have incurred significant operating losses. Our ability to generate product revenue sufficient to achieve profitability will depend heavily on the successful development and eventual commercialization of one or more of our current or future product candidates and programs. Our net losses were $91.6 million and $50.3 million for the nine months ended September 30, 2020 and 2019, respectively. As of September 30, 2020, we had an accumulated deficit of $236.3 million. We expect to continue to incur significant expenses for at least the next several years as we advance our product candidates from discovery through preclinical development and clinical trials and seek regulatory approval of our product candidates. In addition, if we obtain marketing approval for any of our product candidates, we expect to incur significant commercialization expenses related to product manufacturing, marketing, sales and distribution. We may also incur expenses in connection with the in-licensing or acquisition of additional product candidates. Furthermore, we expect to continue incurring additional costs associated with operating as a public company, including significant legal, accounting, investor relations and other expenses.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line="271" w:lineRule="auto"/>
        <w:rPr>
          <w:sz w:val="20"/>
          <w:szCs w:val="20"/>
          <w:color w:val="auto"/>
        </w:rPr>
      </w:pPr>
      <w:r>
        <w:rPr>
          <w:rFonts w:ascii="Arial" w:cs="Arial" w:eastAsia="Arial" w:hAnsi="Arial"/>
          <w:sz w:val="17"/>
          <w:szCs w:val="17"/>
          <w:color w:val="auto"/>
        </w:rPr>
        <w:t>As a result, we will need substantial additional funding to support our continuing operations and pursue our growth strategy. Until such time as we can generate significant revenue from product sales, if ever, we expect to finance our operations with proceeds from outside sources, with a majority of such proceeds to be derived from sales of equity, including the net proceeds from our IPO, follow-on offerings, and our ATM Facility. We also plan to pursue additional funding from outside sources, including our expansion of, or our entry into, new borrowing arrangements; research and development incentive payments from the Australian government; and our entry into potential future collaboration agreements for one or more of our programs.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one or more of our product candidates or delay our pursuit of potential in-licenses or acquisitions.</w:t>
      </w:r>
    </w:p>
    <w:p>
      <w:pPr>
        <w:spacing w:after="0" w:line="178"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Because of the numerous risks and uncertainties associated with product development, we are unable to predict the timing or amount of increased expenses or when or if we will be able to achieve or maintain profitability. Even if we are able to generate product sales, we may not become profitable. If we fail to become profitable or are unable to sustain profitability on a continuing basis, we may be unable to continue our operations at planned levels and be forced to reduce or terminate our operations.</w:t>
      </w:r>
    </w:p>
    <w:p>
      <w:pPr>
        <w:spacing w:after="0" w:line="18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As of September 30, 2020, we had cash and cash equivalents of $219.5 million. We believe that our existing cash and cash equivalents as of September 30, 2020 will enable us to fund our operating expenses and capital expenditure requirements into the second half of 2022. We have based this estimate on assumptions that may prove to be wrong, and we could exhaust our available capital resources sooner than we expect. See “—Liquidity and Capital Resources.” To finance our operations beyond that point, we will need to raise additional capital, which cannot be assured.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Update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Programs</w:t>
      </w:r>
    </w:p>
    <w:p>
      <w:pPr>
        <w:spacing w:after="0" w:line="13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As the global healthcare community continues to respond to the COVID-19 pandemic, many hospitals, including our clinical sites, temporarily paused elective medical procedures, including dosing of new patients in clinical trials of our investigational gene therapies. While dosing of new patients and data collection from enrolled patients have begun to resume at clinical sites, the extent to which clinical activities continue to be delayed or interrupted will depend on future developments that are highly uncertain and cannot be accurately predicted, including new information that may emerge concerning COVID-19, the actions taken to contain it or treat its impact and the economic impact on local, regional, national and international markets. We continue to closely monitor this rapidly evolving situation and the potential impact on our Company. Set forth below is a summary of updates for each of our clinical trial programs.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AVR-RD-01 clinical trials in Fabry disease</w:t>
      </w:r>
    </w:p>
    <w:p>
      <w:pPr>
        <w:spacing w:after="0" w:line="117" w:lineRule="exact"/>
        <w:rPr>
          <w:sz w:val="20"/>
          <w:szCs w:val="20"/>
          <w:color w:val="auto"/>
        </w:rPr>
      </w:pPr>
    </w:p>
    <w:p>
      <w:pPr>
        <w:ind w:left="880" w:right="400" w:hanging="373"/>
        <w:spacing w:after="0" w:line="277" w:lineRule="auto"/>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expect to share new data on certain patients dosed in the investigator-sponsored Phase 1 clinical trial and Company-sponsored Phase 2 clinical trial at our Virtual R&amp;D Day on November 17, 2020.</w:t>
      </w:r>
    </w:p>
    <w:p>
      <w:pPr>
        <w:spacing w:after="0" w:line="62" w:lineRule="exact"/>
        <w:rPr>
          <w:rFonts w:ascii="Arial" w:cs="Arial" w:eastAsia="Arial" w:hAnsi="Arial"/>
          <w:sz w:val="18"/>
          <w:szCs w:val="18"/>
          <w:color w:val="auto"/>
        </w:rPr>
      </w:pPr>
    </w:p>
    <w:p>
      <w:pPr>
        <w:ind w:left="880" w:right="360" w:hanging="373"/>
        <w:spacing w:after="0" w:line="277" w:lineRule="auto"/>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Patient recruitment activities for the Company-sponsored Phase 2 FAB-201 trial continue for our clinical sites in Australia, Canada and the United States, as well as patient screening at certain sites.</w:t>
      </w:r>
    </w:p>
    <w:p>
      <w:pPr>
        <w:spacing w:after="0" w:line="62" w:lineRule="exact"/>
        <w:rPr>
          <w:rFonts w:ascii="Arial" w:cs="Arial" w:eastAsia="Arial" w:hAnsi="Arial"/>
          <w:sz w:val="18"/>
          <w:szCs w:val="18"/>
          <w:color w:val="auto"/>
        </w:rPr>
      </w:pPr>
    </w:p>
    <w:p>
      <w:pPr>
        <w:ind w:left="880" w:right="80" w:hanging="373"/>
        <w:spacing w:after="0" w:line="277" w:lineRule="auto"/>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Multiple patients have been identified as possible study candidates, and we anticipate some patient dosing may resume as allowed by hospitals and travel restrictions.</w:t>
      </w:r>
    </w:p>
    <w:p>
      <w:pPr>
        <w:spacing w:after="0" w:line="62" w:lineRule="exact"/>
        <w:rPr>
          <w:rFonts w:ascii="Arial" w:cs="Arial" w:eastAsia="Arial" w:hAnsi="Arial"/>
          <w:sz w:val="18"/>
          <w:szCs w:val="18"/>
          <w:color w:val="auto"/>
        </w:rPr>
      </w:pPr>
    </w:p>
    <w:p>
      <w:pPr>
        <w:ind w:left="880" w:right="40" w:hanging="373"/>
        <w:spacing w:after="0" w:line="263" w:lineRule="auto"/>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Ongoing data collection has continued for dosed patients in both our Phase 1 investigator-sponsored clinical trial and Phase 2 FAB-201 clinical trial. Although certain data collection is being delayed by the COVID-19 pandemic, such delays are being remediated and are not expected to impact the integrity or interpretation of the emerging study results.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AVR-RD-04 Phase 1/2 investigator-sponsored clinical trial in cystinosis</w:t>
      </w:r>
    </w:p>
    <w:p>
      <w:pPr>
        <w:spacing w:after="0" w:line="117" w:lineRule="exact"/>
        <w:rPr>
          <w:sz w:val="20"/>
          <w:szCs w:val="20"/>
          <w:color w:val="auto"/>
        </w:rPr>
      </w:pPr>
    </w:p>
    <w:p>
      <w:pPr>
        <w:ind w:left="880" w:right="500" w:hanging="373"/>
        <w:spacing w:after="0" w:line="277" w:lineRule="auto"/>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expect to share new data on the first patient dosed in this trial and initial data on the second dosed patient at our Virtual R&amp;D Day on November 17, 2020.</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Patient recruitment and screening activities continue.</w:t>
      </w:r>
    </w:p>
    <w:p>
      <w:pPr>
        <w:spacing w:after="0" w:line="117" w:lineRule="exact"/>
        <w:rPr>
          <w:rFonts w:ascii="Arial" w:cs="Arial" w:eastAsia="Arial" w:hAnsi="Arial"/>
          <w:sz w:val="18"/>
          <w:szCs w:val="18"/>
          <w:color w:val="auto"/>
        </w:rPr>
      </w:pPr>
    </w:p>
    <w:p>
      <w:pPr>
        <w:ind w:left="880" w:right="620" w:hanging="373"/>
        <w:spacing w:after="0" w:line="342" w:lineRule="auto"/>
        <w:tabs>
          <w:tab w:leader="none" w:pos="880" w:val="left"/>
        </w:tabs>
        <w:numPr>
          <w:ilvl w:val="0"/>
          <w:numId w:val="7"/>
        </w:numPr>
        <w:rPr>
          <w:rFonts w:ascii="Arial" w:cs="Arial" w:eastAsia="Arial" w:hAnsi="Arial"/>
          <w:sz w:val="16"/>
          <w:szCs w:val="16"/>
          <w:color w:val="auto"/>
        </w:rPr>
      </w:pPr>
      <w:r>
        <w:rPr>
          <w:rFonts w:ascii="Arial" w:cs="Arial" w:eastAsia="Arial" w:hAnsi="Arial"/>
          <w:sz w:val="16"/>
          <w:szCs w:val="16"/>
          <w:color w:val="auto"/>
        </w:rPr>
        <w:t>Ongoing data collection for the two dosed patients has continued. Although certain data collection is being delayed by the COVID-19 pandemic, such delays are being remediated and are not expected to impact the integrity or interpretation of the emerging study results.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u w:val="single" w:color="auto"/>
          <w:color w:val="auto"/>
        </w:rPr>
        <w:t>AVR-RD-02 Phase 1/2 clinical trial in Gaucher disease</w:t>
      </w:r>
    </w:p>
    <w:p>
      <w:pPr>
        <w:spacing w:after="0" w:line="117" w:lineRule="exact"/>
        <w:rPr>
          <w:sz w:val="20"/>
          <w:szCs w:val="20"/>
          <w:color w:val="auto"/>
        </w:rPr>
      </w:pPr>
    </w:p>
    <w:p>
      <w:pPr>
        <w:ind w:left="880" w:hanging="373"/>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expect to share initial data on the first patient dosed in this trial at our Virtual R&amp;D Day on November 17, 2020.</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Patient recruitment and screening activities continue for our clinical sites in Australia and Canada.</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expect to open new clinical sites in the United States and Israel in the fourth quarter of the year.</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Operations</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internal, cross-functional COVID-19 Response Team continues to closely monitor the evolving situation and advise on the Company’s activities in response to the evolving COVID-19 pandemic. We have continued our work-from-home policy for most employees, excluding our laboratory staff and a limited number of non-laboratory employees. For those employees, we have implemented safety measures designed to comply with applicable federal, state and local guidelines in response to the COVID-19 pandemic. We may be required to take additional actions that impact our operations as required by applicable laws or regulations, or which we determine to be in the best interests of our employees. We currently cannot determine how long our work-from-home policy will remain in effect. Any modifications to our current policy will in part be determined by updated guidance from local, state and federal authorities, and we expect that any changes will be implemented gradually and with appropriate safety measures and policies designed to comply with applicable guidelines and regulations. Notwithstanding these changes to our business operations, we have continued to recruit and hire key personnel to support the Company’s objectives, increasing our headcount to 123 full-time employees as of September 30, 2020.</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Regulatory</w:t>
      </w:r>
    </w:p>
    <w:p>
      <w:pPr>
        <w:spacing w:after="0" w:line="1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Our AVR-RD-03 program for Pompe disease is currently in preclinical development with IND-enabling preclinical studies, including a proof-of-concept study, expected to conclude in 2020. We are also continuing early studies for future potential disease indications.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currently do not anticipate any material impact on our regulatory activities for our clinical programs.</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For additional information regarding the impact of the COVID-19 pandemic on our business, please see the section titled “Risk Factors” in Part II, Section 1.A of this Quarterly Report.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Updates</w:t>
      </w:r>
    </w:p>
    <w:p>
      <w:pPr>
        <w:spacing w:after="0" w:line="14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On September 28, 2020, we announced that the European Commission has granted orphan drug designation for AVR-RD-02 for the treatment of Gaucher disease.</w:t>
      </w:r>
    </w:p>
    <w:p>
      <w:pPr>
        <w:spacing w:after="0" w:line="170"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On October 5, 2020, we announced that we entered into an agreement, or the “MPSII License Agreement,” with The University of Manchester, England, or UoM, whereby UoM granted to us an exclusive worldwide license under certain patent and other intellectual property rights, subject to certain retained rights, to develop, commercialize and sell an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lentiviral gene therapy for use in the treatment of Hunter syndrome, or mucopolysaccharidosis type II (MPSII). As consideration for the MPSII License Agreement, we agreed to pay UoM an upfront, one-time fee of $8.0 million. We are also required to make milestone payments up to an aggregate of $80.0 million upon the achievement of specified development and regulatory milestones, to pay royalties, on</w:t>
      </w:r>
    </w:p>
    <w:p>
      <w:pPr>
        <w:spacing w:after="0" w:line="2" w:lineRule="exact"/>
        <w:rPr>
          <w:sz w:val="20"/>
          <w:szCs w:val="20"/>
          <w:color w:val="auto"/>
        </w:rPr>
      </w:pPr>
    </w:p>
    <w:p>
      <w:pPr>
        <w:ind w:right="500"/>
        <w:spacing w:after="0" w:line="260" w:lineRule="auto"/>
        <w:rPr>
          <w:sz w:val="20"/>
          <w:szCs w:val="20"/>
          <w:color w:val="auto"/>
        </w:rPr>
      </w:pPr>
      <w:r>
        <w:rPr>
          <w:rFonts w:ascii="Arial" w:cs="Arial" w:eastAsia="Arial" w:hAnsi="Arial"/>
          <w:sz w:val="18"/>
          <w:szCs w:val="18"/>
          <w:color w:val="auto"/>
        </w:rPr>
        <w:t>a product-by-product and country-by-country basis, of a mid-single digit percentage based on net sales of products licensed under the MPSII License Agreement, and to pay a low double-digit percentage of any sublicense fees received.</w:t>
      </w:r>
    </w:p>
    <w:p>
      <w:pPr>
        <w:spacing w:after="0" w:line="185"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The investigational gene therapy Hunter syndrome, which we refer to as AVR-RD-05, will be studied by our collaborators at UoM. A Phase 1/2 investigator-sponsored clinical trial of AVR-RD-05 is expected to commence in the second half of 2021.</w:t>
      </w:r>
    </w:p>
    <w:p>
      <w:pPr>
        <w:spacing w:after="0" w:line="19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On October 29, 2020, we announced that the European Commission has granted orphan drug designation for AVR-RD-01 for the treatment of Fabry disease.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Components of Our Consolidated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Research and development expenses consist primarily of costs incurred in connection with the discovery and development of our product candidates. We expense research and development costs as incurred. These expenses consist of costs incurred in connection with the development of our product candidates, including:</w:t>
      </w:r>
    </w:p>
    <w:p>
      <w:pPr>
        <w:spacing w:after="0" w:line="76" w:lineRule="exact"/>
        <w:rPr>
          <w:sz w:val="20"/>
          <w:szCs w:val="20"/>
          <w:color w:val="auto"/>
        </w:rPr>
      </w:pPr>
    </w:p>
    <w:p>
      <w:pPr>
        <w:ind w:left="880" w:hanging="373"/>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license maintenance fees and milestone fees incurred in connection with various license agreements;</w:t>
      </w:r>
    </w:p>
    <w:p>
      <w:pPr>
        <w:spacing w:after="0" w:line="117" w:lineRule="exact"/>
        <w:rPr>
          <w:rFonts w:ascii="Arial" w:cs="Arial" w:eastAsia="Arial" w:hAnsi="Arial"/>
          <w:sz w:val="18"/>
          <w:szCs w:val="18"/>
          <w:color w:val="auto"/>
        </w:rPr>
      </w:pPr>
    </w:p>
    <w:p>
      <w:pPr>
        <w:ind w:left="880" w:hanging="373"/>
        <w:spacing w:after="0" w:line="308" w:lineRule="auto"/>
        <w:tabs>
          <w:tab w:leader="none" w:pos="880" w:val="left"/>
        </w:tabs>
        <w:numPr>
          <w:ilvl w:val="0"/>
          <w:numId w:val="9"/>
        </w:numPr>
        <w:rPr>
          <w:rFonts w:ascii="Arial" w:cs="Arial" w:eastAsia="Arial" w:hAnsi="Arial"/>
          <w:sz w:val="17"/>
          <w:szCs w:val="17"/>
          <w:color w:val="auto"/>
        </w:rPr>
      </w:pPr>
      <w:r>
        <w:rPr>
          <w:rFonts w:ascii="Arial" w:cs="Arial" w:eastAsia="Arial" w:hAnsi="Arial"/>
          <w:sz w:val="17"/>
          <w:szCs w:val="17"/>
          <w:color w:val="auto"/>
        </w:rPr>
        <w:t>expenses incurred under agreements with contract research organizations, or CROs, contract manufacturing organizations, or CMOs, as well as investigative sites and consultants that conduct our clinical trials, preclinical studies and other scientific development services;</w:t>
      </w:r>
    </w:p>
    <w:p>
      <w:pPr>
        <w:spacing w:after="0" w:line="38" w:lineRule="exact"/>
        <w:rPr>
          <w:rFonts w:ascii="Arial" w:cs="Arial" w:eastAsia="Arial" w:hAnsi="Arial"/>
          <w:sz w:val="17"/>
          <w:szCs w:val="17"/>
          <w:color w:val="auto"/>
        </w:rPr>
      </w:pPr>
    </w:p>
    <w:p>
      <w:pPr>
        <w:ind w:left="880" w:right="40" w:hanging="373"/>
        <w:spacing w:after="0" w:line="277" w:lineRule="auto"/>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manufacturing scale-up expenses and the cost of acquiring and manufacturing preclinical and clinical trial materials and commercial materials, including manufacturing validation batches;</w:t>
      </w:r>
    </w:p>
    <w:p>
      <w:pPr>
        <w:spacing w:after="0" w:line="62" w:lineRule="exact"/>
        <w:rPr>
          <w:rFonts w:ascii="Arial" w:cs="Arial" w:eastAsia="Arial" w:hAnsi="Arial"/>
          <w:sz w:val="18"/>
          <w:szCs w:val="18"/>
          <w:color w:val="auto"/>
        </w:rPr>
      </w:pPr>
    </w:p>
    <w:p>
      <w:pPr>
        <w:ind w:left="880" w:right="560" w:hanging="373"/>
        <w:spacing w:after="0" w:line="277" w:lineRule="auto"/>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employee-related expenses, including salaries, related benefits, travel and stock-based compensation expense for employees engaged in research and development functions;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costs related to compliance with regulatory requirements;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allocated facilities costs, depreciation and other expenses, which include rent and utilities.</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recognize external development costs based on an evaluation of the progress to completion of specific tasks using information provided to us by our service providers.</w:t>
      </w:r>
    </w:p>
    <w:p>
      <w:pPr>
        <w:spacing w:after="0" w:line="170" w:lineRule="exact"/>
        <w:rPr>
          <w:sz w:val="20"/>
          <w:szCs w:val="20"/>
          <w:color w:val="auto"/>
        </w:rPr>
      </w:pPr>
    </w:p>
    <w:p>
      <w:pPr>
        <w:ind w:right="280"/>
        <w:spacing w:after="0" w:line="291" w:lineRule="auto"/>
        <w:rPr>
          <w:sz w:val="20"/>
          <w:szCs w:val="20"/>
          <w:color w:val="auto"/>
        </w:rPr>
      </w:pPr>
      <w:r>
        <w:rPr>
          <w:rFonts w:ascii="Arial" w:cs="Arial" w:eastAsia="Arial" w:hAnsi="Arial"/>
          <w:sz w:val="16"/>
          <w:szCs w:val="16"/>
          <w:color w:val="auto"/>
        </w:rPr>
        <w:t>Our direct research and development expenses are tracked on a program-by-program basis for our product candidates and consist primarily of external costs, such as fees paid to outside consultants, CROs, CMOs, and central laboratories in connection with our preclinical development, process development, manufacturing and clinical development activities. Our direct research and development expenses by program also include fees incurred under license agreements. We do not allocate employee costs or facility expenses, including depreciation or other indirect costs, to specific programs because these costs are deployed across multiple programs and, as such, are not separately classified. We use internal resources primarily to oversee the research and discovery as well as for managing our preclinical development, process development, manufacturing and clinical development activities. These employees work across multiple programs and, therefore, we do not track their costs by program.</w:t>
      </w:r>
    </w:p>
    <w:p>
      <w:pPr>
        <w:spacing w:after="0" w:line="16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have modified the presentation within the following tables to include expenses related to other preclinical development activities outside of our already presented programs in our direct research and development expenses, which were previously included as other unallocated research and development expenses. We have adjusted prior period amounts to reflect the changes in presentation made in the current period. The table below summarizes our research and development expenses incurred by program (in thousands):</w:t>
      </w:r>
    </w:p>
    <w:p>
      <w:pPr>
        <w:spacing w:after="0" w:line="17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4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2220" w:type="dxa"/>
            <w:vAlign w:val="bottom"/>
            <w:gridSpan w:val="6"/>
          </w:tcPr>
          <w:p>
            <w:pPr>
              <w:ind w:left="32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49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68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49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w w:val="89"/>
              </w:rPr>
              <w:t>2019</w:t>
            </w:r>
          </w:p>
        </w:tc>
        <w:tc>
          <w:tcPr>
            <w:tcW w:w="4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75"/>
              <w:spacing w:after="0" w:line="155"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CFF0FC"/>
            </w:tcBorders>
          </w:tcPr>
          <w:p>
            <w:pPr>
              <w:spacing w:after="0"/>
              <w:rPr>
                <w:sz w:val="13"/>
                <w:szCs w:val="13"/>
                <w:color w:val="auto"/>
              </w:rPr>
            </w:pPr>
          </w:p>
        </w:tc>
      </w:tr>
      <w:tr>
        <w:trPr>
          <w:trHeight w:val="223"/>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Fabry</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2,375</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2,656</w:t>
            </w:r>
          </w:p>
        </w:tc>
        <w:tc>
          <w:tcPr>
            <w:tcW w:w="4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8,416</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89"/>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7,214</w:t>
            </w:r>
          </w:p>
        </w:tc>
        <w:tc>
          <w:tcPr>
            <w:tcW w:w="100" w:type="dxa"/>
            <w:vAlign w:val="bottom"/>
            <w:shd w:val="clear" w:color="auto" w:fill="CFF0FC"/>
          </w:tcPr>
          <w:p>
            <w:pPr>
              <w:spacing w:after="0"/>
              <w:rPr>
                <w:sz w:val="19"/>
                <w:szCs w:val="19"/>
                <w:color w:val="auto"/>
              </w:rPr>
            </w:pPr>
          </w:p>
        </w:tc>
      </w:tr>
      <w:tr>
        <w:trPr>
          <w:trHeight w:val="243"/>
        </w:trPr>
        <w:tc>
          <w:tcPr>
            <w:tcW w:w="4980" w:type="dxa"/>
            <w:vAlign w:val="bottom"/>
          </w:tcPr>
          <w:p>
            <w:pPr>
              <w:spacing w:after="0"/>
              <w:rPr>
                <w:sz w:val="20"/>
                <w:szCs w:val="20"/>
                <w:color w:val="auto"/>
              </w:rPr>
            </w:pPr>
            <w:r>
              <w:rPr>
                <w:rFonts w:ascii="Arial" w:cs="Arial" w:eastAsia="Arial" w:hAnsi="Arial"/>
                <w:sz w:val="18"/>
                <w:szCs w:val="18"/>
                <w:color w:val="auto"/>
              </w:rPr>
              <w:t>Gaucher</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2,177</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1,457</w:t>
            </w: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5,775</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5,266</w:t>
            </w:r>
          </w:p>
        </w:tc>
        <w:tc>
          <w:tcPr>
            <w:tcW w:w="100" w:type="dxa"/>
            <w:vAlign w:val="bottom"/>
          </w:tcPr>
          <w:p>
            <w:pPr>
              <w:spacing w:after="0"/>
              <w:rPr>
                <w:sz w:val="21"/>
                <w:szCs w:val="21"/>
                <w:color w:val="auto"/>
              </w:rPr>
            </w:pPr>
          </w:p>
        </w:tc>
      </w:tr>
      <w:tr>
        <w:trPr>
          <w:trHeight w:val="243"/>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Pompe</w:t>
            </w: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1,757</w:t>
            </w:r>
          </w:p>
        </w:tc>
        <w:tc>
          <w:tcPr>
            <w:tcW w:w="2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1,851</w:t>
            </w:r>
          </w:p>
        </w:tc>
        <w:tc>
          <w:tcPr>
            <w:tcW w:w="4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4,499</w:t>
            </w:r>
          </w:p>
        </w:tc>
        <w:tc>
          <w:tcPr>
            <w:tcW w:w="3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4,189</w:t>
            </w:r>
          </w:p>
        </w:tc>
        <w:tc>
          <w:tcPr>
            <w:tcW w:w="100" w:type="dxa"/>
            <w:vAlign w:val="bottom"/>
            <w:shd w:val="clear" w:color="auto" w:fill="CFF0FC"/>
          </w:tcPr>
          <w:p>
            <w:pPr>
              <w:spacing w:after="0"/>
              <w:rPr>
                <w:sz w:val="21"/>
                <w:szCs w:val="21"/>
                <w:color w:val="auto"/>
              </w:rPr>
            </w:pPr>
          </w:p>
        </w:tc>
      </w:tr>
      <w:tr>
        <w:trPr>
          <w:trHeight w:val="243"/>
        </w:trPr>
        <w:tc>
          <w:tcPr>
            <w:tcW w:w="4980" w:type="dxa"/>
            <w:vAlign w:val="bottom"/>
          </w:tcPr>
          <w:p>
            <w:pPr>
              <w:spacing w:after="0"/>
              <w:rPr>
                <w:sz w:val="20"/>
                <w:szCs w:val="20"/>
                <w:color w:val="auto"/>
              </w:rPr>
            </w:pPr>
            <w:r>
              <w:rPr>
                <w:rFonts w:ascii="Arial" w:cs="Arial" w:eastAsia="Arial" w:hAnsi="Arial"/>
                <w:sz w:val="18"/>
                <w:szCs w:val="18"/>
                <w:color w:val="auto"/>
              </w:rPr>
              <w:t>Cystinosis</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319</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529</w:t>
            </w: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1,208</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918</w:t>
            </w:r>
          </w:p>
        </w:tc>
        <w:tc>
          <w:tcPr>
            <w:tcW w:w="100" w:type="dxa"/>
            <w:vAlign w:val="bottom"/>
          </w:tcPr>
          <w:p>
            <w:pPr>
              <w:spacing w:after="0"/>
              <w:rPr>
                <w:sz w:val="21"/>
                <w:szCs w:val="21"/>
                <w:color w:val="auto"/>
              </w:rPr>
            </w:pPr>
          </w:p>
        </w:tc>
      </w:tr>
      <w:tr>
        <w:trPr>
          <w:trHeight w:val="243"/>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Hunter</w:t>
            </w: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8,000</w:t>
            </w:r>
          </w:p>
        </w:tc>
        <w:tc>
          <w:tcPr>
            <w:tcW w:w="2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8,000</w:t>
            </w:r>
          </w:p>
        </w:tc>
        <w:tc>
          <w:tcPr>
            <w:tcW w:w="3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43"/>
        </w:trPr>
        <w:tc>
          <w:tcPr>
            <w:tcW w:w="4980" w:type="dxa"/>
            <w:vAlign w:val="bottom"/>
          </w:tcPr>
          <w:p>
            <w:pPr>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569</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798</w:t>
            </w: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4,728</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2,846</w:t>
            </w:r>
          </w:p>
        </w:tc>
        <w:tc>
          <w:tcPr>
            <w:tcW w:w="100" w:type="dxa"/>
            <w:vAlign w:val="bottom"/>
          </w:tcPr>
          <w:p>
            <w:pPr>
              <w:spacing w:after="0"/>
              <w:rPr>
                <w:sz w:val="21"/>
                <w:szCs w:val="21"/>
                <w:color w:val="auto"/>
              </w:rPr>
            </w:pPr>
          </w:p>
        </w:tc>
      </w:tr>
      <w:tr>
        <w:trPr>
          <w:trHeight w:val="243"/>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Unallocated research and development expenses</w:t>
            </w:r>
          </w:p>
        </w:tc>
        <w:tc>
          <w:tcPr>
            <w:tcW w:w="24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13,312</w:t>
            </w:r>
          </w:p>
        </w:tc>
        <w:tc>
          <w:tcPr>
            <w:tcW w:w="220" w:type="dxa"/>
            <w:vAlign w:val="bottom"/>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5,751</w:t>
            </w:r>
          </w:p>
        </w:tc>
        <w:tc>
          <w:tcPr>
            <w:tcW w:w="40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35,023</w:t>
            </w:r>
          </w:p>
        </w:tc>
        <w:tc>
          <w:tcPr>
            <w:tcW w:w="3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17,322</w:t>
            </w:r>
          </w:p>
        </w:tc>
        <w:tc>
          <w:tcPr>
            <w:tcW w:w="100" w:type="dxa"/>
            <w:vAlign w:val="bottom"/>
            <w:shd w:val="clear" w:color="auto" w:fill="CFF0FC"/>
          </w:tcPr>
          <w:p>
            <w:pPr>
              <w:spacing w:after="0"/>
              <w:rPr>
                <w:sz w:val="21"/>
                <w:szCs w:val="21"/>
                <w:color w:val="auto"/>
              </w:rPr>
            </w:pPr>
          </w:p>
        </w:tc>
      </w:tr>
      <w:tr>
        <w:trPr>
          <w:trHeight w:val="236"/>
        </w:trPr>
        <w:tc>
          <w:tcPr>
            <w:tcW w:w="4980" w:type="dxa"/>
            <w:vAlign w:val="bottom"/>
          </w:tcPr>
          <w:p>
            <w:pPr>
              <w:ind w:left="240"/>
              <w:spacing w:after="0"/>
              <w:rPr>
                <w:sz w:val="20"/>
                <w:szCs w:val="20"/>
                <w:color w:val="auto"/>
              </w:rPr>
            </w:pPr>
            <w:r>
              <w:rPr>
                <w:rFonts w:ascii="Arial" w:cs="Arial" w:eastAsia="Arial" w:hAnsi="Arial"/>
                <w:sz w:val="18"/>
                <w:szCs w:val="18"/>
                <w:color w:val="auto"/>
              </w:rPr>
              <w:t>Total research and development expenses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28,509</w:t>
            </w:r>
          </w:p>
        </w:tc>
        <w:tc>
          <w:tcPr>
            <w:tcW w:w="220" w:type="dxa"/>
            <w:vAlign w:val="bottom"/>
          </w:tcPr>
          <w:p>
            <w:pPr>
              <w:spacing w:after="0"/>
              <w:rPr>
                <w:sz w:val="20"/>
                <w:szCs w:val="20"/>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13,042</w:t>
            </w:r>
          </w:p>
        </w:tc>
        <w:tc>
          <w:tcPr>
            <w:tcW w:w="40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67,649</w:t>
            </w:r>
          </w:p>
        </w:tc>
        <w:tc>
          <w:tcPr>
            <w:tcW w:w="300" w:type="dxa"/>
            <w:vAlign w:val="bottom"/>
          </w:tcPr>
          <w:p>
            <w:pPr>
              <w:spacing w:after="0"/>
              <w:rPr>
                <w:sz w:val="20"/>
                <w:szCs w:val="20"/>
                <w:color w:val="auto"/>
              </w:rPr>
            </w:pPr>
          </w:p>
        </w:tc>
        <w:tc>
          <w:tcPr>
            <w:tcW w:w="320" w:type="dxa"/>
            <w:vAlign w:val="bottom"/>
            <w:tcBorders>
              <w:bottom w:val="single" w:sz="8" w:color="auto"/>
            </w:tcBorders>
            <w:gridSpan w:val="2"/>
          </w:tcPr>
          <w:p>
            <w:pPr>
              <w:jc w:val="right"/>
              <w:ind w:right="189"/>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37,755</w:t>
            </w:r>
          </w:p>
        </w:tc>
        <w:tc>
          <w:tcPr>
            <w:tcW w:w="100" w:type="dxa"/>
            <w:vAlign w:val="bottom"/>
          </w:tcPr>
          <w:p>
            <w:pPr>
              <w:spacing w:after="0"/>
              <w:rPr>
                <w:sz w:val="20"/>
                <w:szCs w:val="20"/>
                <w:color w:val="auto"/>
              </w:rPr>
            </w:pPr>
          </w:p>
        </w:tc>
      </w:tr>
      <w:tr>
        <w:trPr>
          <w:trHeight w:val="20"/>
        </w:trPr>
        <w:tc>
          <w:tcPr>
            <w:tcW w:w="4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As a result, we expect that our research and development expenses will increase substantially over the next several years, particularly as we increase personnel costs, including stock-based compensation, contractor costs and facilities costs, as we continue to advance the development of our product candidates. We also expect to incur additional expenses related to milestone and royalty payments payable to third parties with whom we have entered into license agreements to acquire the rights to our product candidates.</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486" w:right="379" w:bottom="1440" w:gutter="0" w:footer="0" w:header="0"/>
        </w:sectPr>
      </w:pPr>
    </w:p>
    <w:bookmarkStart w:id="25" w:name="page26"/>
    <w:bookmarkEnd w:id="25"/>
    <w:p>
      <w:pPr>
        <w:ind w:right="60"/>
        <w:spacing w:after="0" w:line="259" w:lineRule="auto"/>
        <w:rPr>
          <w:sz w:val="20"/>
          <w:szCs w:val="20"/>
          <w:color w:val="auto"/>
        </w:rPr>
      </w:pPr>
      <w:r>
        <w:rPr>
          <w:rFonts w:ascii="Arial" w:cs="Arial" w:eastAsia="Arial" w:hAnsi="Arial"/>
          <w:sz w:val="18"/>
          <w:szCs w:val="18"/>
          <w:color w:val="auto"/>
        </w:rPr>
        <w:t>The successful development and commercialization of our product candidates is highly uncertain. At this time, we cannot reasonably estimate or know the nature, timing and costs of the efforts that will be necessary to complete the preclinical and clinical development of any of our product candidates or when, if ever, material net cash inflows may commence from any of our product candidates. This uncertainty is due to the numerous risks and uncertainties associated with product development and commercialization, including the uncertainty of:</w:t>
      </w:r>
    </w:p>
    <w:p>
      <w:pPr>
        <w:spacing w:after="0" w:line="79" w:lineRule="exact"/>
        <w:rPr>
          <w:sz w:val="20"/>
          <w:szCs w:val="20"/>
          <w:color w:val="auto"/>
        </w:rPr>
      </w:pPr>
    </w:p>
    <w:p>
      <w:pPr>
        <w:ind w:left="880" w:hanging="373"/>
        <w:spacing w:after="0"/>
        <w:tabs>
          <w:tab w:leader="none" w:pos="8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scope, progress, outcome and costs of our preclinical development activities, clinical trials and other research and development activities;</w:t>
      </w:r>
    </w:p>
    <w:p>
      <w:pPr>
        <w:spacing w:after="0" w:line="140" w:lineRule="exact"/>
        <w:rPr>
          <w:rFonts w:ascii="Arial" w:cs="Arial" w:eastAsia="Arial" w:hAnsi="Arial"/>
          <w:sz w:val="16"/>
          <w:szCs w:val="16"/>
          <w:color w:val="auto"/>
        </w:rPr>
      </w:pPr>
    </w:p>
    <w:p>
      <w:pPr>
        <w:ind w:left="880" w:hanging="373"/>
        <w:spacing w:after="0"/>
        <w:tabs>
          <w:tab w:leader="none" w:pos="8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impact of the COVID-19 pandemic on our preclinical development activities, clinical trials and other research and development activities;</w:t>
      </w:r>
    </w:p>
    <w:p>
      <w:pPr>
        <w:spacing w:after="0" w:line="140" w:lineRule="exact"/>
        <w:rPr>
          <w:rFonts w:ascii="Arial" w:cs="Arial" w:eastAsia="Arial" w:hAnsi="Arial"/>
          <w:sz w:val="16"/>
          <w:szCs w:val="16"/>
          <w:color w:val="auto"/>
        </w:rPr>
      </w:pPr>
    </w:p>
    <w:p>
      <w:pPr>
        <w:ind w:left="880" w:hanging="373"/>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establishing an appropriate safety profile with IND-enabling studies;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successful patient enrollment in, and the design, initiation and completion of, clinical trials;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timing, receipt and terms of any marketing approvals from applicable regulatory authorities;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establishing and maintaining clinical and commercial manufacturing capabilities or making arrangements with third-party manufacturers;</w:t>
      </w:r>
    </w:p>
    <w:p>
      <w:pPr>
        <w:spacing w:after="0" w:line="128" w:lineRule="exact"/>
        <w:rPr>
          <w:rFonts w:ascii="Arial" w:cs="Arial" w:eastAsia="Arial" w:hAnsi="Arial"/>
          <w:sz w:val="17"/>
          <w:szCs w:val="17"/>
          <w:color w:val="auto"/>
        </w:rPr>
      </w:pPr>
    </w:p>
    <w:p>
      <w:pPr>
        <w:ind w:left="880" w:hanging="373"/>
        <w:spacing w:after="0"/>
        <w:tabs>
          <w:tab w:leader="none" w:pos="8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development and timely delivery of commercial-grade drug formulations that can be used in our clinical trials and for commercial launch;</w:t>
      </w:r>
    </w:p>
    <w:p>
      <w:pPr>
        <w:spacing w:after="0" w:line="128" w:lineRule="exact"/>
        <w:rPr>
          <w:rFonts w:ascii="Arial" w:cs="Arial" w:eastAsia="Arial" w:hAnsi="Arial"/>
          <w:sz w:val="17"/>
          <w:szCs w:val="17"/>
          <w:color w:val="auto"/>
        </w:rPr>
      </w:pPr>
    </w:p>
    <w:p>
      <w:pPr>
        <w:ind w:left="880" w:hanging="373"/>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obtaining, maintaining, defending and enforcing patent claims and other intellectual property rights;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significant and changing government regulation;</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launching commercial sales of our product candidates, if and when approved, whether alone or in collaboration with others;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the product candidates following approval.</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may never succeed in achieving regulatory approval for any of our product candidates. We may obtain unexpected results from our clinical trials. We may elect to discontinue, delay or modify clinical trials of some product candidates or focus on others. Any changes in the outcome of any of these variables with respect to the development of our product candidates in preclinical and clinical development could mean a significant change in the costs and timing associated with the development of these product candidates. For example, if the FDA or another regulatory authority were to delay our planned start of clinical trials or require us to conduct clinical trials or other testing beyond those that we currently expect, or if we experience significant delays in enrollment in any of our planned clinical trials for any reason, including as a result of the ongoing COVID-19 pandemic, we could be required to expend significant additional financial resources and time on the completion of clinical development of that product candidate. Identifying potential product candidates and conducting preclinical testing and clinical trials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General and administrative expenses consist primarily of salaries, related benefits, travel and stock-based compensation expense for personnel in executive, finance and administrative functions. General and administrative expenses also include professional fees for legal, consulting, accounting and audit services.</w:t>
      </w:r>
    </w:p>
    <w:p>
      <w:pPr>
        <w:spacing w:after="0" w:line="18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anticipate that our general and administrative expenses will increase in the future as we increase our headcount to support our continued research activities and development of our product candidates. We also anticipate that we will continue to incur increased accounting, audit, legal, regulatory, compliance, director and officer insurance costs as well as investor and public relations expenses associated with being a public company. We anticipate the additional costs for these services will substantially increase our general and administrative expenses. Additionally, if and when we believe a regulatory approval of a product candidate appears likely, we anticipate an increase in payroll and expense as a result of our preparation for commercial operations, especially as it relates to the sales and marketing of our product candidate.</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consists of interest earned on money market funds and other bank deposits.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6" w:name="page27"/>
    <w:bookmarkEnd w:id="26"/>
    <w:p>
      <w:pPr>
        <w:spacing w:after="0"/>
        <w:rPr>
          <w:sz w:val="20"/>
          <w:szCs w:val="20"/>
          <w:color w:val="auto"/>
        </w:rPr>
      </w:pPr>
      <w:r>
        <w:rPr>
          <w:rFonts w:ascii="Arial" w:cs="Arial" w:eastAsia="Arial" w:hAnsi="Arial"/>
          <w:sz w:val="18"/>
          <w:szCs w:val="18"/>
          <w:i w:val="1"/>
          <w:iCs w:val="1"/>
          <w:color w:val="auto"/>
        </w:rPr>
        <w:t>Other Expense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Other expense consists of foreign exchange gain or loss.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September 30, 2020 and 2019</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consolidated results of operations for the three months ended September 30, 2020 and 2019 (in thousands):</w:t>
      </w:r>
    </w:p>
    <w:p>
      <w:pPr>
        <w:spacing w:after="0" w:line="22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0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6"/>
        </w:trPr>
        <w:tc>
          <w:tcPr>
            <w:tcW w:w="4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jc w:val="right"/>
              <w:ind w:right="315"/>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tcPr>
          <w:p>
            <w:pPr>
              <w:jc w:val="right"/>
              <w:ind w:right="312"/>
              <w:spacing w:after="0" w:line="155" w:lineRule="exact"/>
              <w:rPr>
                <w:sz w:val="20"/>
                <w:szCs w:val="20"/>
                <w:color w:val="auto"/>
              </w:rPr>
            </w:pPr>
            <w:r>
              <w:rPr>
                <w:rFonts w:ascii="Arial" w:cs="Arial" w:eastAsia="Arial" w:hAnsi="Arial"/>
                <w:sz w:val="14"/>
                <w:szCs w:val="14"/>
                <w:b w:val="1"/>
                <w:bCs w:val="1"/>
                <w:color w:val="auto"/>
                <w:w w:val="89"/>
              </w:rPr>
              <w:t>2019</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142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28,509</w:t>
            </w:r>
          </w:p>
        </w:tc>
        <w:tc>
          <w:tcPr>
            <w:tcW w:w="120" w:type="dxa"/>
            <w:vAlign w:val="bottom"/>
          </w:tcPr>
          <w:p>
            <w:pPr>
              <w:spacing w:after="0"/>
              <w:rPr>
                <w:sz w:val="19"/>
                <w:szCs w:val="19"/>
                <w:color w:val="auto"/>
              </w:rPr>
            </w:pPr>
          </w:p>
        </w:tc>
        <w:tc>
          <w:tcPr>
            <w:tcW w:w="44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13,042</w:t>
            </w:r>
          </w:p>
        </w:tc>
        <w:tc>
          <w:tcPr>
            <w:tcW w:w="200" w:type="dxa"/>
            <w:vAlign w:val="bottom"/>
          </w:tcPr>
          <w:p>
            <w:pPr>
              <w:spacing w:after="0"/>
              <w:rPr>
                <w:sz w:val="19"/>
                <w:szCs w:val="19"/>
                <w:color w:val="auto"/>
              </w:rPr>
            </w:pPr>
          </w:p>
        </w:tc>
        <w:tc>
          <w:tcPr>
            <w:tcW w:w="200" w:type="dxa"/>
            <w:vAlign w:val="bottom"/>
            <w:gridSpan w:val="2"/>
          </w:tcPr>
          <w:p>
            <w:pPr>
              <w:jc w:val="right"/>
              <w:ind w:right="27"/>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15,467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administrative</w:t>
            </w:r>
          </w:p>
        </w:tc>
        <w:tc>
          <w:tcPr>
            <w:tcW w:w="12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8,209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5,022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0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operating expenses</w:t>
            </w:r>
          </w:p>
        </w:tc>
        <w:tc>
          <w:tcPr>
            <w:tcW w:w="12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36,718</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18,064</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18,654</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(36,718)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(18,064)</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(18,654)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00" w:type="dxa"/>
            <w:vAlign w:val="bottom"/>
          </w:tcPr>
          <w:p>
            <w:pPr>
              <w:spacing w:after="0"/>
              <w:rPr>
                <w:sz w:val="20"/>
                <w:szCs w:val="20"/>
                <w:color w:val="auto"/>
              </w:rPr>
            </w:pPr>
            <w:r>
              <w:rPr>
                <w:rFonts w:ascii="Arial" w:cs="Arial" w:eastAsia="Arial" w:hAnsi="Arial"/>
                <w:sz w:val="18"/>
                <w:szCs w:val="18"/>
                <w:color w:val="auto"/>
              </w:rPr>
              <w:t>Other income (expense):</w:t>
            </w: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income</w:t>
            </w:r>
          </w:p>
        </w:tc>
        <w:tc>
          <w:tcPr>
            <w:tcW w:w="1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925</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(913)</w:t>
            </w:r>
          </w:p>
        </w:tc>
        <w:tc>
          <w:tcPr>
            <w:tcW w:w="0" w:type="dxa"/>
            <w:vAlign w:val="bottom"/>
          </w:tcPr>
          <w:p>
            <w:pPr>
              <w:spacing w:after="0"/>
              <w:rPr>
                <w:sz w:val="1"/>
                <w:szCs w:val="1"/>
                <w:color w:val="auto"/>
              </w:rPr>
            </w:pPr>
          </w:p>
        </w:tc>
      </w:tr>
      <w:tr>
        <w:trPr>
          <w:trHeight w:val="229"/>
        </w:trPr>
        <w:tc>
          <w:tcPr>
            <w:tcW w:w="4100" w:type="dxa"/>
            <w:vAlign w:val="bottom"/>
          </w:tcPr>
          <w:p>
            <w:pPr>
              <w:ind w:left="240"/>
              <w:spacing w:after="0"/>
              <w:rPr>
                <w:sz w:val="20"/>
                <w:szCs w:val="20"/>
                <w:color w:val="auto"/>
              </w:rPr>
            </w:pPr>
            <w:r>
              <w:rPr>
                <w:rFonts w:ascii="Arial" w:cs="Arial" w:eastAsia="Arial" w:hAnsi="Arial"/>
                <w:sz w:val="18"/>
                <w:szCs w:val="18"/>
                <w:color w:val="auto"/>
              </w:rPr>
              <w:t>Other expense</w:t>
            </w: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(74)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3"/>
        </w:trPr>
        <w:tc>
          <w:tcPr>
            <w:tcW w:w="410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other income (expense), net</w:t>
            </w:r>
          </w:p>
        </w:tc>
        <w:tc>
          <w:tcPr>
            <w:tcW w:w="1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919</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(981)</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00" w:type="dxa"/>
            <w:vAlign w:val="bottom"/>
          </w:tcPr>
          <w:p>
            <w:pPr>
              <w:spacing w:after="0"/>
              <w:rPr>
                <w:sz w:val="20"/>
                <w:szCs w:val="20"/>
                <w:color w:val="auto"/>
              </w:rPr>
            </w:pPr>
            <w:r>
              <w:rPr>
                <w:rFonts w:ascii="Arial" w:cs="Arial" w:eastAsia="Arial" w:hAnsi="Arial"/>
                <w:sz w:val="18"/>
                <w:szCs w:val="18"/>
                <w:color w:val="auto"/>
              </w:rPr>
              <w:t>Net loss</w:t>
            </w:r>
          </w:p>
        </w:tc>
        <w:tc>
          <w:tcPr>
            <w:tcW w:w="120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(36,780)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(17,145)</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(19,635)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following table summarizes our research and development expenses incurred during the three months ended September 30, 2020 and 2019 (in thousands):</w:t>
      </w:r>
    </w:p>
    <w:p>
      <w:pPr>
        <w:spacing w:after="0" w:line="16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00" w:type="dxa"/>
            <w:vAlign w:val="bottom"/>
            <w:gridSpan w:val="4"/>
          </w:tcPr>
          <w:p>
            <w:pPr>
              <w:jc w:val="right"/>
              <w:ind w:right="432"/>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5"/>
        </w:trPr>
        <w:tc>
          <w:tcPr>
            <w:tcW w:w="4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jc w:val="right"/>
              <w:ind w:right="315"/>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tcPr>
          <w:p>
            <w:pPr>
              <w:jc w:val="right"/>
              <w:ind w:right="312"/>
              <w:spacing w:after="0" w:line="155" w:lineRule="exact"/>
              <w:rPr>
                <w:sz w:val="20"/>
                <w:szCs w:val="20"/>
                <w:color w:val="auto"/>
              </w:rPr>
            </w:pPr>
            <w:r>
              <w:rPr>
                <w:rFonts w:ascii="Arial" w:cs="Arial" w:eastAsia="Arial" w:hAnsi="Arial"/>
                <w:sz w:val="14"/>
                <w:szCs w:val="14"/>
                <w:b w:val="1"/>
                <w:bCs w:val="1"/>
                <w:color w:val="auto"/>
                <w:w w:val="89"/>
              </w:rPr>
              <w:t>2019</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Direct research and development expenses by program:</w:t>
            </w:r>
          </w:p>
        </w:tc>
        <w:tc>
          <w:tcPr>
            <w:tcW w:w="5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tcPr>
          <w:p>
            <w:pPr>
              <w:ind w:left="240"/>
              <w:spacing w:after="0"/>
              <w:rPr>
                <w:sz w:val="20"/>
                <w:szCs w:val="20"/>
                <w:color w:val="auto"/>
              </w:rPr>
            </w:pPr>
            <w:r>
              <w:rPr>
                <w:rFonts w:ascii="Arial" w:cs="Arial" w:eastAsia="Arial" w:hAnsi="Arial"/>
                <w:sz w:val="18"/>
                <w:szCs w:val="18"/>
                <w:color w:val="auto"/>
              </w:rPr>
              <w:t>Fabry</w:t>
            </w:r>
          </w:p>
        </w:tc>
        <w:tc>
          <w:tcPr>
            <w:tcW w:w="7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2,375</w:t>
            </w:r>
          </w:p>
        </w:tc>
        <w:tc>
          <w:tcPr>
            <w:tcW w:w="56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2,656</w:t>
            </w:r>
          </w:p>
        </w:tc>
        <w:tc>
          <w:tcPr>
            <w:tcW w:w="4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Gaucher</w:t>
            </w:r>
          </w:p>
        </w:tc>
        <w:tc>
          <w:tcPr>
            <w:tcW w:w="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2,177</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1,457</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240"/>
              <w:spacing w:after="0"/>
              <w:rPr>
                <w:sz w:val="20"/>
                <w:szCs w:val="20"/>
                <w:color w:val="auto"/>
              </w:rPr>
            </w:pPr>
            <w:r>
              <w:rPr>
                <w:rFonts w:ascii="Arial" w:cs="Arial" w:eastAsia="Arial" w:hAnsi="Arial"/>
                <w:sz w:val="18"/>
                <w:szCs w:val="18"/>
                <w:color w:val="auto"/>
              </w:rPr>
              <w:t>Pompe</w:t>
            </w: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1,757</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1,851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Cystinosis</w:t>
            </w:r>
          </w:p>
        </w:tc>
        <w:tc>
          <w:tcPr>
            <w:tcW w:w="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529</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29"/>
        </w:trPr>
        <w:tc>
          <w:tcPr>
            <w:tcW w:w="4780" w:type="dxa"/>
            <w:vAlign w:val="bottom"/>
          </w:tcPr>
          <w:p>
            <w:pPr>
              <w:ind w:left="240"/>
              <w:spacing w:after="0"/>
              <w:rPr>
                <w:sz w:val="20"/>
                <w:szCs w:val="20"/>
                <w:color w:val="auto"/>
              </w:rPr>
            </w:pPr>
            <w:r>
              <w:rPr>
                <w:rFonts w:ascii="Arial" w:cs="Arial" w:eastAsia="Arial" w:hAnsi="Arial"/>
                <w:sz w:val="18"/>
                <w:szCs w:val="18"/>
                <w:color w:val="auto"/>
              </w:rPr>
              <w:t>Hunter</w:t>
            </w: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8,000</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569</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798</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Unallocated research and development expenses:</w:t>
            </w: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Personnel related (including stock-based compensation)</w:t>
            </w:r>
          </w:p>
        </w:tc>
        <w:tc>
          <w:tcPr>
            <w:tcW w:w="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9,339</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4,136</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w:t>
            </w:r>
          </w:p>
        </w:tc>
        <w:tc>
          <w:tcPr>
            <w:tcW w:w="5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3,973</w:t>
            </w:r>
          </w:p>
        </w:tc>
        <w:tc>
          <w:tcPr>
            <w:tcW w:w="2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1,615</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2,358</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research and development expenses</w:t>
            </w:r>
          </w:p>
        </w:tc>
        <w:tc>
          <w:tcPr>
            <w:tcW w:w="5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28,509</w:t>
            </w:r>
          </w:p>
        </w:tc>
        <w:tc>
          <w:tcPr>
            <w:tcW w:w="2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13,042</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15,467</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Research and development expenses were $28.5 million for the three months ended September 30, 2020, as compared to $13.0 million for the three months ended September 30, 2019. The increase of $15.5 million was primarily due to an increase of $8.0 million in direct costs related to the upfront license fee for our Hunter program, an increase of $7.6 million in unallocated research and development expenses, and an increase of $0.7 million in direct costs related to our Gaucher program, partially offset by a decrease of $0.3 million in direct costs related to our Fabry program, a decrease of $0.2 million in direct costs related to our Cystinosis program, a decrease of $0.2 million in direct costs related to our Other programs, and a decrease of $0.1 million in direct costs related to our Pompe program.</w:t>
      </w:r>
    </w:p>
    <w:p>
      <w:pPr>
        <w:spacing w:after="0" w:line="19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decrease in direct costs related to our Fabry program was primarily due to a $0.2 million decrease in preclinical costs and a decrease of $0.4 million in manufacturing costs, partially offset by an increase of $0.3 million in clinical costs.</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increase in direct costs related to our Gaucher program was primarily due to a $0.5 million increase in manufacturing costs and a $0.3 million increase in clinical costs, partially offset by a $0.1 million decrease in preclinical costs.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27" w:name="page28"/>
    <w:bookmarkEnd w:id="27"/>
    <w:p>
      <w:pPr>
        <w:ind w:right="260"/>
        <w:spacing w:after="0" w:line="277" w:lineRule="auto"/>
        <w:rPr>
          <w:sz w:val="20"/>
          <w:szCs w:val="20"/>
          <w:color w:val="auto"/>
        </w:rPr>
      </w:pPr>
      <w:r>
        <w:rPr>
          <w:rFonts w:ascii="Arial" w:cs="Arial" w:eastAsia="Arial" w:hAnsi="Arial"/>
          <w:sz w:val="18"/>
          <w:szCs w:val="18"/>
          <w:color w:val="auto"/>
        </w:rPr>
        <w:t>The decrease in direct costs related to our Pompe program was primarily due to a $0.2 million decrease in manufacturing costs, partially offset by a $0.1 million increase in preclinical costs.</w:t>
      </w:r>
    </w:p>
    <w:p>
      <w:pPr>
        <w:spacing w:after="0" w:line="17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decrease in direct costs related to our Cystinosis program was primarily due to a $0.2 million decrease in manufacturing costs and a $0.1 million decrease in preclinical costs, partially offset by a $0.1 million increase in clinical costs.</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increase in direct costs related to our Hunter program relates to the $8.0 million one-time, upfront fee we agreed to pay UoM as consideration for the MPSII License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decrease in direct costs related to our Other programs was due to a $0.2 million decrease in preclinical costs.</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increase in unallocated research and development expenses was primarily due to an increase of $5.2 million in personnel-related costs, including non-cash stock-based compensation, as a result of hiring additional personnel in our research and development department and an increase of $2.4 million primarily related to a $0.7 million increase in unallocated facilities costs, a $0.6 million increase in unallocated research costs and a $1.1 million increase in other costs. Personnel-related costs for the three months ended September 30, 2020 and 2019 included non-cash stock-based compensation expense of $2.7 million and $0.9 million, respectively.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jc w:val="both"/>
        <w:ind w:right="260"/>
        <w:spacing w:after="0" w:line="301" w:lineRule="auto"/>
        <w:rPr>
          <w:sz w:val="20"/>
          <w:szCs w:val="20"/>
          <w:color w:val="auto"/>
        </w:rPr>
      </w:pPr>
      <w:r>
        <w:rPr>
          <w:rFonts w:ascii="Arial" w:cs="Arial" w:eastAsia="Arial" w:hAnsi="Arial"/>
          <w:sz w:val="16"/>
          <w:szCs w:val="16"/>
          <w:color w:val="auto"/>
        </w:rPr>
        <w:t>General and administrative expenses were $8.2 million for the three months ended September 30, 2020, compared to $5.0 million for the three months ended September 30, 2019. The increase of $3.2 million was primarily due to an increase of $2.2 million in personnel-related costs, including non-cash stock-based compensation and an increase of $1.0 million, primarily related to an increase in facilities costs, professional fees, and consulting costs. The increase in personnel-related costs was due to the hiring of additional personnel in our general and administrative functions.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117"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Other income was less than $0.1 million, which consists of interest earned on cash and cash equivalents during the three months ended September 30, 2020, compared to $0.9 million for the three months ended September 30, 2019. The decrease was primarily a result of lower yields on our money market funds.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2020 and 2019</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consolidated results of operations for the nine months ended September 30, 2020 and 2019 (in thousands):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8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w w:val="92"/>
              </w:rPr>
              <w:t>Nine Months Ended September 30,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Change</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8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460" w:type="dxa"/>
            <w:vAlign w:val="bottom"/>
          </w:tcPr>
          <w:p>
            <w:pPr>
              <w:ind w:left="480"/>
              <w:spacing w:after="0"/>
              <w:rPr>
                <w:sz w:val="20"/>
                <w:szCs w:val="20"/>
                <w:color w:val="auto"/>
              </w:rPr>
            </w:pPr>
            <w:r>
              <w:rPr>
                <w:rFonts w:ascii="Arial" w:cs="Arial" w:eastAsia="Arial" w:hAnsi="Arial"/>
                <w:sz w:val="18"/>
                <w:szCs w:val="18"/>
                <w:color w:val="auto"/>
              </w:rPr>
              <w:t>Research and development</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67,649</w:t>
            </w:r>
          </w:p>
        </w:tc>
        <w:tc>
          <w:tcPr>
            <w:tcW w:w="120" w:type="dxa"/>
            <w:vAlign w:val="bottom"/>
          </w:tcPr>
          <w:p>
            <w:pPr>
              <w:spacing w:after="0"/>
              <w:rPr>
                <w:sz w:val="19"/>
                <w:szCs w:val="19"/>
                <w:color w:val="auto"/>
              </w:rPr>
            </w:pPr>
          </w:p>
        </w:tc>
        <w:tc>
          <w:tcPr>
            <w:tcW w:w="32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37,755</w:t>
            </w:r>
          </w:p>
        </w:tc>
        <w:tc>
          <w:tcPr>
            <w:tcW w:w="140" w:type="dxa"/>
            <w:vAlign w:val="bottom"/>
          </w:tcPr>
          <w:p>
            <w:pPr>
              <w:spacing w:after="0"/>
              <w:rPr>
                <w:sz w:val="19"/>
                <w:szCs w:val="19"/>
                <w:color w:val="auto"/>
              </w:rPr>
            </w:pPr>
          </w:p>
        </w:tc>
        <w:tc>
          <w:tcPr>
            <w:tcW w:w="2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29,894</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4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General and administrative</w:t>
            </w:r>
          </w:p>
        </w:tc>
        <w:tc>
          <w:tcPr>
            <w:tcW w:w="184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24,515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14,621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9,894</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46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Total operating expenses</w:t>
            </w:r>
          </w:p>
        </w:tc>
        <w:tc>
          <w:tcPr>
            <w:tcW w:w="184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92,164</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52,376</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39,788</w:t>
            </w:r>
          </w:p>
        </w:tc>
        <w:tc>
          <w:tcPr>
            <w:tcW w:w="80" w:type="dxa"/>
            <w:vAlign w:val="bottom"/>
            <w:tcBorders>
              <w:bottom w:val="single" w:sz="8" w:color="CFF0FC"/>
            </w:tcBorders>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(92,164)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(52,376)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(39,788)</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Other income (expense):</w:t>
            </w:r>
          </w:p>
        </w:tc>
        <w:tc>
          <w:tcPr>
            <w:tcW w:w="1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4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income</w:t>
            </w:r>
          </w:p>
        </w:tc>
        <w:tc>
          <w:tcPr>
            <w:tcW w:w="1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(1,440)</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460" w:type="dxa"/>
            <w:vAlign w:val="bottom"/>
          </w:tcPr>
          <w:p>
            <w:pPr>
              <w:ind w:left="240"/>
              <w:spacing w:after="0"/>
              <w:rPr>
                <w:sz w:val="20"/>
                <w:szCs w:val="20"/>
                <w:color w:val="auto"/>
              </w:rPr>
            </w:pPr>
            <w:r>
              <w:rPr>
                <w:rFonts w:ascii="Arial" w:cs="Arial" w:eastAsia="Arial" w:hAnsi="Arial"/>
                <w:sz w:val="18"/>
                <w:szCs w:val="18"/>
                <w:color w:val="auto"/>
              </w:rPr>
              <w:t>Other expenses</w:t>
            </w:r>
          </w:p>
        </w:tc>
        <w:tc>
          <w:tcPr>
            <w:tcW w:w="1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(123)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(73)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46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other income, net</w:t>
            </w:r>
          </w:p>
        </w:tc>
        <w:tc>
          <w:tcPr>
            <w:tcW w:w="18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583</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2,073</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(1,490)</w:t>
            </w:r>
          </w:p>
        </w:tc>
        <w:tc>
          <w:tcPr>
            <w:tcW w:w="80" w:type="dxa"/>
            <w:vAlign w:val="bottom"/>
            <w:tcBorders>
              <w:top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0" w:type="dxa"/>
            <w:vAlign w:val="bottom"/>
            <w:gridSpan w:val="2"/>
          </w:tcPr>
          <w:p>
            <w:pPr>
              <w:ind w:left="1140"/>
              <w:spacing w:after="0"/>
              <w:rPr>
                <w:sz w:val="20"/>
                <w:szCs w:val="20"/>
                <w:color w:val="auto"/>
              </w:rPr>
            </w:pPr>
            <w:r>
              <w:rPr>
                <w:rFonts w:ascii="Arial" w:cs="Arial" w:eastAsia="Arial" w:hAnsi="Arial"/>
                <w:sz w:val="18"/>
                <w:szCs w:val="18"/>
                <w:color w:val="auto"/>
              </w:rPr>
              <w:t>Net loss</w:t>
            </w:r>
          </w:p>
        </w:tc>
        <w:tc>
          <w:tcPr>
            <w:tcW w:w="18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(91,581)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(50,303)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(41,278)</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840" w:type="dxa"/>
            <w:vAlign w:val="bottom"/>
            <w:vMerge w:val="restart"/>
          </w:tcPr>
          <w:p>
            <w:pPr>
              <w:jc w:val="right"/>
              <w:ind w:right="630"/>
              <w:spacing w:after="0"/>
              <w:rPr>
                <w:sz w:val="20"/>
                <w:szCs w:val="20"/>
                <w:color w:val="auto"/>
              </w:rPr>
            </w:pPr>
            <w:r>
              <w:rPr>
                <w:rFonts w:ascii="Arial" w:cs="Arial" w:eastAsia="Arial" w:hAnsi="Arial"/>
                <w:sz w:val="18"/>
                <w:szCs w:val="18"/>
                <w:color w:val="auto"/>
              </w:rPr>
              <w:t>22</w:t>
            </w: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1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8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46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The following table summarizes our research and development expenses incurred during the nine months ended September 30, 2020 and 2019 (in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4"/>
          </w:tcPr>
          <w:p>
            <w:pPr>
              <w:jc w:val="right"/>
              <w:ind w:right="312"/>
              <w:spacing w:after="0"/>
              <w:rPr>
                <w:sz w:val="20"/>
                <w:szCs w:val="20"/>
                <w:color w:val="auto"/>
              </w:rPr>
            </w:pPr>
            <w:r>
              <w:rPr>
                <w:rFonts w:ascii="Arial" w:cs="Arial" w:eastAsia="Arial" w:hAnsi="Arial"/>
                <w:sz w:val="14"/>
                <w:szCs w:val="14"/>
                <w:b w:val="1"/>
                <w:bCs w:val="1"/>
                <w:color w:val="auto"/>
                <w:w w:val="98"/>
              </w:rPr>
              <w:t>Nine Months Ended September 30,</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5"/>
        </w:trPr>
        <w:tc>
          <w:tcPr>
            <w:tcW w:w="54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jc w:val="right"/>
              <w:ind w:right="413"/>
              <w:spacing w:after="0" w:line="155" w:lineRule="exact"/>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ind w:right="412"/>
              <w:spacing w:after="0" w:line="155" w:lineRule="exact"/>
              <w:rPr>
                <w:sz w:val="20"/>
                <w:szCs w:val="20"/>
                <w:color w:val="auto"/>
              </w:rPr>
            </w:pPr>
            <w:r>
              <w:rPr>
                <w:rFonts w:ascii="Arial" w:cs="Arial" w:eastAsia="Arial" w:hAnsi="Arial"/>
                <w:sz w:val="14"/>
                <w:szCs w:val="14"/>
                <w:b w:val="1"/>
                <w:bCs w:val="1"/>
                <w:color w:val="auto"/>
              </w:rPr>
              <w:t>2019</w:t>
            </w: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Direct research and development expenses by program:</w:t>
            </w:r>
          </w:p>
        </w:tc>
        <w:tc>
          <w:tcPr>
            <w:tcW w:w="11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3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tcPr>
          <w:p>
            <w:pPr>
              <w:ind w:left="260"/>
              <w:spacing w:after="0"/>
              <w:rPr>
                <w:sz w:val="20"/>
                <w:szCs w:val="20"/>
                <w:color w:val="auto"/>
              </w:rPr>
            </w:pPr>
            <w:r>
              <w:rPr>
                <w:rFonts w:ascii="Arial" w:cs="Arial" w:eastAsia="Arial" w:hAnsi="Arial"/>
                <w:sz w:val="18"/>
                <w:szCs w:val="18"/>
                <w:color w:val="auto"/>
              </w:rPr>
              <w:t>Fabry</w:t>
            </w:r>
          </w:p>
        </w:tc>
        <w:tc>
          <w:tcPr>
            <w:tcW w:w="1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8,416</w:t>
            </w:r>
          </w:p>
        </w:tc>
        <w:tc>
          <w:tcPr>
            <w:tcW w:w="6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7,214</w:t>
            </w:r>
          </w:p>
        </w:tc>
        <w:tc>
          <w:tcPr>
            <w:tcW w:w="6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Gaucher</w:t>
            </w:r>
          </w:p>
        </w:tc>
        <w:tc>
          <w:tcPr>
            <w:tcW w:w="1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5,775</w:t>
            </w:r>
          </w:p>
        </w:tc>
        <w:tc>
          <w:tcPr>
            <w:tcW w:w="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5,266</w:t>
            </w:r>
          </w:p>
        </w:tc>
        <w:tc>
          <w:tcPr>
            <w:tcW w:w="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tcPr>
          <w:p>
            <w:pPr>
              <w:ind w:left="260"/>
              <w:spacing w:after="0"/>
              <w:rPr>
                <w:sz w:val="20"/>
                <w:szCs w:val="20"/>
                <w:color w:val="auto"/>
              </w:rPr>
            </w:pPr>
            <w:r>
              <w:rPr>
                <w:rFonts w:ascii="Arial" w:cs="Arial" w:eastAsia="Arial" w:hAnsi="Arial"/>
                <w:sz w:val="18"/>
                <w:szCs w:val="18"/>
                <w:color w:val="auto"/>
              </w:rPr>
              <w:t>Pompe</w:t>
            </w: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4,499</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4,189</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Cystinosis</w:t>
            </w:r>
          </w:p>
        </w:tc>
        <w:tc>
          <w:tcPr>
            <w:tcW w:w="1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1,208</w:t>
            </w:r>
          </w:p>
        </w:tc>
        <w:tc>
          <w:tcPr>
            <w:tcW w:w="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918</w:t>
            </w:r>
          </w:p>
        </w:tc>
        <w:tc>
          <w:tcPr>
            <w:tcW w:w="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260"/>
              <w:spacing w:after="0"/>
              <w:rPr>
                <w:sz w:val="20"/>
                <w:szCs w:val="20"/>
                <w:color w:val="auto"/>
              </w:rPr>
            </w:pPr>
            <w:r>
              <w:rPr>
                <w:rFonts w:ascii="Arial" w:cs="Arial" w:eastAsia="Arial" w:hAnsi="Arial"/>
                <w:sz w:val="18"/>
                <w:szCs w:val="18"/>
                <w:color w:val="auto"/>
              </w:rPr>
              <w:t>Hunter</w:t>
            </w: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8,000</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1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4,728</w:t>
            </w:r>
          </w:p>
        </w:tc>
        <w:tc>
          <w:tcPr>
            <w:tcW w:w="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2,846</w:t>
            </w:r>
          </w:p>
        </w:tc>
        <w:tc>
          <w:tcPr>
            <w:tcW w:w="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tcPr>
          <w:p>
            <w:pPr>
              <w:spacing w:after="0"/>
              <w:rPr>
                <w:sz w:val="20"/>
                <w:szCs w:val="20"/>
                <w:color w:val="auto"/>
              </w:rPr>
            </w:pPr>
            <w:r>
              <w:rPr>
                <w:rFonts w:ascii="Arial" w:cs="Arial" w:eastAsia="Arial" w:hAnsi="Arial"/>
                <w:sz w:val="18"/>
                <w:szCs w:val="18"/>
                <w:color w:val="auto"/>
              </w:rPr>
              <w:t>Unallocated research and development expenses:</w:t>
            </w: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Personnel related (including stock-based compensation)</w:t>
            </w:r>
          </w:p>
        </w:tc>
        <w:tc>
          <w:tcPr>
            <w:tcW w:w="1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23,784</w:t>
            </w:r>
          </w:p>
        </w:tc>
        <w:tc>
          <w:tcPr>
            <w:tcW w:w="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12,337</w:t>
            </w:r>
          </w:p>
        </w:tc>
        <w:tc>
          <w:tcPr>
            <w:tcW w:w="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11,447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w:t>
            </w:r>
          </w:p>
        </w:tc>
        <w:tc>
          <w:tcPr>
            <w:tcW w:w="1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11,239</w:t>
            </w:r>
          </w:p>
        </w:tc>
        <w:tc>
          <w:tcPr>
            <w:tcW w:w="3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4,985</w:t>
            </w:r>
          </w:p>
        </w:tc>
        <w:tc>
          <w:tcPr>
            <w:tcW w:w="3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research and development expenses</w:t>
            </w:r>
          </w:p>
        </w:tc>
        <w:tc>
          <w:tcPr>
            <w:tcW w:w="11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67,649</w:t>
            </w:r>
          </w:p>
        </w:tc>
        <w:tc>
          <w:tcPr>
            <w:tcW w:w="3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37,755</w:t>
            </w:r>
          </w:p>
        </w:tc>
        <w:tc>
          <w:tcPr>
            <w:tcW w:w="3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29,894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Research and development expenses were $67.6 million for the nine months ended September 30, 2020, as compared to $37.8 million for the nine months ended September 30, 2019. The increase of $29.9 million was primarily due to an increase of $17.7 million in unallocated research and development expenses, an increase of $8.0 million in direct costs related to the upfront license fee for our Hunter program, an increase of $1.9 million in direct costs related to our Other programs, an increase of $1.2 million in direct costs related to our Fabry program, an increase of $0.5 million in direct costs related to our Gaucher program, an increase of $0.3 million in direct costs related to our Pompe program, and an increase of $0.3 million in direct costs related to our Cystinosis program.</w:t>
      </w:r>
    </w:p>
    <w:p>
      <w:pPr>
        <w:spacing w:after="0" w:line="19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increase in direct costs related to our Fabry program was primarily due to a $2.5 million increase in clinical costs, partially offset by a $1.3 million decrease in preclinical costs.</w:t>
      </w:r>
    </w:p>
    <w:p>
      <w:pPr>
        <w:spacing w:after="0" w:line="17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increase in direct costs related to our Gaucher program was primarily due to a $0.5 million increase in clinical costs and a $0.2 million increase in manufacturing costs, partially offset by a $0.2 million decrease in preclinical costs.</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increase in direct costs related to our Pompe program was primarily due to a $0.4 million increase in preclinical costs, partially offset by a $0.1 million decrease in manufacturing costs.</w:t>
      </w:r>
    </w:p>
    <w:p>
      <w:pPr>
        <w:spacing w:after="0" w:line="17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increase in direct costs related to our Cystinosis program was primarily due to a $0.2 million increase in manufacturing costs and a $0.1 million increase in preclinical costs.</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increase in direct costs related to our Hunter program relates to the $8.0 million one-time, upfront fee we agreed to pay UoM as consideration for the MPSII License Agreement.</w:t>
      </w:r>
    </w:p>
    <w:p>
      <w:pPr>
        <w:spacing w:after="0" w:line="17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increase in direct costs related to our Other programs was primarily due to a $1.5 million increase in manufacturing costs, a $0.2 million increase in clinical costs and a $0.2 million increase in preclinical costs.</w:t>
      </w:r>
    </w:p>
    <w:p>
      <w:pPr>
        <w:spacing w:after="0" w:line="17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increase in unallocated research and development expenses was primarily due to an increase of $11.4 million in personnel-related costs, including non-cash stock-based compensation, as a result of hiring additional personnel in our research and development department and an increase of $6.3 million primarily related to a $2.3 million increase in unallocated facilities costs, a $1.6 million increase in unallocated research costs and a $2.4 million increase in other costs. Personnel-related costs for the nine months ended September 30, 2020 and 2019 included non-cash stock-based compensation expense of $6.1 million and $2.6 million, respectively.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General and administrative expenses were $24.5 million for the nine months ended September 30, 2020, compared to $14.6 million for the nine months ended September 30, 2019. The increase of $9.9 million was primarily due to an increase of $6.4 million in personnel-related costs, including non-cash stock-based compensation and an increase of $3.5 million primarily related to facility costs, professional fees and consulting costs. The increase in personnel-related costs was due to the hiring of additional personnel in our general and administrative functions.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i w:val="1"/>
          <w:iCs w:val="1"/>
          <w:color w:val="auto"/>
        </w:rPr>
        <w:t>Other Income, Net</w:t>
      </w:r>
    </w:p>
    <w:p>
      <w:pPr>
        <w:spacing w:after="0" w:line="117"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Other income was $0.7 million, which consists of interest earned on cash and cash equivalents during the nine months ended September 30, 2020, compared to $2.1 million for the nine months ended September 30, 2019. The decrease was primarily a result of lower yields on our money market funds.</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Since our inception, we have not generated any revenue and have incurred significant operating losses and negative cash flows from our operations. We have funded our operations to date primarily with proceeds from the sale of preferred stock and our common stock through our IPO, our July 2019 Follow-On Offering, our February 2020 Follow-On Offering and our ATM Facility. Through September 30, 2020, we had received gross cash proceeds of</w:t>
      </w:r>
    </w:p>
    <w:p>
      <w:pPr>
        <w:spacing w:after="0" w:line="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$87.5 million from sales of our preferred stock, and gross cash proceeds, before deducting underwriting discounts and commissions and expenses, of $114.7 million, $138.3 million, $100.0 million and $8.5 million from sales of our common stock through our IPO, July 2019 Follow-On Offering, February 2020 Follow-On Offering and ATM Facility, respectively.</w:t>
      </w:r>
    </w:p>
    <w:p>
      <w:pPr>
        <w:spacing w:after="0" w:line="190"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On July 1, 2019, we filed a shelf registration statement on Form S-3 with the SEC, or the July 2019 Shelf, which covers the offering, issuance and sale by us of up to an aggregate of $200.0 million of our common stock, preferred stock, debt securities, warrants and/or units. We simultaneously entered into a Sales Agreement with Cowen and Company, LLC, as sales agent, to provide for the offering, issuance and sale by us of up to $50.0 million of our common stock from time to time in “at-the-market” offerings under the July 2019 Shelf. The July 2019 Shelf was declared effective by the SEC on July 10, 2019.</w:t>
      </w:r>
    </w:p>
    <w:p>
      <w:pPr>
        <w:spacing w:after="0" w:line="157"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In July 2019, we closed the July 2019 Follow-On Offering as an underwritten public offering under the July 2019 Shelf of 7,475,000 shares of our common stock at a public offering price of $18.50 per share, which included 975,000 shares of our common stock resulting from the full exercise of the underwriters’ option to purchase additional shares at the public offering price, less underwriting discounts and commissions. The net proceeds to us from this offering, after deducting underwriting discounts and commissions and other offering expenses payable by us, were approximately $129.5 million.</w:t>
      </w:r>
    </w:p>
    <w:p>
      <w:pPr>
        <w:spacing w:after="0" w:line="15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On December 20, 2019, we filed a shelf registration statement on Form S-3 with the SEC, or the December 2019 Shelf, which covers the offering, issuance and sale by us of up to an aggregate of $250.0 million of our common stock, preferred stock, debt securities, warrants and/or units. The December 2019 Shelf was declared effective by the SEC on January 14, 2020.</w:t>
      </w:r>
    </w:p>
    <w:p>
      <w:pPr>
        <w:spacing w:after="0" w:line="184"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In February 2020, we closed the February 2020 Follow-On Offering as an underwritten public offering under the December 2019 Shelf of 4,350,000 shares of our common stock at a public offering price of $23.00 per share, less underwriting discounts and commissions. The net proceeds to us from this offering, after deducting underwriting discounts and commissions and other offering expenses payable by us, were approximately $93.6 million.</w:t>
      </w:r>
    </w:p>
    <w:p>
      <w:pPr>
        <w:spacing w:after="0" w:line="149"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We did not sell any shares of common stock under the ATM Facility during the quarter ended September 30, 2020. Through September 30, 2020, we sold and issued 384,140 shares of common stock under the ATM Facility for gross proceeds of approximately $8.5 million, and approximately $41.5 million of common stock remained available for future issuance under the ATM Facility. Cash in excess of immediate requirements is invested primarily with a view to liquidity and capital preservation.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each of the periods presented (in thousands):</w:t>
      </w:r>
    </w:p>
    <w:p>
      <w:pPr>
        <w:spacing w:after="0" w:line="230" w:lineRule="exact"/>
        <w:rPr>
          <w:sz w:val="20"/>
          <w:szCs w:val="20"/>
          <w:color w:val="auto"/>
        </w:rPr>
      </w:pPr>
    </w:p>
    <w:p>
      <w:pPr>
        <w:jc w:val="center"/>
        <w:ind w:left="5260"/>
        <w:spacing w:after="0"/>
        <w:rPr>
          <w:sz w:val="20"/>
          <w:szCs w:val="20"/>
          <w:color w:val="auto"/>
        </w:rPr>
      </w:pPr>
      <w:r>
        <w:rPr>
          <w:rFonts w:ascii="Arial" w:cs="Arial" w:eastAsia="Arial" w:hAnsi="Arial"/>
          <w:sz w:val="14"/>
          <w:szCs w:val="14"/>
          <w:b w:val="1"/>
          <w:bCs w:val="1"/>
          <w:color w:val="auto"/>
        </w:rPr>
        <w:t>Nine Months Ended</w:t>
      </w:r>
    </w:p>
    <w:p>
      <w:pPr>
        <w:jc w:val="center"/>
        <w:ind w:left="5260"/>
        <w:spacing w:after="0" w:line="236" w:lineRule="auto"/>
        <w:rPr>
          <w:sz w:val="20"/>
          <w:szCs w:val="20"/>
          <w:color w:val="auto"/>
        </w:rPr>
      </w:pPr>
      <w:r>
        <w:rPr>
          <w:rFonts w:ascii="Arial" w:cs="Arial" w:eastAsia="Arial" w:hAnsi="Arial"/>
          <w:sz w:val="14"/>
          <w:szCs w:val="14"/>
          <w:b w:val="1"/>
          <w:bCs w:val="1"/>
          <w:color w:val="auto"/>
        </w:rPr>
        <w:t>September 30,</w:t>
      </w:r>
    </w:p>
    <w:tbl>
      <w:tblPr>
        <w:tblLayout w:type="fixed"/>
        <w:tblInd w:w="0" w:type="dxa"/>
        <w:tblCellMar>
          <w:top w:w="0" w:type="dxa"/>
          <w:left w:w="0" w:type="dxa"/>
          <w:bottom w:w="0" w:type="dxa"/>
          <w:right w:w="0" w:type="dxa"/>
        </w:tblCellMar>
      </w:tblPr>
      <w:tr>
        <w:trPr>
          <w:trHeight w:val="155"/>
        </w:trPr>
        <w:tc>
          <w:tcPr>
            <w:tcW w:w="1700" w:type="dxa"/>
            <w:vAlign w:val="bottom"/>
          </w:tcPr>
          <w:p>
            <w:pPr>
              <w:spacing w:after="0"/>
              <w:rPr>
                <w:sz w:val="13"/>
                <w:szCs w:val="13"/>
                <w:color w:val="auto"/>
              </w:rPr>
            </w:pPr>
          </w:p>
        </w:tc>
        <w:tc>
          <w:tcPr>
            <w:tcW w:w="3520" w:type="dxa"/>
            <w:vAlign w:val="bottom"/>
            <w:tcBorders>
              <w:bottom w:val="single" w:sz="8" w:color="CFF0FC"/>
            </w:tcBorders>
          </w:tcPr>
          <w:p>
            <w:pPr>
              <w:spacing w:after="0"/>
              <w:rPr>
                <w:sz w:val="13"/>
                <w:szCs w:val="13"/>
                <w:color w:val="auto"/>
              </w:rPr>
            </w:pPr>
          </w:p>
        </w:tc>
        <w:tc>
          <w:tcPr>
            <w:tcW w:w="184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FF0FC"/>
            </w:tcBorders>
          </w:tcPr>
          <w:p>
            <w:pPr>
              <w:spacing w:after="0"/>
              <w:rPr>
                <w:sz w:val="13"/>
                <w:szCs w:val="13"/>
                <w:color w:val="auto"/>
              </w:rPr>
            </w:pPr>
          </w:p>
        </w:tc>
        <w:tc>
          <w:tcPr>
            <w:tcW w:w="6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18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(68,315)</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(49,085)</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(1,096)</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(819)</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18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101,914</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129,964</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520" w:type="dxa"/>
            <w:vAlign w:val="bottom"/>
          </w:tcPr>
          <w:p>
            <w:pPr>
              <w:ind w:left="240"/>
              <w:spacing w:after="0"/>
              <w:rPr>
                <w:sz w:val="20"/>
                <w:szCs w:val="20"/>
                <w:color w:val="auto"/>
              </w:rPr>
            </w:pPr>
            <w:r>
              <w:rPr>
                <w:rFonts w:ascii="Arial" w:cs="Arial" w:eastAsia="Arial" w:hAnsi="Arial"/>
                <w:sz w:val="18"/>
                <w:szCs w:val="18"/>
                <w:color w:val="auto"/>
                <w:w w:val="96"/>
              </w:rPr>
              <w:t>Net increase in cash and cash equivalents</w:t>
            </w:r>
          </w:p>
        </w:tc>
        <w:tc>
          <w:tcPr>
            <w:tcW w:w="1840" w:type="dxa"/>
            <w:vAlign w:val="bottom"/>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32,503</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80,060</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840" w:type="dxa"/>
            <w:vAlign w:val="bottom"/>
            <w:vMerge w:val="restart"/>
          </w:tcPr>
          <w:p>
            <w:pPr>
              <w:jc w:val="right"/>
              <w:ind w:right="1250"/>
              <w:spacing w:after="0"/>
              <w:rPr>
                <w:sz w:val="20"/>
                <w:szCs w:val="20"/>
                <w:color w:val="auto"/>
              </w:rPr>
            </w:pPr>
            <w:r>
              <w:rPr>
                <w:rFonts w:ascii="Arial" w:cs="Arial" w:eastAsia="Arial" w:hAnsi="Arial"/>
                <w:sz w:val="18"/>
                <w:szCs w:val="18"/>
                <w:color w:val="auto"/>
              </w:rPr>
              <w:t>24</w:t>
            </w: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7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8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52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During the nine months ended September 30, 2020, operating activities used $68.3 of cash, cash equivalents and restricted cash, resulting from our net loss of $91.6 million partially offset by cash provided by changes in our operating assets and liabilities of $11.0 million and non-cash charges of $12.3 million. The net changes in our operating assets and liabilities were primarily due to an increase in accrued expenses and other liabilities of $12.9 million due to ongoing preclinical, manufacturing, and clinical trial efforts, a decrease in other assets of $0.2 million, offset by a $0.8 million increase in prepaids and other current assets and a decrease of $1.3 million in accounts payable. The non-cash charges primarily included $11.5 million of stock-based compensation expense and $0.9 million of depreciation and amortization expense.</w:t>
      </w:r>
    </w:p>
    <w:p>
      <w:pPr>
        <w:spacing w:after="0" w:line="70"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During the nine months ended September 30, 2019, operating activities used $49.1 million of cash, cash equivalents and restricted cash, resulting from our net loss of $50.3 million and net cash used by changes in our operating assets and liabilities of $4.2 million, partially offset by non-cash charges of $5.4 million. The net changes in our operating assets and liabilities were primarily due to increases in prepaid expenses and other current assets of</w:t>
      </w:r>
    </w:p>
    <w:p>
      <w:pPr>
        <w:spacing w:after="0" w:line="2" w:lineRule="exact"/>
        <w:rPr>
          <w:sz w:val="20"/>
          <w:szCs w:val="20"/>
          <w:color w:val="auto"/>
        </w:rPr>
      </w:pPr>
    </w:p>
    <w:p>
      <w:pPr>
        <w:ind w:right="220"/>
        <w:spacing w:after="0" w:line="290" w:lineRule="auto"/>
        <w:rPr>
          <w:sz w:val="20"/>
          <w:szCs w:val="20"/>
          <w:color w:val="auto"/>
        </w:rPr>
      </w:pPr>
      <w:r>
        <w:rPr>
          <w:rFonts w:ascii="Arial" w:cs="Arial" w:eastAsia="Arial" w:hAnsi="Arial"/>
          <w:sz w:val="17"/>
          <w:szCs w:val="17"/>
          <w:color w:val="auto"/>
        </w:rPr>
        <w:t>$3.6 million due to ongoing preclinical, manufacturing, and clinical trial efforts and decreases in accounts payable of $1.1 million. The non-cash charges primarily included $4.9 million of stock-based compensation expense and $0.6 million of depreciation and amortization expense.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During the nine months ended September 30, 2020, we used $1.1 million of cash and cash equivalents in investing activities consisting of purchases of property and equipment. During the nine months ended September 30, 2019, we used $0.8 million of cash and cash equivalents in investing activities consisting of purchases of property and equipment.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During the nine months ended September 30, 2020, net cash provided by financing activities was $101.9 million, primarily consisting of net cash proceeds from our February 2020 Follow-On Offering which raised net proceeds of $93.6 million and sales under our ATM Facility which raised net proceeds of $8.1 million. During the nine months ended September 30, 2019, net cash provided by financing activities was $130.0 million, primarily consisting of net cash proceeds of $129.5 million from our July 2019 Follow-On Offering.</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Notwithstanding the impact of the COVID-19 pandemic on our company and the global economy generally, we expect our expenses to increase substantially in connection with our ongoing activities, particularly as we advance the preclinical activities and clinical trials of our product candidates. Our expenses will also increase as we:</w:t>
      </w:r>
    </w:p>
    <w:p>
      <w:pPr>
        <w:spacing w:after="0" w:line="76" w:lineRule="exact"/>
        <w:rPr>
          <w:sz w:val="20"/>
          <w:szCs w:val="20"/>
          <w:color w:val="auto"/>
        </w:rPr>
      </w:pPr>
    </w:p>
    <w:p>
      <w:pPr>
        <w:ind w:left="880" w:right="40" w:hanging="373"/>
        <w:spacing w:after="0" w:line="277" w:lineRule="auto"/>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continue our development of our product candidates, including continuing enrollment in our ongoing Phase 2 clinical trial for AVR-RD-01, the ongoing investigator-sponsored clinical trial of AVR-RD-04 and our ongoing clinical trial of AVR-RD-02;</w:t>
      </w:r>
    </w:p>
    <w:p>
      <w:pPr>
        <w:spacing w:after="0" w:line="62" w:lineRule="exact"/>
        <w:rPr>
          <w:rFonts w:ascii="Arial" w:cs="Arial" w:eastAsia="Arial" w:hAnsi="Arial"/>
          <w:sz w:val="18"/>
          <w:szCs w:val="18"/>
          <w:color w:val="auto"/>
        </w:rPr>
      </w:pPr>
    </w:p>
    <w:p>
      <w:pPr>
        <w:ind w:left="880" w:right="60" w:hanging="373"/>
        <w:spacing w:after="0" w:line="277" w:lineRule="auto"/>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initiate additional clinical trials, including the planned investigator-sponsored clinical trial of AVR-RD-05, and preclinical studies for our other current and future product candidates;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encounter delays or interruptions in our preclinical studies, clinical trials, or supply chain as a result of the COVID-19 pandemic;</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seek to identify and develop or in-license or acquire additional product candidates and technologies;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 xml:space="preserve">seek to industrialize our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lentiviral gene therapy approach into a robust, scalable and, if approved, commercially viable process;</w:t>
      </w:r>
    </w:p>
    <w:p>
      <w:pPr>
        <w:spacing w:after="0" w:line="128" w:lineRule="exact"/>
        <w:rPr>
          <w:rFonts w:ascii="Arial" w:cs="Arial" w:eastAsia="Arial" w:hAnsi="Arial"/>
          <w:sz w:val="17"/>
          <w:szCs w:val="17"/>
          <w:color w:val="auto"/>
        </w:rPr>
      </w:pPr>
    </w:p>
    <w:p>
      <w:pPr>
        <w:ind w:left="880" w:hanging="373"/>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seek marketing approvals for our product candidates that successfully complete clinical trials, if any;</w:t>
      </w:r>
    </w:p>
    <w:p>
      <w:pPr>
        <w:spacing w:after="0" w:line="117" w:lineRule="exact"/>
        <w:rPr>
          <w:rFonts w:ascii="Arial" w:cs="Arial" w:eastAsia="Arial" w:hAnsi="Arial"/>
          <w:sz w:val="18"/>
          <w:szCs w:val="18"/>
          <w:color w:val="auto"/>
        </w:rPr>
      </w:pPr>
    </w:p>
    <w:p>
      <w:pPr>
        <w:ind w:left="880" w:right="560" w:hanging="373"/>
        <w:spacing w:after="0" w:line="277" w:lineRule="auto"/>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establish a sales, marketing and distribution infrastructure to commercialize any product candidates for which we may obtain marketing approval;</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hire and retain additional personnel, such as clinical, quality control, commercial and scientific personnel;</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1" w:name="page32"/>
    <w:bookmarkEnd w:id="31"/>
    <w:p>
      <w:pPr>
        <w:ind w:left="880" w:right="280" w:hanging="373"/>
        <w:spacing w:after="0" w:line="277"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expand our infrastructure, office space and facilities to accommodate our growing employee base, including adding equipment and physical infrastructure to support our research and development; and</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continue to incur additional public company-related costs.</w:t>
      </w:r>
    </w:p>
    <w:p>
      <w:pPr>
        <w:spacing w:after="0" w:line="225"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auto"/>
        </w:rPr>
        <w:t>We believe that our existing cash and cash equivalents as of September 30, 2020 will enable us to fund our operating expenses and capital expenditure requirements into the second half of 2022. We have based these estimates on assumptions that may prove to be wrong, and we could utilize our available capital resources sooner than we expect. If we receive regulatory approval for any of our product candidates, we expect to incur significant commercialization expenses related to product manufacturing, sales, marketing and distribution, depending on where we choose to commercialize.</w:t>
      </w:r>
    </w:p>
    <w:p>
      <w:pPr>
        <w:spacing w:after="0" w:line="15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Until such time, if ever, that we can generate product revenue sufficient to achieve profitability, we expect to finance our cash needs through a combination of equity offerings, debt financings, collaboration agreements, government and other third-party funding, strategic alliances, licensing arrangements or marketing and distribution arrangements. Debt financing and preferred equity financing, if available, may involve agreements that include covenants limiting or restricting our ability to take specific actions, such as incurring additional debt, making capital expenditures or declaring dividends. If we raise additional funds through government and other third-party funding, collaboration agreements, strategic alliances, licensing arrangements or marketing and distribution arrangements,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products or product candidates that we would otherwise prefer to develop and market ourselves.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The disclosure of our contractual obligations and commitments is set forth under the heading “Management’s Discussion and Analysis of Financial Condition and Results of Operations—Contractual Obligations and Commitments” in our Annual Report on Form 10-K for the fiscal year ended December 31, 2019, filed with the SEC on March 16, 2020. There have been no significant changes to the table contained therein as of September 30, 2020.</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consolidated financial statements are prepared in accordance with generally accepted accounting principles in the United States. The preparation of our consolidated financial statements and related disclosures requires us to make estimates and judgments that affect the reported amounts of assets, liabilities, revenue, costs and expenses, and the disclosure of contingent assets and liabilities in our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 During the nine months ended September 30, 2020, there were no material changes to our critical accounting policies. Our critical accounting policies are described under the heading “Management’s Discussion and Analysis of Financial Condition and Results of Operations— Critical Accounting Policies and Significant Judgments and Estimates” in our Annual Report on Form 10-K for the fiscal year ended December 31, 2019, which was filed with the SEC on March 16, 2020, and the notes to the consolidated financial statements included in Item 1, “</w:t>
      </w:r>
      <w:r>
        <w:rPr>
          <w:rFonts w:ascii="Arial" w:cs="Arial" w:eastAsia="Arial" w:hAnsi="Arial"/>
          <w:sz w:val="17"/>
          <w:szCs w:val="17"/>
          <w:i w:val="1"/>
          <w:iCs w:val="1"/>
          <w:color w:val="auto"/>
        </w:rPr>
        <w:t>Condensed Consolidated Unaudited Financial Statements</w:t>
      </w:r>
      <w:r>
        <w:rPr>
          <w:rFonts w:ascii="Arial" w:cs="Arial" w:eastAsia="Arial" w:hAnsi="Arial"/>
          <w:sz w:val="17"/>
          <w:szCs w:val="17"/>
          <w:color w:val="auto"/>
        </w:rPr>
        <w:t>,” of this Quarterly Report on Form 10-Q.</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121"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We are an “emerging growth company,” as defined in the Jumpstart Our Business Startups Act of 2012, or the JOBS Act, and we may take advantage of certain exemptions from various reporting requirements that are applicable to other public companies that are not emerging growth companies. We may take advantage of these exemptions until we are no longer an emerging growth company. Section 107 of the JOBS Act provides that an emerging growth company can take advantage of the extended transition period afforded by the JOBS Act for the implementation of new or revised accounting standards.</w:t>
      </w:r>
    </w:p>
    <w:p>
      <w:pPr>
        <w:spacing w:after="0" w:line="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have elected to use the extended transition period for complying with new or revised accounting standards and, as a result of this election, our financial statements may not be comparable to companies that comply with public company effective dates. We may take advantage of these exemptions up until the last day of the fiscal year following the fifth anniversary of our IPO or such earlier time that we are no longer an emerging growth company. We would cease to be an emerging growth company if we have more than $1.07 billion in annual revenue, we have more than $700.0 million in market value of our stock held by non-affiliates (and we have been a public company for at least 12 months and have filed one annual report on Form 10-K) or we issue more than $1.0 billion of non-convertible debt securities over a three-year period.</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As of September 30, 2020, we did not have any significant off-balance sheet arrangements, as defined in Item 303(a)(4)(ii) of Regulation S-K promulgated under the Exchange Act.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jc w:val="both"/>
        <w:ind w:right="400"/>
        <w:spacing w:after="0" w:line="263" w:lineRule="auto"/>
        <w:rPr>
          <w:sz w:val="20"/>
          <w:szCs w:val="20"/>
          <w:color w:val="auto"/>
        </w:rPr>
      </w:pPr>
      <w:r>
        <w:rPr>
          <w:rFonts w:ascii="Arial" w:cs="Arial" w:eastAsia="Arial" w:hAnsi="Arial"/>
          <w:sz w:val="18"/>
          <w:szCs w:val="18"/>
          <w:color w:val="auto"/>
        </w:rPr>
        <w:t xml:space="preserve">A description of recently issued accounting pronouncements that may potentially impact our financial position and results of operations is disclosed in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to our consolidated financial statements appearing at the beginning of this Quarterly Report on Form 10-Q.</w:t>
      </w:r>
    </w:p>
    <w:p>
      <w:pPr>
        <w:spacing w:after="0" w:line="28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As of September 30, 2020, we had cash and cash equivalents of $219.5 million, which consisted of primarily money market funds. Our primary exposure to market risk is interest rate sensitivity, which is affected by changes in the general level of U.S. interest rates, particularly because our cash equivalents are in held in short-term money market funds. Due to short-term duration of our investment portfolio and the low risk profile of our investments, an immediate 100 basis point change in interest rates would not have a material effect on the fair market value of our portfolio.</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1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are exposed to foreign exchange rate risk. Our headquarters are located in the United States, where the majority of our general and administrative expenses and research and development costs are incurred in U.S. dollars. A portion of our research and development costs are incurred by our subsidiaries in Australia and Canada, whose functional currencies are the U.S. dollar but engage in transactions in Australian dollars and Canadian dollars, respectively. During each of the three months ended September 30, 2020 and 2019, we recognized foreign currency transaction losses of $74 thousand and $6 thousand, respectively. During each of the nine months ended September 30, 2020 and 2019, we recognized foreign currency transaction losses of $123 thousand and $74 thousand, respectively These losses primarily related to unrealized and realized foreign currency gains and losses as a result of transactions entered into by our Australian and Canadian subsidiaries in currencies other than the U.S. dollar. These foreign currency transaction gains and losses were recorded in other expense, net in our consolidated statements of operations. We believe that a 10% change in the exchange rate between the U.S. dollar, Australian dollar and Canadian dollar would not have a material impact on our financial position or results of operations.</w:t>
      </w:r>
    </w:p>
    <w:p>
      <w:pPr>
        <w:spacing w:after="0" w:line="166"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As we continue to grow our business, our results of operations and cash flows will be subject to fluctuations due to changes in foreign currency exchange rates, which could adversely impact our results of operations. To date, we have not entered into any foreign currency hedging contracts to mitigate our exposure to foreign currency exchange risk.</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3" w:name="page34"/>
    <w:bookmarkEnd w:id="33"/>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Our management, with the participation of our Chief Executive Officer and our Chief Financial Officer (our principal executive officer and principal financial officer, respectively), evaluated the effectiveness of our disclosure controls and procedures as of September 30, 2020.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While we continue to evaluate our disclosure controls and procedures, including new procedures and processes relating to our internal control over financial reporting, based on the evaluation of our disclosure controls and procedures as of September 30, 2020, our Chief Executive Officer and Chief Financial Officer concluded that, as a result of the material weaknesses in our internal control over financial reporting as described below and in Part II, Item 1A. of this Quarterly Report on Form 10-Q, our disclosure controls and procedures were not effective as of September 30, 2020. Notwithstanding the material weaknesses, our management has concluded that the financial statements included elsewhere in this report present fairly, in all material respects, our financial position, results of operations, changes in stockholders’ equity and cash flows in conformity with U.S. GAAP.</w:t>
      </w:r>
    </w:p>
    <w:p>
      <w:pPr>
        <w:spacing w:after="0" w:line="220"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In our Annual Report on Form 10-K for the year ended December 31, 2018, we reported material weaknesses in our internal control over financial reporting related to deficiencies in our controls over the financial statement close process, including over complex accounting issues, expense classification and accrued research and development expenses, as well as the cash disbursement process. During 2019 and the first three quarters of 2020, we took a number of actions, including the efforts outlined below, designed to improve our internal control over financial reporting to remediate these material weaknesses. These efforts, which we have continued to test through the first three quarters of 2020, include:</w:t>
      </w:r>
    </w:p>
    <w:p>
      <w:pPr>
        <w:spacing w:after="0" w:line="68" w:lineRule="exact"/>
        <w:rPr>
          <w:sz w:val="20"/>
          <w:szCs w:val="20"/>
          <w:color w:val="auto"/>
        </w:rPr>
      </w:pPr>
    </w:p>
    <w:p>
      <w:pPr>
        <w:ind w:left="880" w:right="440" w:hanging="373"/>
        <w:spacing w:after="0" w:line="277"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hiring additional qualified accounting and financial planning and analysis personnel, including an Assistant Controller, Senior Director of Financial Planning and Analysis, and a Vice President, Controller;</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conducting a review of our IT infrastructure, personnel and services, and hiring a Senior Director of Information Technology;</w:t>
      </w:r>
    </w:p>
    <w:p>
      <w:pPr>
        <w:spacing w:after="0" w:line="117" w:lineRule="exact"/>
        <w:rPr>
          <w:rFonts w:ascii="Arial" w:cs="Arial" w:eastAsia="Arial" w:hAnsi="Arial"/>
          <w:sz w:val="18"/>
          <w:szCs w:val="18"/>
          <w:color w:val="auto"/>
        </w:rPr>
      </w:pPr>
    </w:p>
    <w:p>
      <w:pPr>
        <w:ind w:left="880" w:right="220" w:hanging="373"/>
        <w:spacing w:after="0" w:line="277"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engaging a professional accounting services firm to help us assess and commence documentation of our internal controls for complying with the Sarbanes-Oxley Act of 2002;</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strengthening, formalizing, documenting and testing accounting processes and internal controls;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engaging consultants to provide additional technical accounting expertise; and</w:t>
      </w:r>
    </w:p>
    <w:p>
      <w:pPr>
        <w:spacing w:after="0" w:line="117" w:lineRule="exact"/>
        <w:rPr>
          <w:rFonts w:ascii="Arial" w:cs="Arial" w:eastAsia="Arial" w:hAnsi="Arial"/>
          <w:sz w:val="18"/>
          <w:szCs w:val="18"/>
          <w:color w:val="auto"/>
        </w:rPr>
      </w:pPr>
    </w:p>
    <w:p>
      <w:pPr>
        <w:ind w:left="880" w:right="380" w:hanging="373"/>
        <w:spacing w:after="0" w:line="277"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implementing new financial software systems including a purchase requisition system, expense reporting system and a system to track and account for stock-based awards to automate these processes.</w:t>
      </w:r>
    </w:p>
    <w:p>
      <w:pPr>
        <w:spacing w:after="0" w:line="19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believe significant progress was made in 2019 and during the first three quarters of 2020 to enhance and strengthen our internal control over financial reporting. However, while we believe our internal controls were properly designed and implemented as of December 31, 2019, they were not in all cases in place for a sufficient period of time to demonstrate operating effectiveness as of December 31, 2019. As a result, management concluded that the material weaknesses were not fully remediated as of December 31, 2019 or September 30, 2020.</w:t>
      </w:r>
    </w:p>
    <w:p>
      <w:pPr>
        <w:spacing w:after="0" w:line="227" w:lineRule="exact"/>
        <w:rPr>
          <w:sz w:val="20"/>
          <w:szCs w:val="20"/>
          <w:color w:val="auto"/>
        </w:rPr>
      </w:pPr>
    </w:p>
    <w:p>
      <w:pPr>
        <w:ind w:right="400"/>
        <w:spacing w:after="0" w:line="311" w:lineRule="auto"/>
        <w:rPr>
          <w:sz w:val="20"/>
          <w:szCs w:val="20"/>
          <w:color w:val="auto"/>
        </w:rPr>
      </w:pPr>
      <w:r>
        <w:rPr>
          <w:rFonts w:ascii="Arial" w:cs="Arial" w:eastAsia="Arial" w:hAnsi="Arial"/>
          <w:sz w:val="16"/>
          <w:szCs w:val="16"/>
          <w:color w:val="auto"/>
        </w:rPr>
        <w:t>The measures we are implementing are subject to continued management review supported by confirmation and testing, as well as audit committee oversight. Management remains committed to remediating these material weaknesses. We will continue to implement measures to remedy our internal control deficiencies, though there can be no assurance that our efforts will be successful or avoid potential future material weaknesses.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Other than the changes intended to remediate the material weaknesses noted above, no change in our internal control over financial reporting (as defined in Rules 13a-15(f) and 15d-15(f) under the Exchange Act) occurred during the nine months ended September 30, 2020 that has materially affected, or is reasonably likely to materially affect, our internal control over financial reporting.</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4" w:name="page35"/>
    <w:bookmarkEnd w:id="34"/>
    <w:p>
      <w:pPr>
        <w:jc w:val="center"/>
        <w:ind w:right="-5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From time to time, we may become subject to various legal proceedings and claims that arise in the ordinary course of our business activities. Although the results of litigation and claims cannot be predicted with certainty, as of September 30, 2020, we do not believe we are party to any claim or litigation the outcome of which, if determined adversely to us, would individually or in the aggregate be reasonably expected to have a material adverse effect on our business. Regardless of the outcome, litigation can have an adverse impact on us because of defense and settlement costs, diversion of management resources and other factors.</w:t>
      </w:r>
    </w:p>
    <w:p>
      <w:pPr>
        <w:spacing w:after="0" w:line="29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following risks and uncertainties, together with all other information in this Quarterly Report on Form 10-Q, including our consolidated financial statements and related notes and “Management’s Discussion and Analysis of Financial Condition and Results of Operations,” as well as our other filings with the Securities and Exchange Commission, or the SEC, before investing in our common stock. Any of the risk factors we describe below could adversely affect our business, financial condition or results of operations. The market price of our common stock could decline if one or more of these risks or uncertainties were to occur, which may cause you to lose all or part of the money you paid to buy our common stock. Additional risks that are currently unknown to us or that we currently believe to be immaterial may also impair our business. Certain statements below are forward-looking statements. See “Forward-Looking Information” in this Quarterly Report on Form 10-Q.</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financial position and need for additional capital</w:t>
      </w:r>
    </w:p>
    <w:p>
      <w:pPr>
        <w:spacing w:after="0" w:line="12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incurred net losses since inception. We expect to incur net losses for the foreseeable future and may never achieve or maintain profitability.</w:t>
      </w:r>
    </w:p>
    <w:p>
      <w:pPr>
        <w:spacing w:after="0" w:line="152"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Since inception, we have incurred net losses. We incurred net losses of $73.0 million and $46.4 million for the years ended December 31, 2019 and 2018, respectively, and $91.6 million for the nine months ended September 30, 2020. We historically financed our operations primarily through private placements of our preferred stock and, more recently, our initial public offering and follow-on public offerings of our common stock, as well as our ATM Facility. We have devoted substantially all of our efforts to research and development, including clinical and preclinical development of our product candidates, as well as assembling our team. We expect that it will be several years, if ever, before we have commercialized any product candidates. We expect to continue to incur significant expenses and increasing operating losses for the foreseeable future. We anticipate that our expenses will increase substantially if, and as, we:</w:t>
      </w:r>
    </w:p>
    <w:p>
      <w:pPr>
        <w:spacing w:after="0" w:line="87" w:lineRule="exact"/>
        <w:rPr>
          <w:sz w:val="20"/>
          <w:szCs w:val="20"/>
          <w:color w:val="auto"/>
        </w:rPr>
      </w:pPr>
    </w:p>
    <w:p>
      <w:pPr>
        <w:ind w:left="880" w:right="20" w:hanging="373"/>
        <w:spacing w:after="0" w:line="277"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continue our development of our product candidates, including continuing enrollment in our ongoing Phase 2 clinical trial for AVR-RD-01, the investigator-sponsored Phase 1/2 clinical trial for AVR-RD-04 and our Phase 1/2 clinical trial for AVR-RD-02;</w:t>
      </w:r>
    </w:p>
    <w:p>
      <w:pPr>
        <w:spacing w:after="0" w:line="62" w:lineRule="exact"/>
        <w:rPr>
          <w:rFonts w:ascii="Arial" w:cs="Arial" w:eastAsia="Arial" w:hAnsi="Arial"/>
          <w:sz w:val="18"/>
          <w:szCs w:val="18"/>
          <w:color w:val="auto"/>
        </w:rPr>
      </w:pPr>
    </w:p>
    <w:p>
      <w:pPr>
        <w:ind w:left="880" w:right="440" w:hanging="373"/>
        <w:spacing w:after="0" w:line="277"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initiate additional clinical trials, including the planned investigator-sponsored clinical trial of AVR-RD-05, and preclinical studies for our current and future product candidates;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experience delays or interruptions in preclinical studies, clinical trials, or our supply chain due to the COVID-19 pandemic;</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seek to identify and develop or in-license additional product candidates;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seek marketing approvals for our product candidates that successfully complete clinical trials, if any;</w:t>
      </w:r>
    </w:p>
    <w:p>
      <w:pPr>
        <w:spacing w:after="0" w:line="117" w:lineRule="exact"/>
        <w:rPr>
          <w:rFonts w:ascii="Arial" w:cs="Arial" w:eastAsia="Arial" w:hAnsi="Arial"/>
          <w:sz w:val="18"/>
          <w:szCs w:val="18"/>
          <w:color w:val="auto"/>
        </w:rPr>
      </w:pPr>
    </w:p>
    <w:p>
      <w:pPr>
        <w:ind w:left="880" w:right="540" w:hanging="373"/>
        <w:spacing w:after="0" w:line="277"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establish a sales, marketing and distribution infrastructure to commercialize any product candidates for which we may obtain marketing approval;</w:t>
      </w:r>
    </w:p>
    <w:p>
      <w:pPr>
        <w:spacing w:after="0" w:line="62" w:lineRule="exact"/>
        <w:rPr>
          <w:rFonts w:ascii="Arial" w:cs="Arial" w:eastAsia="Arial" w:hAnsi="Arial"/>
          <w:sz w:val="18"/>
          <w:szCs w:val="18"/>
          <w:color w:val="auto"/>
        </w:rPr>
      </w:pPr>
    </w:p>
    <w:p>
      <w:pPr>
        <w:ind w:left="880" w:right="560" w:hanging="373"/>
        <w:spacing w:after="0" w:line="277"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continue our implementation of our plato platform as we seek to industrialize our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lentiviral gene therapy approach into a robust, scalable and, if approved, commercially viable process;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hire and retain additional personnel, such as clinical, quality control, commercial and scientific personnel;</w:t>
      </w:r>
    </w:p>
    <w:p>
      <w:pPr>
        <w:spacing w:after="0" w:line="117" w:lineRule="exact"/>
        <w:rPr>
          <w:rFonts w:ascii="Arial" w:cs="Arial" w:eastAsia="Arial" w:hAnsi="Arial"/>
          <w:sz w:val="18"/>
          <w:szCs w:val="18"/>
          <w:color w:val="auto"/>
        </w:rPr>
      </w:pPr>
    </w:p>
    <w:p>
      <w:pPr>
        <w:ind w:left="880" w:right="240" w:hanging="373"/>
        <w:spacing w:after="0" w:line="277"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expand our office space, infrastructure and facilities to accommodate our growing employee base, including adding equipment and physical infrastructure to support our research and development; and</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continue to incur additional public company-related costs.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To become and remain profitable, we must develop and eventually commercialize product candidates with significant market potential. This will require us to be successful in a range of challenging activities, and our expenses will increase substantially as we</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35" w:name="page36"/>
    <w:bookmarkEnd w:id="35"/>
    <w:p>
      <w:pPr>
        <w:ind w:right="20"/>
        <w:spacing w:after="0" w:line="273" w:lineRule="auto"/>
        <w:rPr>
          <w:sz w:val="20"/>
          <w:szCs w:val="20"/>
          <w:color w:val="auto"/>
        </w:rPr>
      </w:pPr>
      <w:r>
        <w:rPr>
          <w:rFonts w:ascii="Arial" w:cs="Arial" w:eastAsia="Arial" w:hAnsi="Arial"/>
          <w:sz w:val="17"/>
          <w:szCs w:val="17"/>
          <w:color w:val="auto"/>
        </w:rPr>
        <w:t>seek to complete preclinical and clinical trials of our product candidates, and manufacture, market and sell these or any future product candidates for which we may obtain marketing approval, if any, and satisfy any post-marketing requirements. We may never succeed in any or all of these activities and, even if we do, we may never generate revenues that are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 A decline in the value of our Company also could cause you to lose all or part of your investment.</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never generated revenue from product sales and do not expect to do so for the next several years, if ever.</w:t>
      </w:r>
    </w:p>
    <w:p>
      <w:pPr>
        <w:spacing w:after="0" w:line="117" w:lineRule="exact"/>
        <w:rPr>
          <w:sz w:val="20"/>
          <w:szCs w:val="20"/>
          <w:color w:val="auto"/>
        </w:rPr>
      </w:pPr>
    </w:p>
    <w:p>
      <w:pPr>
        <w:jc w:val="both"/>
        <w:ind w:right="300"/>
        <w:spacing w:after="0" w:line="259" w:lineRule="auto"/>
        <w:rPr>
          <w:sz w:val="20"/>
          <w:szCs w:val="20"/>
          <w:color w:val="auto"/>
        </w:rPr>
      </w:pPr>
      <w:r>
        <w:rPr>
          <w:rFonts w:ascii="Arial" w:cs="Arial" w:eastAsia="Arial" w:hAnsi="Arial"/>
          <w:sz w:val="18"/>
          <w:szCs w:val="18"/>
          <w:color w:val="auto"/>
        </w:rPr>
        <w:t>Our ability to generate revenue from product sales and achieve profitability depends on our ability, alone or with collaborative partners, to successfully complete the development of, and obtain the regulatory approvals necessary to commercialize, our product candidates. We do not anticipate generating revenues from product sales for the next several years, if ever. Our ability to generate future revenues from product sales depends heavily on our, or our collaborators’, success in:</w:t>
      </w:r>
    </w:p>
    <w:p>
      <w:pPr>
        <w:spacing w:after="0" w:line="79" w:lineRule="exact"/>
        <w:rPr>
          <w:sz w:val="20"/>
          <w:szCs w:val="20"/>
          <w:color w:val="auto"/>
        </w:rPr>
      </w:pPr>
    </w:p>
    <w:p>
      <w:pPr>
        <w:ind w:left="880" w:right="420" w:hanging="373"/>
        <w:spacing w:after="0" w:line="277"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completing research and preclinical and clinical development of our product candidates and identifying new lentiviral-based gene therapy product candidates;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seeking and obtaining regulatory and marketing approvals for product candidates for which we complete clinical trials;</w:t>
      </w:r>
    </w:p>
    <w:p>
      <w:pPr>
        <w:spacing w:after="0" w:line="117" w:lineRule="exact"/>
        <w:rPr>
          <w:rFonts w:ascii="Arial" w:cs="Arial" w:eastAsia="Arial" w:hAnsi="Arial"/>
          <w:sz w:val="18"/>
          <w:szCs w:val="18"/>
          <w:color w:val="auto"/>
        </w:rPr>
      </w:pPr>
    </w:p>
    <w:p>
      <w:pPr>
        <w:ind w:left="880" w:right="540" w:hanging="373"/>
        <w:spacing w:after="0" w:line="277"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launching and commercializing product candidates for which we obtain regulatory and marketing approval by establishing a sales force, marketing and distribution infrastructure or, alternatively, collaborating with a commercialization partner;</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qualifying for adequate coverage and reimbursement by government and third-party payors for our product candidates;</w:t>
      </w:r>
    </w:p>
    <w:p>
      <w:pPr>
        <w:spacing w:after="0" w:line="117" w:lineRule="exact"/>
        <w:rPr>
          <w:rFonts w:ascii="Arial" w:cs="Arial" w:eastAsia="Arial" w:hAnsi="Arial"/>
          <w:sz w:val="18"/>
          <w:szCs w:val="18"/>
          <w:color w:val="auto"/>
        </w:rPr>
      </w:pPr>
    </w:p>
    <w:p>
      <w:pPr>
        <w:ind w:left="880" w:hanging="373"/>
        <w:spacing w:after="0" w:line="342" w:lineRule="auto"/>
        <w:tabs>
          <w:tab w:leader="none" w:pos="8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establishing and maintaining supply and manufacturing processes and relationships with third parties that can provide adequate, in both amount and quality, products and services to support clinical development and the market demand for our product candidates, if approved;</w:t>
      </w:r>
    </w:p>
    <w:p>
      <w:pPr>
        <w:spacing w:after="0" w:line="15" w:lineRule="exact"/>
        <w:rPr>
          <w:rFonts w:ascii="Arial" w:cs="Arial" w:eastAsia="Arial" w:hAnsi="Arial"/>
          <w:sz w:val="16"/>
          <w:szCs w:val="16"/>
          <w:color w:val="auto"/>
        </w:rPr>
      </w:pPr>
    </w:p>
    <w:p>
      <w:pPr>
        <w:ind w:left="880" w:hanging="373"/>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obtaining market acceptance of our product candidates, if approved, as a viable treatment option;</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addressing any competing technological and market developments;</w:t>
      </w:r>
    </w:p>
    <w:p>
      <w:pPr>
        <w:spacing w:after="0" w:line="117" w:lineRule="exact"/>
        <w:rPr>
          <w:rFonts w:ascii="Arial" w:cs="Arial" w:eastAsia="Arial" w:hAnsi="Arial"/>
          <w:sz w:val="18"/>
          <w:szCs w:val="18"/>
          <w:color w:val="auto"/>
        </w:rPr>
      </w:pPr>
    </w:p>
    <w:p>
      <w:pPr>
        <w:ind w:left="880" w:right="400" w:hanging="373"/>
        <w:spacing w:after="0" w:line="277"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into which we may enter and performing our obligations under such arrangements; and</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225"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Even if one or more of the product candidates that we develop is approved for commercial sale, we anticipate incurring significant costs associated with commercializing any approved product candidate. Our expenses could increase beyond expectations if we are required by the FDA or other foreign regulatory authorities to perform clinical and other studies in addition to those that we currently anticipate. Even if we are able to generate revenues from the sale of any approved products, we may not become profitable and may need to obtain additional funding to continue operations.</w:t>
      </w:r>
    </w:p>
    <w:p>
      <w:pPr>
        <w:spacing w:after="0" w:line="27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will need additional funding, which may not be available on acceptable terms, or at all. Failure to obtain this necessary capital when needed may force us to delay, limit or terminate our product development efforts or other operations.</w:t>
      </w:r>
    </w:p>
    <w:p>
      <w:pPr>
        <w:spacing w:after="0" w:line="6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As of September 30, 2020, we had cash and cash equivalents of $219.5 million. We believe that our existing cash and cash equivalents as of September 30, 2020 will enable us to fund our operating expenses and capital expenditure requirements into the second half of 2022. This forecast of cash resources is forward-looking information that involves risks and uncertainties, and the actual amount of our expenses could vary materially and adversely as a result of a number of factors. We have based our estimates on assumptions that may prove to be wrong, and our expenses could prove to be significantly higher than we currently anticipate.</w:t>
      </w:r>
    </w:p>
    <w:p>
      <w:pPr>
        <w:spacing w:after="0" w:line="188"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We expect our expenses to increase in connection with our ongoing activities, particularly as we continue the research and development of, initiate further clinical trials of and seek marketing approval for, our product candidates and continue to enhance and optimize our vector technology and manufacturing processes. For example, as part of our registration strategy for AVR-RD-01, we are evaluating expanding our clinical development program in support of optimizing the potential for a broad label. Such expansion, if implemented, could require significant additional development costs for AVR-RD-01. In addition, if we obtain marketing approval for any of our product candidates, we expect to incur significant expenses related to product sales, medical affairs, marketing, manufacturing and distribution. Furthermore, we expect to continue to incur additional costs associated with operating as a public company. Accordingly, we will need to obtain substantial additional funding in connection with our continuing operations. If we are unable to raise capital when needed or on reasonable terms, we would be forced to delay, reduce or eliminate certain of our research and development programs. Our future capital requirements will depend on many factors, including:</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36" w:name="page37"/>
    <w:bookmarkEnd w:id="36"/>
    <w:p>
      <w:pPr>
        <w:ind w:left="880" w:right="320" w:hanging="373"/>
        <w:spacing w:after="0" w:line="277"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scope, progress, results and costs of drug discovery, laboratory testing, preclinical development and clinical trials for our other product candidates, including the extent of any impacts from the COVID-19 pandemic on these activities;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17" w:lineRule="exact"/>
        <w:rPr>
          <w:rFonts w:ascii="Arial" w:cs="Arial" w:eastAsia="Arial" w:hAnsi="Arial"/>
          <w:sz w:val="18"/>
          <w:szCs w:val="18"/>
          <w:color w:val="auto"/>
        </w:rPr>
      </w:pPr>
    </w:p>
    <w:p>
      <w:pPr>
        <w:ind w:left="880" w:right="540" w:hanging="373"/>
        <w:spacing w:after="0" w:line="277"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of future activities, including product sales, medical affairs, marketing, manufacturing and distribution, for any of our product candidates for which we receive marketing approval;</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associated with our manufacturing process development and evaluation of third-party manufacturers;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revenue, if any, received from commercial sale of our products, should any of our product candidates receive marketing approval;</w:t>
      </w:r>
    </w:p>
    <w:p>
      <w:pPr>
        <w:spacing w:after="0" w:line="128" w:lineRule="exact"/>
        <w:rPr>
          <w:rFonts w:ascii="Arial" w:cs="Arial" w:eastAsia="Arial" w:hAnsi="Arial"/>
          <w:sz w:val="17"/>
          <w:szCs w:val="17"/>
          <w:color w:val="auto"/>
        </w:rPr>
      </w:pPr>
    </w:p>
    <w:p>
      <w:pPr>
        <w:ind w:left="880" w:right="360" w:hanging="373"/>
        <w:spacing w:after="0" w:line="277"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rights and defending intellectual property-related claims;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terms of our current and any future license agreements and collaborations;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 candidates, technologies and intellectual property.</w:t>
      </w:r>
    </w:p>
    <w:p>
      <w:pPr>
        <w:spacing w:after="0" w:line="22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Identifying potential product candidates and conducting preclinical testing and clinical trials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 Our product revenues, if any, will be derived from or based on sales of products that may not be commercially available for many years, if at all. Accordingly, we will need to continue to rely on additional financing to achieve our business objectives. Adequate additional financing may not be available to us on acceptable terms, or at all.</w:t>
      </w: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Raising additional capital may cause dilution to our existing stockholders, restrict our operations or cause us to relinquish valuable rights.</w:t>
      </w:r>
    </w:p>
    <w:p>
      <w:pPr>
        <w:spacing w:after="0" w:line="140"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may seek additional capital through a combination of public and private equity offerings, debt financings, strategic partnerships and alliances and licensing arrangements. To the extent that we raise additional capital through the sale of equity, convertible debt securities or other equity-based derivative securities, your ownership interest will be diluted and the terms may include liquidation or other preferences that adversely affect your rights as a stockholder. Any additional indebtedness we incur would result in increased fixed payment obligations and could involve restrictive covenants, such as limitations on our ability to incur additional debt, limitations on our ability to acquire or license intellectual property rights and other operating restrictions that could adversely impact our ability to conduct our business. Furthermore, the issuance of additional securities, whether equity or debt, by us, or the possibility of such issuance, may cause the market price of our common stock to decline and existing stockholders may not agree with our financing plans or the terms of such financings. If we raise additional funds through strategic partnerships and alliances and licensing arrangements with third parties, we may have to relinquish valuable rights to our technologies, or our product candidates, or grant licenses on terms unfavorable to us. Adequate additional financing may not be available to us on acceptable terms, or at all.</w:t>
      </w: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limited operating history may make it difficult for you to evaluate the success of our business to date and to assess our future viability.</w:t>
      </w:r>
    </w:p>
    <w:p>
      <w:pPr>
        <w:spacing w:after="0" w:line="14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are a clinical-stage company founded in November 2015. Our operations to date have been limited to corporate organization, recruiting key personnel, business planning, raising capital, acquiring rights to our technology, identifying potential product candidates, undertaking preclinical studies and planning and supporting clinical trials of certain of our product candidates and establishing research and development and manufacturing capabilities. Although we initiated our ongoing Phase 2 clinical trial for AVR-RD-01 in June 2018, two patients have been dosed in the ongoing investigator-sponsored clinical trial of AVR-RD-04, and the first patient has been dosed in our ongoing Phase 1/2 clinical trial of AVR-RD-02, we have not yet demonstrated the ability to complete clinical trials of our product candidates, obtain marketing approvals, manufacture products on a clinical or commercial scale or conduct sales and marketing activities necessary for successful commercialization. Consequently, any predictions you make about our future success or viability may not be as accurate as they could be if we had a longer operating history. In addition, as an early-stage company, we may encounter unforeseen expenses, difficulties, complications, delays and other known and unknown factors.</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449" w:right="41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Risks related to the discovery and development of our product candidates</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Business interruptions resulting from the coronavirus disease (COVID-19) pandemic or similar public health crises have caused and may continue to cause a disruption of the development of our product candidates and adversely impact our business.</w:t>
      </w:r>
    </w:p>
    <w:p>
      <w:pPr>
        <w:spacing w:after="0" w:line="6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Public health crises such as pandemics or similar outbreaks could adversely impact our business. In December 2019, a novel strain of a virus named SARS-CoV-2 (severe acute respiratory syndrome coronavirus 2), or coronavirus, which causes coronavirus disease, or COVID-19, was reported to have surfaced in Wuhan, China and has reached many other regions and countries, including Cambridge, Massachusetts where our primary office and laboratory space is located and Toronto, Ontario where we have a satellite office. The COVID-19 pandemic is still evolving, and to date has led to the implementation of various responses, including government-imposed quarantines and stay-at-home orders, business closures, border closures and travel restrictions, cancellations of public gatherings, and other public health safety measures. These measures continue to disrupt normal business operations both in and outside of affected areas and have had significant negative impacts on businesses and financial markets worldwide.</w:t>
      </w:r>
    </w:p>
    <w:p>
      <w:pPr>
        <w:spacing w:after="0" w:line="17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continue to monitor our operations and applicable government recommendations and have implemented a work-from-home policy for most employees, excluding our laboratory staff and a limited number of non-laboratory employees. Notwithstanding these measures, the COVID-19 pandemic could affect the health and availability of our workforce as well as those of the third parties on which we rely. If members of our management and other key personnel are unable to perform their duties or have limited availability due to COVID-19, we may not be able to execute on our business strategy and/or our operations may be negatively impacted. We may experience limitations in employee resources, including because of sickness of employees or their families or the desire of employees to avoid contact with individuals or large groups of people.</w:t>
      </w:r>
    </w:p>
    <w:p>
      <w:pPr>
        <w:spacing w:after="0" w:line="17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addition, clinical trial activities, including patient enrollment and data collection, are dependent upon global clinical trial sites which have been and continue to be adversely affected by the COVID-19 pandemic. For example, as the global healthcare community continues to respond to the fluctuations in COVID-19 cases and hospitalizations, many hospitals, including our clinical sites, temporarily paused elective procedures, which included dosing of new patients with our investigational gene therapies. While dosing of new patients has begun to resume, our ability to continue clinical activities without further delay or interruption will depend on future developments that are highly uncertain and cannot be accurately predicted. Additionally, while ongoing data collection has continued for our patients that have been dosed, certain data collection has been delayed and additional delays could result from COVID-19-related interruptions. We are currently conducting clinical trials for our product candidates in the United States, Canada and Australia, and plan to expand to other geographies including Japan, Europe and Israel, and each of these regions are currently being affected by COVID-19.</w:t>
      </w:r>
    </w:p>
    <w:p>
      <w:pPr>
        <w:spacing w:after="0" w:line="16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Additional factors from the COVID-19 pandemic that have delayed and may continue to delay or otherwise adversely affect enrollment in or the progress of the clinical trials of our product candidates, as well as our business generally, include:</w:t>
      </w:r>
    </w:p>
    <w:p>
      <w:pPr>
        <w:spacing w:after="0" w:line="62" w:lineRule="exact"/>
        <w:rPr>
          <w:sz w:val="20"/>
          <w:szCs w:val="20"/>
          <w:color w:val="auto"/>
        </w:rPr>
      </w:pPr>
    </w:p>
    <w:p>
      <w:pPr>
        <w:jc w:val="both"/>
        <w:ind w:left="880" w:right="160" w:hanging="373"/>
        <w:spacing w:after="0" w:line="263" w:lineRule="auto"/>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potential diversion of healthcare resources away from the conduct of clinical trials to focus on pandemic concerns, including the attention of physicians serving as our clinical trial investigators, hospitals serving as our clinical trial sites and hospital staff supporting the conduct of our clinical trials;</w:t>
      </w:r>
    </w:p>
    <w:p>
      <w:pPr>
        <w:spacing w:after="0" w:line="75" w:lineRule="exact"/>
        <w:rPr>
          <w:rFonts w:ascii="Arial" w:cs="Arial" w:eastAsia="Arial" w:hAnsi="Arial"/>
          <w:sz w:val="18"/>
          <w:szCs w:val="18"/>
          <w:color w:val="auto"/>
        </w:rPr>
      </w:pPr>
    </w:p>
    <w:p>
      <w:pPr>
        <w:ind w:left="880" w:right="60" w:hanging="373"/>
        <w:spacing w:after="0" w:line="279" w:lineRule="auto"/>
        <w:tabs>
          <w:tab w:leader="none" w:pos="8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limitations on travel that could interrupt key trial activities, such as clinical trial site initiations and monitoring, domestic and international travel by employees, contractors or patients to clinical trial sites, including any government-imposed travel restrictions or quarantines that may impact the ability or willingness of patients, employees or contractors to travel to our clinical trial sites or secure visas or entry permissions, any of which could delay or adversely impact the conduct or progress of our clinical trials;</w:t>
      </w:r>
    </w:p>
    <w:p>
      <w:pPr>
        <w:spacing w:after="0" w:line="63" w:lineRule="exact"/>
        <w:rPr>
          <w:rFonts w:ascii="Arial" w:cs="Arial" w:eastAsia="Arial" w:hAnsi="Arial"/>
          <w:sz w:val="17"/>
          <w:szCs w:val="17"/>
          <w:color w:val="auto"/>
        </w:rPr>
      </w:pPr>
    </w:p>
    <w:p>
      <w:pPr>
        <w:ind w:left="880" w:right="500" w:hanging="373"/>
        <w:spacing w:after="0" w:line="277" w:lineRule="auto"/>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interruption in global shipping affecting the transport of clinical trial materials, such as patient samples, investigational drug product and conditioning drugs and other supplies used in our clinical trials;</w:t>
      </w:r>
    </w:p>
    <w:p>
      <w:pPr>
        <w:spacing w:after="0" w:line="62" w:lineRule="exact"/>
        <w:rPr>
          <w:rFonts w:ascii="Arial" w:cs="Arial" w:eastAsia="Arial" w:hAnsi="Arial"/>
          <w:sz w:val="18"/>
          <w:szCs w:val="18"/>
          <w:color w:val="auto"/>
        </w:rPr>
      </w:pPr>
    </w:p>
    <w:p>
      <w:pPr>
        <w:ind w:left="880" w:right="60" w:hanging="373"/>
        <w:spacing w:after="0" w:line="255" w:lineRule="auto"/>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business disruptions caused by workplace, laboratory and office closures and an increased reliance on employees working from home, disruptions to or delays in ongoing laboratory experiments and operations, staffing shortages, travel limitations or mass transit disruptions, any of which could adversely impact our business operations or those of third party service providers, contractors, or suppliers on whom we rely, impair the productivity of our personnel, subject us to additional cybersecurity risks, create data accessibility problems, cause us to become more susceptible to communication disruptions, or delay necessary interactions with local regulators, ethics committees and other important agencies and contractors;</w:t>
      </w:r>
    </w:p>
    <w:p>
      <w:pPr>
        <w:spacing w:after="0" w:line="84" w:lineRule="exact"/>
        <w:rPr>
          <w:rFonts w:ascii="Arial" w:cs="Arial" w:eastAsia="Arial" w:hAnsi="Arial"/>
          <w:sz w:val="18"/>
          <w:szCs w:val="18"/>
          <w:color w:val="auto"/>
        </w:rPr>
      </w:pPr>
    </w:p>
    <w:p>
      <w:pPr>
        <w:ind w:left="880" w:right="120" w:hanging="373"/>
        <w:spacing w:after="0" w:line="342" w:lineRule="auto"/>
        <w:tabs>
          <w:tab w:leader="none" w:pos="8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business disruptions involving our third parties on whom we rely, including CROs and other collaborators for the conduct of our clinical trials or our third party suppliers or manufacturers, which could impact their ability to perform adequately or disrupt our supply chain; and</w:t>
      </w:r>
    </w:p>
    <w:p>
      <w:pPr>
        <w:spacing w:after="0" w:line="15" w:lineRule="exact"/>
        <w:rPr>
          <w:rFonts w:ascii="Arial" w:cs="Arial" w:eastAsia="Arial" w:hAnsi="Arial"/>
          <w:sz w:val="16"/>
          <w:szCs w:val="16"/>
          <w:color w:val="auto"/>
        </w:rPr>
      </w:pPr>
    </w:p>
    <w:p>
      <w:pPr>
        <w:ind w:left="880" w:right="40" w:hanging="373"/>
        <w:spacing w:after="0" w:line="277" w:lineRule="auto"/>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hospital or research institution policies or government regulations, which could delay or adversely impact our ability to conduct our clinical trials.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38" w:name="page39"/>
    <w:bookmarkEnd w:id="38"/>
    <w:p>
      <w:pPr>
        <w:ind w:right="160"/>
        <w:spacing w:after="0" w:line="301" w:lineRule="auto"/>
        <w:rPr>
          <w:sz w:val="20"/>
          <w:szCs w:val="20"/>
          <w:color w:val="auto"/>
        </w:rPr>
      </w:pPr>
      <w:r>
        <w:rPr>
          <w:rFonts w:ascii="Arial" w:cs="Arial" w:eastAsia="Arial" w:hAnsi="Arial"/>
          <w:sz w:val="16"/>
          <w:szCs w:val="16"/>
          <w:color w:val="auto"/>
        </w:rPr>
        <w:t>These and other factors arising from the COVID-19 pandemic could worsen and further adversely impact our ability to conduct clinical trials and our business generally, and could have a material adverse impact on our operations and financial condition and results. The extent to which the COVID-19 pandemic impacts our operations or those of our third party partners will depend on future developments, which are highly uncertain and cannot be predicted with confidence, including the duration of the pandemic and the actions to contain or mitigate the coronavirus or treat its impact, among others.</w:t>
      </w:r>
    </w:p>
    <w:p>
      <w:pPr>
        <w:spacing w:after="0" w:line="26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Our lentiviral-based gene therapy product candidates are based on a novel technology, which makes it difficult to predict the time and cost of product candidate development and of subsequently obtaining regulatory approval.</w:t>
      </w:r>
    </w:p>
    <w:p>
      <w:pPr>
        <w:spacing w:after="0" w:line="62"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We have concentrated our research and development efforts on our lentiviral-based gene therapy approach, and our future success depends on our successful development of viable gene therapy product candidates. There can be no assurance that we will not experience problems or delays in developing new product candidates and that such problems or delays will not cause unanticipated costs, or that any such development problems can be solved. For example, timely enrollment in our clinical trials is dependent upon global clinical trial sites which have been and may continue to be adversely affected by the COVID-19 pandemic. In addition, the implementation of our plato platform and upgrades, including our transition to therapeutic drug monitoring, or TDM, conditioning using busulfan for our single-agent conditioning regimen, may result in delays or setbacks in our research and development activities, and we may not realize the intended benefits of these efforts. We may also experience delays in developing a sustainable, reproducible and scalable manufacturing process or transferring that process to commercial partners, which may prevent us from completing our clinical studies or commercializing our products on a timely or profitable basis, if at all. For example, we have only dosed two patients using our plato platform, which we plan to utilize for the majority of patients in our ongoing Phase 2 clinical trial for AVR-RD-01 and all patients in the Phase 1/2 clinical trial of AVR-RD-02. Our implementation of the LV2 lentiviral vector or of our cell processing to an industrialized, automated closed system using disposable supplies may not be successful or may experience unforeseen delays, which may cause shortages or delays in the supply of our products available for clinical trials and future commercial sales, if any, or impair our research and development efforts, including those in our ongoing and future clinical trials. In addition, there is no assurance that products using our proprietary LV2 lentiviral vector or manufactured using this automated system will ultimately achieve the same favorable preliminary results observed to date in the Phase 1 and Phase 2 clinical trials of AVR-RD-01.</w:t>
      </w:r>
    </w:p>
    <w:p>
      <w:pPr>
        <w:spacing w:after="0" w:line="16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In addition, the clinical trial requirements of the FDA and other foreign regulatory authorities and the criteria these regulators use to determine the safety and efficacy of a product candidate vary substantially according to the type, complexity, novelty and intended use and market of such product candidates. The regulatory approval process for novel product candidates such as ours can be more expensive and take longer than for other, better known or more extensively studied product candidates. To date, only a limited number of gene therapies have received marketing authorization from the FDA or foreign regulatory authorities. It is difficult to determine how long it will take or how much it will cost to obtain regulatory approvals for our product candidates in the United States, Canada or other major markets or how long it will take to commercialize our product candidates, if any are approved. Approvals by foreign regulatory authorities may not be indicative of what the FDA may require for approval, and vice versa.</w:t>
      </w:r>
    </w:p>
    <w:p>
      <w:pPr>
        <w:spacing w:after="0" w:line="177"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Regulatory requirements governing gene and cell therapy products have changed frequently and may continue to change in the future. The FDA has established the Office of Tissues and Advanced Therapies within its Center for Biologics Evaluation and Research, or CBER, to consolidate the review of gene therapy and related products, and has established the Cellular, Tissue and Gene Therapies Advisory Committee to advise the CBER in its review. Gene therapy clinical trials conducted at institutions that receive funding for recombinant DNA research from the United States National Institutes of Health, or NIH, also are subject to the NIH Guidelines, under which supervision of human gene transfer trials includes evaluation and assessment by an institutional biosafety committee, or IBC, a local institutional committee that reviews and oversees research utilizing recombinant or synthetic nucleic acid molecules at that institution. The IBC assesses the safety of the research and identifies any potential risk to public health or the environment, and such review may result in some delay before initiation of a clinical trial. If we were to engage an NIH-funded institution to conduct a clinical trial, that institution’s IBC as well as its institutional review board, or IRB, would need to review the proposed clinical trial to assess the safety of the trial. In addition, adverse developments in clinical trials of gene therapy products conducted by others may cause the FDA or other oversight bodies to change the requirements for approval of any of our product candidates. Similarly, foreign regulatory authorities may issue new guidelines concerning the development and marketing authorization for gene therapy medicinal products and require that we comply with these new guidelines.</w:t>
      </w:r>
    </w:p>
    <w:p>
      <w:pPr>
        <w:spacing w:after="0" w:line="168"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FDA, NIH and the European Medicines Agency, or EMA, have each expressed interest in further regulating biotechnology, including gene therapy and genetic testing. For example, the EMA advocates a risk-based approach to the development of a gene therapy product. Agencies at both the federal and state level in the United States, as well as the U.S. congressional committees and other governments or governing agencies, have also expressed interest in further regulating the biotechnology industry. Such action may delay or prevent commercialization of some or all of our product candidates.</w:t>
      </w:r>
    </w:p>
    <w:p>
      <w:pPr>
        <w:spacing w:after="0" w:line="19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These regulatory review committees and advisory groups and any new guidelines they promulgate may lengthen the regulatory review process, require us to perform additional studies, increase our development costs, lead to changes in regulatory positions and interpretations, delay or prevent approval and commercialization of these product candidates or lead to significant post-approval limitations or restrictions. As we advance our product candidates, we will be required to consult with these regulatory and advisory groups, and comply with applicable guidelines. If we fail to do so, we may be required to delay or discontinue development of certain of our product candidates. These additional processes may result in a review and approval process that is longer than we otherwise would have expected. Delay or failure to obtain, or unexpected costs in obtaining, the regulatory approval necessary to bring a potential product to market could decrease our ability to generate sufficient product revenue, and our business, financial condition, results of operations and prospects would be materially and adversely affected.</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39" w:name="page40"/>
    <w:bookmarkEnd w:id="39"/>
    <w:p>
      <w:pPr>
        <w:ind w:right="80"/>
        <w:spacing w:after="0" w:line="254" w:lineRule="auto"/>
        <w:rPr>
          <w:sz w:val="20"/>
          <w:szCs w:val="20"/>
          <w:color w:val="auto"/>
        </w:rPr>
      </w:pPr>
      <w:r>
        <w:rPr>
          <w:rFonts w:ascii="Arial" w:cs="Arial" w:eastAsia="Arial" w:hAnsi="Arial"/>
          <w:sz w:val="18"/>
          <w:szCs w:val="18"/>
          <w:color w:val="auto"/>
        </w:rPr>
        <w:t>The FDA continues to develop its approach to assessing gene and cell therapy products. For example, the agency has released a series of draft and final guidance documents relating to, among other topics, various aspects of gene therapy product development, review, and approval, including aspects relating to clinical and manufacturing issues related to gene therapy products. In January 2020, the FDA released a final guidance with recommendations for long-term follow-up studies of patients following human gene therapy administration due to the increased risk of undesirable and unpredictable outcomes with gene therapies that may present as delayed adverse events. We cannot be certain whether such guidance, or other guidance that the FDA may issue, will be relevant to or have an adversely impact on our gene therapy candidates or the duration or expense of any applicable regulatory development and review processes.</w:t>
      </w:r>
    </w:p>
    <w:p>
      <w:pPr>
        <w:spacing w:after="0" w:line="303"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Our product candidates and the process for administering our product candidates may cause undesirable side effects or have other properties that could delay or prevent their regulatory approval, limit their commercial potential or result in significant negative consequences following any potential marketing approval.</w:t>
      </w:r>
    </w:p>
    <w:p>
      <w:pPr>
        <w:spacing w:after="0" w:line="76"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During the conduct of clinical trials, patients may experience changes in their health, including illnesses, injuries, discomforts or a fatal outcome. It is possible that as we test AVR-RD-01, AVR-RD-04, AVR-RD-02 or other product candidates in larger, longer and more extensive clinical programs, or as use of our product candidates becomes more widespread if they receive regulatory approval, illnesses, injuries, discomforts and other adverse events that were observed in earlier clinical trials, as well as conditions that did not occur or went undetected in previous clinical trials, will be reported by patients. Gene therapies are also subject to the potential risk that occurrence of adverse events will be delayed following administration of the gene therapy due to persistent biological activity of the genetic material or other components of the vectors used to carry the genetic material. Many times, side effects are only detectable after investigational products are tested in larger scale, pivotal clinical trials or, in some cases, after they are made available to patients on a commercial scale after approval. If additional clinical experience indicates that any of our product candidates have side effects or causes serious or life-threatening side effects, the development of the product candidate may fail or be delayed, or, if the product candidate has received regulatory approval, such approval may be revoked or limited.</w:t>
      </w:r>
    </w:p>
    <w:p>
      <w:pPr>
        <w:spacing w:after="0" w:line="18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There have been several significant adverse side effects in gene therapy treatments in the past, including multiple reported cases of leukemia, myelodysplastic syndrome and death seen in other clinical trials. Gene therapy is still a relatively new approach to disease treatment and additional adverse side effects could develop. Possible adverse side effects that may occur with treatment with gene therapy products include an immunologic reaction early after administration that could substantially limit the effectiveness of the treatment or represent safety risks for patients. Another traditional safety concern for gene therapies using viral vectors has been the possibility of insertional mutagenesis by the vectors, leading to malignant transformation of transduced cells. While our lentiviral gene therapy approach is designed to avoid immunogenicity against the vector after administration, there can be no assurance that patients would not create antibodies that may impair treatment. If any of our gene therapy product candidates demonstrates adverse side effects at unacceptable rates or degrees of severity, we may decide or be required to halt or delay clinical development of such product candidates.</w:t>
      </w:r>
    </w:p>
    <w:p>
      <w:pPr>
        <w:spacing w:after="0" w:line="16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addition to side effects caused by our product candidates, the conditioning, administration process or related procedures, which we evaluate from time to time as part of our process improvement and optimization efforts, also can cause adverse side effects. A gene therapy patient is generally administered one or more myeloablative drugs to remove stem cells from the bone marrow to create sufficient space in the bone marrow for the modified gene-corrected stem cells to engraft and produce their progeny. This procedure transiently compromises the patient’s immune system, known as neutropenia, and ability to form blood clots, known as thrombocytopenia.</w:t>
      </w:r>
    </w:p>
    <w:p>
      <w:pPr>
        <w:spacing w:after="0" w:line="188"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In 2019 we began transitioning, in connection with our Company-sponsored clinical trials, towards a new conditioning regimen for our product candidates utilizing busulfan as the myeloablative conditioning agent instead of the melphalan that we previously used. The use of this conditioning regimen is designed to utilize TDM to achieve a balance between the removal of a sufficient amount of bone marrow cells from a patient against potential risks such as toxicity or graft failure. While we anticipate that the conditioning regimen may be performed during a limited hospital stay or potentially through an outpatient procedure, on a case-by-case basis as directed by a patient’s physician, we cannot guarantee that the conditioning will not require a lengthier hospitalization. Our conditioning regimens may not be successful or may nevertheless result in adverse side effects. For example, in the ongoing investigator-sponsored Phase 1 clinical trial and our ongoing Company-sponsored Phase 2 clinical trial of AVR-RD-01, as well as the investigator-sponsored Phase 1/2 clinical trial of AVR-RD-04, several adverse events, including suppression of neutrophils and platelet counts following the conditioning process, were observed. While such adverse events in connection with conditioning is expected, if in the future any such adverse events caused by the conditioning process or related procedures continue at unacceptable rates or degrees of severity, the FDA or other foreign regulatory authorities could order us to cease development of, or deny approval of, AVR-RD-01, AVR-RD-04 or our other product candidates for any or all targeted indications. In addition, although in the future we may implement new procedures to screen for certain pre-cancerous genetic mutations prior to commencement of the conditioning regimen as an additional risk reduction measure, there can be no guarantees that these procedures, if implemented, would be successful. Even if we are able to demonstrate that adverse events are not product-related, such occurrences could adversely affect patient recruitment or the ability of enrolled patients to complete the clinical trial.</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40" w:name="page41"/>
    <w:bookmarkEnd w:id="40"/>
    <w:p>
      <w:pPr>
        <w:ind w:right="20"/>
        <w:spacing w:after="0" w:line="275" w:lineRule="auto"/>
        <w:rPr>
          <w:sz w:val="20"/>
          <w:szCs w:val="20"/>
          <w:color w:val="auto"/>
        </w:rPr>
      </w:pPr>
      <w:r>
        <w:rPr>
          <w:rFonts w:ascii="Arial" w:cs="Arial" w:eastAsia="Arial" w:hAnsi="Arial"/>
          <w:sz w:val="17"/>
          <w:szCs w:val="17"/>
          <w:color w:val="auto"/>
        </w:rPr>
        <w:t>Additionally, if any of our product candidates receives marketing approval, the FDA could require us to adopt a Risk Evaluation and Mitigation Strategy, or REMS, to ensure that the benefits outweigh its risks, which may include, among other things, a medication guide outlining the risks of the product for distribution to patients, a communication plan to health care practitioners, and restrictions on how or where the product can be distributed, dispensed or used. Furthermore, if we or others later identify undesirable side effects caused by AVR-RD-01, AVR-RD-04, AVR-RD-02 or our other product candidates, several potentially significant negative consequences could result, including:</w:t>
      </w:r>
    </w:p>
    <w:p>
      <w:pPr>
        <w:spacing w:after="0" w:line="68" w:lineRule="exact"/>
        <w:rPr>
          <w:sz w:val="20"/>
          <w:szCs w:val="20"/>
          <w:color w:val="auto"/>
        </w:rPr>
      </w:pPr>
    </w:p>
    <w:p>
      <w:pPr>
        <w:ind w:left="880" w:hanging="373"/>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regulatory authorities may suspend or withdraw approvals of such product candidate;</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regulatory authorities may require additional or boxed warnings on the label;</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we may be required to change the way a product candidate is distributed, dispensed, or administered or conduct additional clinical trials;</w:t>
      </w:r>
    </w:p>
    <w:p>
      <w:pPr>
        <w:spacing w:after="0" w:line="128" w:lineRule="exact"/>
        <w:rPr>
          <w:rFonts w:ascii="Arial" w:cs="Arial" w:eastAsia="Arial" w:hAnsi="Arial"/>
          <w:sz w:val="17"/>
          <w:szCs w:val="17"/>
          <w:color w:val="auto"/>
        </w:rPr>
      </w:pPr>
    </w:p>
    <w:p>
      <w:pPr>
        <w:ind w:left="880" w:hanging="373"/>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our product candidates and could significantly harm our business, prospects, financial condition and results of operations.</w:t>
      </w:r>
    </w:p>
    <w:p>
      <w:pPr>
        <w:spacing w:after="0" w:line="27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have never completed a pivotal clinical trial, and may be unable to do so for any product candidates we may develop, including AVR-RD-01, AVR-RD-04 and AVR-RD-02.</w:t>
      </w:r>
    </w:p>
    <w:p>
      <w:pPr>
        <w:spacing w:after="0" w:line="62"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We are at an early stage of development for all of our product candidates including AVR-RD-01, AVR-RD-04 and AVR-RD-02. Our product candidate AVR-RD-01 has been administered to only five patients in an ongoing investigator-sponsored Phase 1 clinical trial and to four patients in our ongoing Phase 2 clinical trial, AVR-RD-04 has been administered to only two patients in the ongoing investigator-sponsored Phase 1/2 clinical, and AVR-RD-02 has been administered to only one patient in the ongoing Phase 1/2 clinical trial. Our AVR-RD-5 product candidate, while expected to be studied in an investigator-sponsored clinical trial commencing in the second half of 2021, has not been administered to any patients. Our ongoing clinical trials, as well as potentially additional pivotal clinical trials, must be completed in order to obtain FDA approval to market these product candidates. We have limited experience in preparing, submitting and prosecuting regulatory filings, and have not previously submitted a biologics license application, or BLA, for any product candidate.</w:t>
      </w:r>
    </w:p>
    <w:p>
      <w:pPr>
        <w:spacing w:after="0" w:line="192"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Carrying out later-stage clinical trials is a complicated and lengthy process, and we do not expect that all data from patients participating in the clinical trials will be relevant or meaningful. For example, the primary efficacy endpoint of our Phase 2 clinical trial of AVR-RD-01 is the change, from baseline to one year post-treatment with AVR-RD-01, in the average number of Gb3 inclusions per PTC, as measured in a patient kidney biopsy. The second patient in the Phase 2 trial has an N215S genotype, which is associated with a late-onset cardiac variant phenotype and lower plasma lyso-Gb3 levels. This patient’s cardiac variant phenotype does not typically result in Gb3 accumulation in the kidney and skin, and accordingly we do not expect that data obtained from this patient will have a meaningful impact on certain efficacy endpoints in our Phase 2 clinical trial, including kidney and skin biopsies. Nonetheless, there may be other important insights derived from data collected from this patient in the Phase 2 clinical trial. In addition, although a kidney biopsy was performed on the third patient in the Phase 2 clinical trial, as a result of human error in processing the biopsy sample at the external laboratory vendor, the kidney Gb3 inclusions could not be evaluated and will not be available. However, we expect to continue collecting other data from the third patient, including measures of kidney function such as estimated glomerular filtration rate and measured glomerular filtration rate.</w:t>
      </w:r>
    </w:p>
    <w:p>
      <w:pPr>
        <w:spacing w:after="0" w:line="16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addition, we have not yet conducted any Company-sponsored clinical trials of any of our product candidates in the United States, and our interactions with the FDA have generally been limited. We cannot be certain how many additional clinical trials of AVR-RD-01, AVR-RD-04, AVR-RD-02 or any other product candidates will be required or how such trials should be designed. In order to commence a clinical trial in the United States, we are required to seek FDA acceptance of an IND for each of our product candidates. We cannot be sure any IND we submit to the FDA, or any similar clinical trial application we submit in other countries, will be accepted. While we have received clearance from the FDA to commence clinical testing in the United States for AVR-RD-01 and AVR-RD-02, and the sponsor of the investigator-led clinical trial for AVR-RD-04 has received the same, there can be no assurance that we will be able to submit and secure similar clearances for any of our other product candidates. We may also be required to conduct additional preclinical testing prior to filing an IND for any of our product candidates, and the results of any such testing may not be positive. Consequently, we may be unable to successfully and efficiently execute and complete necessary clinical trials in a way that leads to a BLA submission and approval of AVR-RD-01, AVR-RD-04, AVR-RD-02 or any of our other product candidates. We may require more time and incur greater costs than our competitors and may not succeed in obtaining regulatory approvals of product candidates that we develop. Failure to commence or complete, or delays in, our planned clinical trials, could prevent us from or delay us in commercializing AVR-RD-01, AVR-RD-04, AVR-RD-02 or any of our other product candidates.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1" w:name="page42"/>
    <w:bookmarkEnd w:id="41"/>
    <w:p>
      <w:pPr>
        <w:spacing w:after="0" w:line="268" w:lineRule="auto"/>
        <w:rPr>
          <w:sz w:val="20"/>
          <w:szCs w:val="20"/>
          <w:color w:val="auto"/>
        </w:rPr>
      </w:pPr>
      <w:r>
        <w:rPr>
          <w:rFonts w:ascii="Arial" w:cs="Arial" w:eastAsia="Arial" w:hAnsi="Arial"/>
          <w:sz w:val="17"/>
          <w:szCs w:val="17"/>
          <w:color w:val="auto"/>
        </w:rPr>
        <w:t>The ongoing Phase 1 clinical trial of AVR-RD-01 is an investigator-sponsored trial being conducted by University Health Network. In addition, the ongoing Phase 1/2 clinical trial of AVR-RD-04 is an investigator-sponsored clinical trial, which is being conducted by our collaborators at the University of California, San Diego. The planned Phase 1/2 clinical trial of AVR-RD-05, which is expected to commence in the second half of 2021, is also an investigator-sponsored clinical trial and will be conducted by our collaborators at The University of Manchester. We do not control the design or administration of investigator-sponsored trials, nor the submission or approval of any IND or foreign equivalent required to conduct these trials, and the investigator-sponsored trials could, depending on the actions of such third parties, jeopardize the validity of the clinical data generated, identify significant concerns with respect to our product candidates that could impact our findings or clinical trials, and adversely affect our ability to obtain marketing approval from the FDA or other applicable regulatory authorities. To the extent the results of this or other investigator-sponsored trials are inconsistent with, or different from, the results of our planned Company-sponsored trials or raise concerns regarding our product candidates, the FDA or a foreign regulatory authority may question the results of the Company-sponsored trial, or subject such results to greater scrutiny than it otherwise would. In these circumstances, the FDA or such foreign regulatory authorities may require us to obtain and submit additional clinical data, which could delay clinical development or marketing approval of our product candidates. In addition, while investigator-sponsored trials could be useful to inform our own clinical development efforts, there is no guarantee that we will be able to use the data from these trials to form the basis for regulatory approval of our product candidates.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Success in preclinical studies or early clinical trials may not be indicative of results obtained in later trials.</w:t>
      </w:r>
    </w:p>
    <w:p>
      <w:pPr>
        <w:spacing w:after="0" w:line="117"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Results from preclinical studies or early clinical trials are not necessarily predictive of future clinical trial results and are not necessarily indicative of final results. For example, there can be no assurance that prior results, such as signals of safety, activity or durability of effect, observed from preclinical studies or clinical trials will be replicated or will continue in ongoing or future studies or trials. Furthermore, preliminary results may not be indicative of the final results of a trial after all data have been collected and analyzed. Based on results observed from ongoing trials of AVR-RD-01, there can be no assurance that increased levels of plasma α-galactosidase A in patients treated with AVR-RD-01 will be maintained over time. In addition, while the first, third and fifth patients from the ongoing investigator-sponsored Phase 1 clinical trial of AVR-RD-01 discontinued ERT, there can be no assurance that these patients, or others who in the future may discontinue ERT, will remain off ERT. The initial results from the investigator-sponsored clinical trial of AVR-RD-04 only represent three months of clinical data from one patient, and there is no assurance that future clinical data from this patient or other patients will produce similar results. There is a high failure rate for gene therapy and biologic product candidates proceeding through clinical trials. Many companies in the pharmaceutical and biotechnology industries have suffered significant setbacks in late-stage clinical trials even after achieving promising results in preclinical testing and earlier-stage clinical trials. Data obtained from preclinical and clinical activities are subject to varying interpretations, which may delay, limit or prevent regulatory approval. In addition, the design of a pivotal clinical trial can determine whether its results will support approval of a product and flaws in the design of a clinical trial may not become apparent until the clinical trial is well advanced. Our Company has limited experience in designing and conducting clinical trials and we may be unable to design and execute a clinical trial to support regulatory approval. To date, we have not received definitive guidance from the FDA or other foreign regulatory bodies regarding the necessary endpoints for approval of any of our product candidates, including AVR-RD-01, AVR-RD-04 and AVR-RD-02. While we are aware that the FDA utilized an efficacy endpoint based on patients’ kidney biopsy in the recent approval of Migalastat for Fabry disease, for which we are also measuring as our primary efficacy endpoint in our ongoing Phase 2 clinical trial of AVR-RD-01, there can be no guarantees that regulatory agencies will permit us to use the same endpoint in connection with further development of AVR-RD-01. Therefore, there are no assurances that the FDA or other foreign regulatory bodies will find the efficacy endpoints we propose in future pivotal trials to be sufficiently validated and clinically meaningful, or that our product candidates will achieve the pre-specified endpoints in future pivotal trials to a degree of statistical significance. We also may experience regulatory delays or rejections as a result of many factors, including due to changes in regulatory policy during the period of our product candidate development. Our AVR-RD-03 product candidate is in preclinical development and our AVR-RD-05 product candidate is expected to be studied in a Phase 1/2 investigator-sponsored clinical trial commencing in the second half of 2021, and neither product candidate has been tested in humans. Any of our other current or future product candidates may fail to show the desired safety and efficacy in clinical development despite positive results in preclinical studies. Any such failure would cause us to abandon the product candidate.</w:t>
      </w:r>
    </w:p>
    <w:p>
      <w:pPr>
        <w:spacing w:after="0" w:line="173"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Additionally, the clinical trials performed to date have been open-label studies and have been conducted at a limited number of clinical sites on a limited number of patients.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Moreover, patients selected for early clinical studies often include the most severe sufferers and their symptoms may have been bound to improve notwithstanding the new treatment. In addition, open-label clinical trials may be subject to an “investigator bias” where those assessing and reviewing the physiological outcomes of the clinical trials are aware that patients have received treatment and may interpret the information more favorably given this knowledge.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2" w:name="page43"/>
    <w:bookmarkEnd w:id="42"/>
    <w:p>
      <w:pPr>
        <w:ind w:right="440"/>
        <w:spacing w:after="0" w:line="277" w:lineRule="auto"/>
        <w:rPr>
          <w:sz w:val="20"/>
          <w:szCs w:val="20"/>
          <w:color w:val="auto"/>
        </w:rPr>
      </w:pPr>
      <w:r>
        <w:rPr>
          <w:rFonts w:ascii="Arial" w:cs="Arial" w:eastAsia="Arial" w:hAnsi="Arial"/>
          <w:sz w:val="18"/>
          <w:szCs w:val="18"/>
          <w:b w:val="1"/>
          <w:bCs w:val="1"/>
          <w:i w:val="1"/>
          <w:iCs w:val="1"/>
          <w:color w:val="auto"/>
        </w:rPr>
        <w:t>We may find it difficult to enroll patients in our clinical trials, which could delay or prevent us from proceeding with clinical trials of our product candidates.</w:t>
      </w:r>
    </w:p>
    <w:p>
      <w:pPr>
        <w:spacing w:after="0" w:line="62"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Identifying and qualifying patients to participate in clinical trials of our product candidates is critical to our success. The timing of our clinical trials depends on our ability to recruit patients to participate as well as the completion of required follow-up periods. Patients may be unwilling to participate in our gene therapy clinical trials because of negative publicity from adverse events related to the biotechnology or gene therapy fields, competitive clinical trials for similar patient populations, clinical trials in product candidates employing our vectors, the existence of current treatments or for other reasons. In addition, the indications that we are currently targeting and may in the future target are rare diseases, which may limit the pool of patients that may be enrolled in our ongoing or planned clinical trials. The timeline for recruiting patients, conducting studies and obtaining regulatory approval of our product candidates may be delayed, including as a result of the ongoing COVID-19 pandemic, which could result in increased costs, delays in advancing our product candidates, delays in testing the effectiveness of our product candidates or termination of the clinical trials altogether. For example, as a result of the COVID-19 pandemic, patient enrollment and dosing was temporarily paused in our Phase 2 clinical trial of AVR-RD-01, the investigator-sponsored clinical trial of AVR-RD-04 and our Phase 1/2 clinical trial of AVR-RD-02, and certain data collection has been delayed for the investigator-sponsored Phase 1 and Company-sponsored Phase 2 clinical trials of AVR-RD-01 and the investigator-sponsored clinical trial of AVR-RD-04. While patient enrollment and dosing activities have begun to resume, there could be additional pauses in the future as a result of the COVID-19 pandemic or other factors.</w:t>
      </w:r>
    </w:p>
    <w:p>
      <w:pPr>
        <w:spacing w:after="0" w:line="18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may not be able to identify, recruit and enroll a sufficient number of patients, or those with required or desired characteristics, to complete our clinical trials in a timely manner. For example, in 2017, the ongoing investigator-sponsored Phase 1 clinical trial of AVR-RD-01 encountered delays in the enrollment of patients due to delays in identifying patients for enrollment and the evaluation of information from screened potential trial participants. In 2019, we encountered delays in the enrollment of patients in the Company-sponsored Phase 1/2 clinical trial of AVR-RD-02 for Gaucher disease. While a number of patients had been identified for the Phase 1/2 clinical trial, we encountered patient pre-screening failures that impacted the commencement of enrollment.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Patient enrollment and trial completion is affected by factors including the:</w:t>
      </w:r>
    </w:p>
    <w:p>
      <w:pPr>
        <w:spacing w:after="0" w:line="117" w:lineRule="exact"/>
        <w:rPr>
          <w:sz w:val="20"/>
          <w:szCs w:val="20"/>
          <w:color w:val="auto"/>
        </w:rPr>
      </w:pPr>
    </w:p>
    <w:p>
      <w:pPr>
        <w:ind w:left="880" w:hanging="373"/>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ability to enroll patients and conduct studies as a result of the ongoing COVID-19 pandemic;</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size of the patient population and process for identifying patients;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design of the trial protocol;</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eligibility and exclusion criteria;</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perceived risks and benefits of the product candidate under study;</w:t>
      </w:r>
    </w:p>
    <w:p>
      <w:pPr>
        <w:spacing w:after="0" w:line="117" w:lineRule="exact"/>
        <w:rPr>
          <w:rFonts w:ascii="Arial" w:cs="Arial" w:eastAsia="Arial" w:hAnsi="Arial"/>
          <w:sz w:val="18"/>
          <w:szCs w:val="18"/>
          <w:color w:val="auto"/>
        </w:rPr>
      </w:pPr>
    </w:p>
    <w:p>
      <w:pPr>
        <w:ind w:left="880" w:right="440" w:hanging="373"/>
        <w:spacing w:after="0" w:line="277" w:lineRule="auto"/>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perceived risks and benefits of gene therapy-based approaches to treatment of diseases, including any required pretreatment conditioning regimens;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availability of competing therapies and clinical trials;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availability of genetic testing for potential patients;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proximity and availability of clinical trial sites for prospective patients;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ability to obtain and maintain subject consent;</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risk that enrolled patients will drop out before completion of the trial;</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patient referral practices of physicians;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ability to monitor patients adequately during and after treatment.</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anticipate expanding our patient enrollment activities to include patients who reside in a country other than the country where the applicable clinical site is located, and who would be required to travel for some or all of the clinical testing and procedures required for patients in the applicable clinical trial. We may encounter logistical and regulatory challenges that could delay or prevent any such international patients from successfully enrolling and completing clinical trial procedures, including delays in processing or obtaining patient travel visas or denials of entry at borders, potential travel disruptions, or de-prioritization or unavailability of resources at clinical sites for non-resident international clinical trial participants, any of which could delay our progress and completion of planned clinical trials and which would have an adverse effect on our business.</w:t>
      </w:r>
    </w:p>
    <w:p>
      <w:pPr>
        <w:spacing w:after="0" w:line="17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665" w:right="399" w:bottom="1440" w:gutter="0" w:footer="0" w:header="0"/>
        </w:sectPr>
      </w:pPr>
    </w:p>
    <w:bookmarkStart w:id="43" w:name="page44"/>
    <w:bookmarkEnd w:id="43"/>
    <w:p>
      <w:pPr>
        <w:spacing w:after="0" w:line="279" w:lineRule="auto"/>
        <w:rPr>
          <w:sz w:val="20"/>
          <w:szCs w:val="20"/>
          <w:color w:val="auto"/>
        </w:rPr>
      </w:pPr>
      <w:r>
        <w:rPr>
          <w:rFonts w:ascii="Arial" w:cs="Arial" w:eastAsia="Arial" w:hAnsi="Arial"/>
          <w:sz w:val="17"/>
          <w:szCs w:val="17"/>
          <w:color w:val="auto"/>
        </w:rPr>
        <w:t>Our current product candidates are being developed to treat rare conditions. We plan to seek initial marketing approvals in the United States, Europe and certain other major markets, including Japan. We may not be able to initiate or continue clinical trials if we cannot enroll a sufficient number of eligible patients to participate in the clinical trials required by FDA or other foreign regulatory authorities. Our ability to successfully initiate, enroll and complete a clinical trial in any foreign country is subject to numerous risks unique to conducting business in foreign countries, including:</w:t>
      </w:r>
    </w:p>
    <w:p>
      <w:pPr>
        <w:spacing w:after="0" w:line="63" w:lineRule="exact"/>
        <w:rPr>
          <w:sz w:val="20"/>
          <w:szCs w:val="20"/>
          <w:color w:val="auto"/>
        </w:rPr>
      </w:pPr>
    </w:p>
    <w:p>
      <w:pPr>
        <w:ind w:left="880" w:hanging="373"/>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difficulty in establishing or managing relationships with contract research organizations, or CROs, and physicians;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different standards for the conduct of clinical trials;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absence in some countries of established groups with sufficient regulatory expertise for review of gene therapy protocols;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inability to locate qualified local consultants, physicians and partners; and</w:t>
      </w:r>
    </w:p>
    <w:p>
      <w:pPr>
        <w:spacing w:after="0" w:line="117" w:lineRule="exact"/>
        <w:rPr>
          <w:rFonts w:ascii="Arial" w:cs="Arial" w:eastAsia="Arial" w:hAnsi="Arial"/>
          <w:sz w:val="18"/>
          <w:szCs w:val="18"/>
          <w:color w:val="auto"/>
        </w:rPr>
      </w:pPr>
    </w:p>
    <w:p>
      <w:pPr>
        <w:ind w:left="880" w:right="240" w:hanging="373"/>
        <w:spacing w:after="0" w:line="277"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potential burden of complying with a variety of foreign laws, medical standards and regulatory requirements, including the regulation of pharmaceutical and biotechnology products and treatment.</w:t>
      </w:r>
    </w:p>
    <w:p>
      <w:pPr>
        <w:spacing w:after="0" w:line="170"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If we have difficulty enrolling a sufficient number of patients to conduct our clinical trials as planned, we may need to delay, limit or terminate ongoing or planned clinical trials, any of which would have an adverse effect on our business, financial condition, results of operations and prospects.</w:t>
      </w:r>
    </w:p>
    <w:p>
      <w:pPr>
        <w:spacing w:after="0" w:line="23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may encounter substantial delays in our clinical trials or we may fail to demonstrate safety and efficacy to the satisfaction of applicable regulatory authorities.</w:t>
      </w:r>
    </w:p>
    <w:p>
      <w:pPr>
        <w:spacing w:after="0" w:line="62"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Before obtaining marketing approval from regulatory authorities for the sale of our product candidates, we must conduct extensive clinical studies to demonstrate the safety and efficacy of the product candidates in humans. Clinical testing is expensive, time-consuming and uncertain as to outcome. We cannot guarantee that any clinical studies will be conducted as planned or completed on schedule, if at all. A failure of one or more clinical studies can occur at any stage of testing. Events that may prevent successful or timely completion of clinical development include:</w:t>
      </w:r>
    </w:p>
    <w:p>
      <w:pPr>
        <w:spacing w:after="0" w:line="63" w:lineRule="exact"/>
        <w:rPr>
          <w:sz w:val="20"/>
          <w:szCs w:val="20"/>
          <w:color w:val="auto"/>
        </w:rPr>
      </w:pPr>
    </w:p>
    <w:p>
      <w:pPr>
        <w:ind w:left="880" w:hanging="373"/>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as a result of the ongoing COVID-19 pandemic;</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in reaching a consensus with regulatory agencies on study design;</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in reaching agreement on acceptable terms with prospective CROs and clinical study sites;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in obtaining required Institutional Review Board, or IRB, approval at each clinical study site;</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in recruiting suitable patients to participate in our clinical studies;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imposition of a clinical hold by regulatory agencies, after an inspection of our clinical study operations or study sites;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by our CROs, other third parties or us to adhere to clinical study requirements;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failure to perform in accordance with the FDA’s good clinical practices, or GCP, or applicable regulatory guidelines in other countries;</w:t>
      </w:r>
    </w:p>
    <w:p>
      <w:pPr>
        <w:spacing w:after="0" w:line="128" w:lineRule="exact"/>
        <w:rPr>
          <w:rFonts w:ascii="Arial" w:cs="Arial" w:eastAsia="Arial" w:hAnsi="Arial"/>
          <w:sz w:val="17"/>
          <w:szCs w:val="17"/>
          <w:color w:val="auto"/>
        </w:rPr>
      </w:pPr>
    </w:p>
    <w:p>
      <w:pPr>
        <w:ind w:left="880" w:hanging="373"/>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in the testing, validation, manufacturing and delivery of our product candidates to the clinical sites;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in having patients complete participation in a study or return for post-treatment follow-up;</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clinical study sites or patients dropping out of a study;</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occurrence of serious adverse events associated with the product candidate that are viewed to outweigh its potential benefits; or</w:t>
      </w:r>
    </w:p>
    <w:p>
      <w:pPr>
        <w:spacing w:after="0" w:line="128" w:lineRule="exact"/>
        <w:rPr>
          <w:rFonts w:ascii="Arial" w:cs="Arial" w:eastAsia="Arial" w:hAnsi="Arial"/>
          <w:sz w:val="17"/>
          <w:szCs w:val="17"/>
          <w:color w:val="auto"/>
        </w:rPr>
      </w:pPr>
    </w:p>
    <w:p>
      <w:pPr>
        <w:ind w:left="880" w:hanging="373"/>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regulatory requirements and guidance that require amending or submitting new clinical protocols.</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Any inability to successfully complete preclinical and clinical development could result in additional costs to us or impair our ability to generate revenues. In addition, if we make changes to our product candidates, we may need to conduct additional studies to bridge our modified product candidates to earlier versions, which could delay our clinical development plan or marketing approval for our product candidates. For example, for our Phase 2 clinical trial of AVR-RD-01, we have transitioned our lentiviral vectors to an LV2 version in connection with our plato platform implementation. In addition, the transition from LV1 to LV2 has required (and is anticipated to continue to require) submission of relevant data to the applicable regulatory authorities in connection with certain of our regulatory filings, including our INDs and clinical trial applications, to demonstrate analytic comparability between LV1 and LV2. Our IND application for our planned Phase 2 clinical study of AVR-RD-01 for Fabry disease in the United States, which was cleared by the FDA in April 2019, included data to demonstrate comparability between LV1 and LV2 and a transition to an automated manufacturing platform. In addition, our CTA (including amendments) and IND for our Phase 1/2 clinical study of AVR-RD-02 for Gaucher disease in Canada and the United States, for which Health Canada has issued no objection letters and the FDA has cleared,</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44" w:name="page45"/>
    <w:bookmarkEnd w:id="44"/>
    <w:p>
      <w:pPr>
        <w:ind w:right="60"/>
        <w:spacing w:after="0" w:line="269" w:lineRule="auto"/>
        <w:rPr>
          <w:sz w:val="20"/>
          <w:szCs w:val="20"/>
          <w:color w:val="auto"/>
        </w:rPr>
      </w:pPr>
      <w:r>
        <w:rPr>
          <w:rFonts w:ascii="Arial" w:cs="Arial" w:eastAsia="Arial" w:hAnsi="Arial"/>
          <w:sz w:val="17"/>
          <w:szCs w:val="17"/>
          <w:color w:val="auto"/>
        </w:rPr>
        <w:t>respectively, included data utilizing LV2 and our automated manufacturing platform. While these applications included data relating to our LV2 lentiviral vector and our automated manufacturing process, which are elements of our plato platform, and allow us to commence clinical trials incorporating such elements, there can be no assurance that the FDA, Health Canada or other regulatory authorities will not require us to undertake additional actions in connection with our transition to our plato platform, including submission of additional comparability studies in connection with future regulatory filings, which may result in delays, suspension or termination of ongoing or future clinical trials, or our inability to conduct our trials according to the plans or the timelines that we have envisioned. For example, the Phase 1/2 investigator-sponsored clinical study of AVR-RD-04 for cystinosis in the United States, which has been cleared by the FDA, does not include our LV2 lentiviral vector or our automated manufacturing platform, and we anticipate that we will be required to submit comparability data in future regulatory filings relating to our transition to LV2 and the automated manufacturing platform. Any such filings may result in delay, suspension or termination of ongoing or future clinical trials pending our submission, and the applicable regulatory agency’s review, of such updates. Clinical trial delays could also shorten any periods during which we may have the exclusive right to commercialize our product candidates, if approved, or allow our competitors to bring products to market before we do, which could impair our ability to successfully commercialize our product candidates and may harm our business and results of operations.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If the results of our clinical studies are inconclusive or if there are safety concerns or adverse events associated with our product candidates, we may:</w:t>
      </w:r>
    </w:p>
    <w:p>
      <w:pPr>
        <w:spacing w:after="0" w:line="140" w:lineRule="exact"/>
        <w:rPr>
          <w:sz w:val="20"/>
          <w:szCs w:val="20"/>
          <w:color w:val="auto"/>
        </w:rPr>
      </w:pPr>
    </w:p>
    <w:p>
      <w:pPr>
        <w:ind w:left="880" w:hanging="373"/>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 if at all;</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obtain approval with labeling or a REMS that includes significant use or distribution restrictions or safety warnings;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be subject to changes with the way the product is administered;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be required to perform additional clinical studies to support approval or be subject to additional post-marketing testing requirements;</w:t>
      </w:r>
    </w:p>
    <w:p>
      <w:pPr>
        <w:spacing w:after="0" w:line="128" w:lineRule="exact"/>
        <w:rPr>
          <w:rFonts w:ascii="Arial" w:cs="Arial" w:eastAsia="Arial" w:hAnsi="Arial"/>
          <w:sz w:val="17"/>
          <w:szCs w:val="17"/>
          <w:color w:val="auto"/>
        </w:rPr>
      </w:pPr>
    </w:p>
    <w:p>
      <w:pPr>
        <w:ind w:left="880" w:hanging="373"/>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have regulatory authorities withdraw their approval of the product or impose restrictions on its distribution in the form of a REMS;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be subject to the addition of labeling statements, such as warnings or contraindications;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be sued; or</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experience damage to our reputation.</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our product candidates and impair our ability to commercialize our products.</w:t>
      </w:r>
    </w:p>
    <w:p>
      <w:pPr>
        <w:spacing w:after="0" w:line="27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Even if we complete the necessary preclinical and clinical studies, we cannot predict when or if we will obtain regulatory approval to commercialize a product candidate and the approval may be for a narrower indication than we seek.</w:t>
      </w:r>
    </w:p>
    <w:p>
      <w:pPr>
        <w:spacing w:after="0" w:line="6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cannot commercialize a product until the appropriate regulatory authorities have reviewed and approved the product candidate. Even if our product candidates demonstrate safety and efficacy in clinical studies, the regulatory agencies may not complete their review processes in a timely manner, or we may not be able to obtain regulatory approval. Additional delays may result if an FDA Advisory Committee or other regulatory authority recommends non-approval or restrictions on approval. In addition, we may experience delays or rejections based upon additional government regulation from future legislation or administrative action, or changes in regulatory agency policy during the period of product development, clinical studies and the review process. Regulatory agencies also may approve a treatment candidate for fewer or more limited indications than requested or may grant approval subject to the performance of post-marketing studies. In addition, regulatory agencies may not approve the labeling claims that are necessary or desirable for the successful commercialization of our product candidates. If we are unable to obtain necessary regulatory approvals, our business, prospects, financial condition and results of operations may suffer.</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5" w:name="page46"/>
    <w:bookmarkEnd w:id="45"/>
    <w:p>
      <w:pPr>
        <w:ind w:right="200"/>
        <w:spacing w:after="0" w:line="273" w:lineRule="auto"/>
        <w:rPr>
          <w:sz w:val="20"/>
          <w:szCs w:val="20"/>
          <w:color w:val="auto"/>
        </w:rPr>
      </w:pPr>
      <w:r>
        <w:rPr>
          <w:rFonts w:ascii="Arial" w:cs="Arial" w:eastAsia="Arial" w:hAnsi="Arial"/>
          <w:sz w:val="17"/>
          <w:szCs w:val="17"/>
          <w:b w:val="1"/>
          <w:bCs w:val="1"/>
          <w:i w:val="1"/>
          <w:iCs w:val="1"/>
          <w:color w:val="auto"/>
        </w:rPr>
        <w:t>Only certain of our clinical trials, including the Phase 2 clinical trial of AVR-RD-01 for Fabry disease and the Phase 1/2 clinical trial of AVR-RD-02 for Gaucher disease, utilize our commercial-scale plato platform. While we have submitted and intend to continue to submit comparability studies to the FDA and other regulatory agencies, as needed, with respect to our implementation of our commercial-scale plato platform in these and future clinical trials sponsored by us, there can be no assurance that the FDA or other regulatory agencies will not in the future require us to conduct additional preclinical studies or clinical trials that could result in delays and additional costs in our development or commercialization programs for our product candidates, which could adversely affect our business.</w:t>
      </w:r>
    </w:p>
    <w:p>
      <w:pPr>
        <w:spacing w:after="0" w:line="70"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We intend to continue implementing our commercial-scale plato platform, including heightened vector efficiency, our closed, automated manufacturing system and utilization of a TDM conditioning regimen with busulfan, in connection with each of our investigational product candidates. We have developed the plato platform to form the backbone of our commercial programs, with the intent of replacing our original academic platform with improved solutions for delivering our gene therapy candidates to patients in multiple disease indications. We believe improvements from our plato platform may lead to better patient outcomes with our gene therapy candidates. In order to implement this transition, we have been and will be required to conduct additional studies to bridge our modified product candidates to earlier versions, which could delay our clinical development plans or marketing approvals, if any, including for AVR-RD-01, where the ongoing investigator-sponsored clinical trial does not use the plato platform, a portion of our Company-sponsored clinical trial for AVR-RD-01, and for AVR-RD-04 and AVR-RD-05 where the investigator-sponsored clinical trials will not utilize the plato platform. For example, we have transitioned our AVR-RD-01 lentiviral vectors to an LV2 version, and the fourth patient in our Phase 2 trial of AVR-RD-01 was dosed in 2019 using the plato platform. In addition, the first patient in our Phase 1/2 clinical trial of AVR-RD-02 was dosed in 2020 using the plato platform. While LV2 is intended to confer improvements in transduction efficiency in viral production, there is no guarantee that we can realize these intended benefits. In addition, the transition from LV1 to LV2 has required (and is anticipated to continue to require) submission of relevant data to the applicable regulatory authorities in connection with certain of our regulatory filings, including our INDs and clinical trial applications, to demonstrate analytic comparability between LV1 and LV2. Our IND application for our Phase 2 clinical study of AVR-RD-01 for Fabry disease in the United States, which was cleared by the FDA in April 2019, included data to demonstrate comparability between LV1 and LV2 and a transition to an automated manufacturing platform, which are elements of our plato platform. In addition, our CTA (including amendments) and IND for our Phase 1/2 clinical study of AVR-RD-02 for Gaucher disease in Canada and the United States, for which Health Canada has issued no objection letters and the FDA has cleared, respectively, included data utilizing LV2 and our automated manufacturing platform. Nevertheless, there can be no assurance that the FDA, Health Canada or other regulatory agencies will not in the future require us to conduct additional preclinical studies or clinical trials with respect to these programs or our other product candidates, which may result in delay, suspension or termination of ongoing or future clinical trials. Clinical trial delays could also shorten any periods during which we may have the exclusive right to commercialize our product candidates, if approved, or allow our competitors to bring products to market before we do, which could impair our ability to successfully commercialize our product candidates and may harm our business and results of operations.</w:t>
      </w:r>
    </w:p>
    <w:p>
      <w:pPr>
        <w:spacing w:after="0" w:line="286"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b w:val="1"/>
          <w:bCs w:val="1"/>
          <w:i w:val="1"/>
          <w:iCs w:val="1"/>
          <w:color w:val="auto"/>
        </w:rPr>
        <w:t>We face significant competition in our industry and there can be no assurance that our product candidates, if approved, will achieve acceptance in the market over existing established therapies. In addition, our competitors may develop therapies that are more advanced or effective than ours, which may adversely affect our ability to successfully market or commercialize any of our product candidates.</w:t>
      </w:r>
    </w:p>
    <w:p>
      <w:pPr>
        <w:spacing w:after="0" w:line="57"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We operate in a highly competitive segment of the biopharmaceutical market. We face competition from many different sources, including larger pharmaceutical, specialty pharmaceutical and biotechnology companies, as well as from academic institutions, government agencies and private and public research institutions. Our product candidates, if successfully developed and approved, will compete with established therapies, some of which are being marketed by large and international companies. In addition, we expect to compete with new treatments that are under development or may be advanced into the clinic by our competitors. There are a variety of product candidates, including gene therapies, in development for the indications that we are targeting.</w:t>
      </w:r>
    </w:p>
    <w:p>
      <w:pPr>
        <w:spacing w:after="0" w:line="16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anticipate competing with the largest pharmaceutical companies in the world. For example, Sanofi Genzyme and Shire, acquired by Takeda Pharmaceutical Company Ltd., market the enzyme replacement therapies, or ERTs, that represent the standard of care for Fabry patients. Amicus has secured regulatory approval in the United States and Europe for Migalastat, its oral chaperone therapy for Fabry disease. In addition, in August 2020, Protalix BioTherapeutics, together with Chiesi Global Rare Diseases, announced that the FDA had accepted a BLA and granted priority review designation for pegunigalsidase alfa, their investigational product candidate for Fabry disease. For Gaucher disease, we expect to compete with existing enzyme replacement therapies marketed by Sanofi Genzyme, Shire, Protalix and Pfizer, as well as oral therapies marketed by Actelion and Sanofi. Sanofi also markets an enzyme replacement therapy for Pompe disease, and Shire markets an enzyme replacement therapy for Hunter syndrome. Cystinosis is currently treated by therapies marketed by Horizon Orphan, Mylan, Chiesi, Recordati and Sigma Tau Pharmaceuticals, and Eloxx Pharmaceuticals has been advancing a new treatment in clinical trials, though in March 2020 it announced that its Phase 2 study of the new treatment has been discontinued. In addition, we may compete with other gene therapy companies in our industry such as bluebird bio and Spark Therapeutics (which was acquired by Roche in the fourth quarter of 2019). In particular, a number of gene therapy companies have announced preclinical or clinical adeno-associated virus, or AAV, based gene therapy programs that, if such programs are successful</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6" w:name="page47"/>
    <w:bookmarkEnd w:id="46"/>
    <w:p>
      <w:pPr>
        <w:ind w:right="60"/>
        <w:spacing w:after="0" w:line="257" w:lineRule="auto"/>
        <w:rPr>
          <w:sz w:val="20"/>
          <w:szCs w:val="20"/>
          <w:color w:val="auto"/>
        </w:rPr>
      </w:pPr>
      <w:r>
        <w:rPr>
          <w:rFonts w:ascii="Arial" w:cs="Arial" w:eastAsia="Arial" w:hAnsi="Arial"/>
          <w:sz w:val="18"/>
          <w:szCs w:val="18"/>
          <w:color w:val="auto"/>
        </w:rPr>
        <w:t>in obtaining regulatory approval, could compete with our gene therapies. These include companies such as Abeona, Amicus, Freeline, JCR Pharmaceuticals, Sangamo and uniQure which have announced gene therapy programs for Fabry disease; Freeline and Prevail which have announced gene therapy programs for Gaucher disease; REGENXBIO, Sangamo, Denali Therapeutics, JCR Pharmaceuticals and Homology Medicines, which have announced gene therapy programs for Hunter syndrome; and Abeona, Actus, Amicus, Audentes (acquired by Astellas), Sarepta and Spark Therapeutics, which have announced gene therapy programs for Pompe disease.</w:t>
      </w:r>
    </w:p>
    <w:p>
      <w:pPr>
        <w:spacing w:after="0" w:line="18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Many of our competitors have significantly greater financial, product candidate development, manufacturing and marketing resources than we do. Large pharmaceutical and biotechnology companies have extensive experience in clinical testing and obtaining regulatory approval for their products, and mergers and acquisitions within these industries may result in even more resources being concentrated among a smaller number of larger competitors. Established pharmaceutical companies may also invest heavily to accelerate discovery and development of novel therapeutics or to in-license novel therapeutics that could make the product candidates that we develop obsolete. Competition may increase further as a result of advances in the commercial applicability of technologies and greater availability of capital for investment in these industries. Our business would be materially and adversely affected if competitors develop and commercialize products that are safer, more effective, have fewer or less severe side effects, have broader market acceptance, are more convenient or are less expensive than any product candidate that we may develop.</w:t>
      </w:r>
    </w:p>
    <w:p>
      <w:pPr>
        <w:spacing w:after="0" w:line="178"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Even if we obtain regulatory approval of our product candidates, the availability and price of our competitors’ products could limit the demand and the price we are able to charge for our product candidates. We may not be able to implement our business plan if the acceptance of our product candidates is inhibited by price competition or the reluctance of physicians to switch from existing methods of treatment to our product candidates, or if physicians switch to other new drug or biologic products or choose to reserve our product candidates for use in limited circumstances.</w:t>
      </w:r>
    </w:p>
    <w:p>
      <w:pPr>
        <w:spacing w:after="0" w:line="27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While we intend to seek designations for our product candidates with the FDA and comparable foreign regulatory authorities that are intended to confer benefits such as a faster development process or an accelerated regulatory pathway, there can be no assurance that we will successfully obtain such designations. In addition, even if one or more of our product candidates are granted such designations, we may not be able to realize the intended benefits of such designations.</w:t>
      </w:r>
    </w:p>
    <w:p>
      <w:pPr>
        <w:spacing w:after="0" w:line="79"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color w:val="auto"/>
        </w:rPr>
        <w:t>The FDA and comparable foreign regulatory authorities offer certain designations for product candidates that are designed to encourage the research and development of product candidates that are intended to address conditions with significant unmet medical need. These designations may confer benefits such as additional interaction with regulatory authorities, a potentially accelerated regulatory pathway and priority review. However, there can be no assurance that we will successfully obtain such designations for any of our product candidates. In addition, while such designations could expedite the development or approval process, they generally do not change the standards for approval. Even if we obtain such designations for one or more of our product candidates, there can be no assurance that we will realize their intended benefits.</w:t>
      </w:r>
    </w:p>
    <w:p>
      <w:pPr>
        <w:spacing w:after="0" w:line="178"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For example, we may seek a Breakthrough Therapy Designation for some of our product candidates. A breakthrough therapy is defined as a therapy that is intended, alone or in combination with one or more other therapies, to treat a serious or life-threatening disease or condition, and preliminary clinical evidence indicates that the therapy may demonstrate substantial improvement over existing therapies on one or more clinically significant endpoints, such as substantial treatment effects observed early in clinical development. For therapies that have been designated as breakthrough therapies, interaction and communication between the FDA and the sponsor of the trial can help to identify the most efficient path for clinical development while minimizing the number of patients placed in ineffective control regimens. Therapies designated as breakthrough therapies by the FDA are also eligible for accelerated approval. 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therapies considered for approval under conventional FDA procedures and does not assure ultimate approval by the FDA. In addition, even if one or more of our product candidates qualify as breakthrough therapies, the FDA may later decide that such product candidates no longer meet the conditions for qualification.</w:t>
      </w:r>
    </w:p>
    <w:p>
      <w:pPr>
        <w:spacing w:after="0" w:line="17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addition, we may seek Fast Track Designation for some of our product candidates. If a therapy is intended for the treatment of a serious or life-threatening condition and the therapy demonstrates the potential to address unmet medical needs for this condition, the therapy sponsor may apply for Fast Track Designation. The FDA has broad discretion whether or not to grant this designation, so even if we believe a particular product candidate is eligible for this designation, there can be no assurance that the FDA would decide to grant it. Even if we do receive Fast Track Designation, we may not experience a faster development process, review or approval compared to conventional FDA procedures, and receiving a Fast Track Designation does not provide assurance of ultimate FDA approval. In addition, the FDA may withdraw Fast Track Designation if it believes that the designation is no longer supported by data from our clinical development program.</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7" w:name="page48"/>
    <w:bookmarkEnd w:id="47"/>
    <w:p>
      <w:pPr>
        <w:ind w:right="20"/>
        <w:spacing w:after="0" w:line="286" w:lineRule="auto"/>
        <w:rPr>
          <w:sz w:val="20"/>
          <w:szCs w:val="20"/>
          <w:color w:val="auto"/>
        </w:rPr>
      </w:pPr>
      <w:r>
        <w:rPr>
          <w:rFonts w:ascii="Arial" w:cs="Arial" w:eastAsia="Arial" w:hAnsi="Arial"/>
          <w:sz w:val="16"/>
          <w:szCs w:val="16"/>
          <w:color w:val="auto"/>
        </w:rPr>
        <w:t>In addition, we may seek a regenerative medicine advanced therapy, or RMAT, designation for some of our product candidates. An RMAT is defined as cell therapies, therapeutic tissue engineering products, human cell and tissue products, and combination products using any such therapies or products. Gene therapies, including genetically modified cells that lead to a durable modification of cells or tissues may meet the definition of a regenerative medicine therapy. The RMAT program is intended to facilitate efficient development and expedite review of RMATs, which are intended to treat, modify, reverse, or cure a serious or life-threatening disease or condition. A new drug application or a BLA for an RMAT may be eligible for priority review or accelerated approval through (1) surrogate or intermediate endpoints reasonably likely to predict long-term clinical benefit or (2) reliance upon data obtained from a meaningful number of sites. Benefits of such designation also include early interactions with FDA to discuss any potential surrogate or intermediate endpoint to be used to support accelerated approval. A regenerative medicine therapy that is granted accelerated approval and is subject to post-approval requirements may fulfill such requirements through the submission of clinical evidence, clinical studies, patient registries, or other sources of real-world evidence, such as electronic health records; the collection of larger confirmatory data sets; or post-approval monitoring of all patients treated with such therapy prior to its approval. RMAT designation is within the discretion of the FDA. Accordingly, even if we believe one of our product candidates meets the criteria for designation as a regenerative medicine advanced therapy, the FDA may disagree and instead determine not to make such designation. In any event, the receipt of RMAT designation for a product candidate may not result in a faster development process, review or approval compared to drugs considered for approval under conventional FDA procedures and does not assure ultimate approval by the FDA. In addition, even if one or more of our product candidates qualify for RMAT designation, the FDA may later decide that the biological products no longer meet the conditions for qualification.</w:t>
      </w:r>
    </w:p>
    <w:p>
      <w:pPr>
        <w:spacing w:after="0" w:line="16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Outside of the United States, we intend to develop AVR-RD-01 in Japan under the purview of the Japanese Pharmaceutical and Medical Device Agency, or PMDA. Pursuant to Japan’s regenerative medicine law, an expedited path to conditional approval may exist for regenerative medicine products that show sufficient safety evidence and signals of efficacy in a Phase 2 clinical trial. However, there can be no assurance that the results of our ongoing Phase 2 clinical trial will demonstrate the safety evidence and efficacy signals required for such conditional approval. In addition, this conditional approval is time-limited, and there must be an agreement as to follow-up collection of information to confirm efficacy and safety, similar to a post-marketing commitment in the United States.</w:t>
      </w:r>
    </w:p>
    <w:p>
      <w:pPr>
        <w:spacing w:after="0" w:line="300"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b w:val="1"/>
          <w:bCs w:val="1"/>
          <w:i w:val="1"/>
          <w:iCs w:val="1"/>
          <w:color w:val="auto"/>
        </w:rPr>
        <w:t>We may be unable to obtain orphan drug designation for our product candidates and, even if we obtain such designation, we may not be able to realize the benefits of such designation, including potential marketing exclusivity of our product candidates, if approved.</w:t>
      </w:r>
    </w:p>
    <w:p>
      <w:pPr>
        <w:spacing w:after="0" w:line="38"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Regulatory authorities in some jurisdictions, including the United States and other major markets, may designate drugs intended to treat conditions or diseases affecting relatively small patient populations as orphan drugs. Under the Orphan Drug Act of 1983, the FDA may designate a product candidate as an orphan drug if it is intended to treat a rare disease or condition, which is generally defined as having a patient population of fewer than 200,000 individuals in the United States, or a patient population greater than 200,000 in the United States where there is no reasonable expectation that the cost of developing the drug will be recovered from sales in the United States. In the European Union, EMA’s Committee for Orphan Medicinal Products grants orphan drug designation to promote the development of products that are intended for the diagnosis, prevention or treatment of a life-threatening or chronically debilitating condition affecting not more than 5 in 10,000 persons in the European Union. Additionally, orphan designation is granted for products intended for the diagnosis, prevention or treatment of a life-threatening, seriously debilitating or serious and chronic condition and when, without incentives, it is unlikely that sales of the drug in the European Union would be sufficient to justify the necessary investment in developing the drug or biologic product.</w:t>
      </w:r>
    </w:p>
    <w:p>
      <w:pPr>
        <w:spacing w:after="0" w:line="194"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color w:val="auto"/>
        </w:rPr>
        <w:t>In December 2018, October 2019 and March 2020, the FDA granted our requests for orphan drug designation for AVR-RD-01 for the treatment of Fabry disease, AVR-RD-02 for the treatment of Gaucher disease and AVR-RD-04 for the treatment of cystinosis, respectively. In September 2020 and October 2020 we announced that the European Commission granted our request for orphan drug designation for AVR-RD-02 for the treatment of Gaucher disease and AVR-RD-01 for the treatment of Fabry disease, respectively. If we request orphan drug designation (or the foreign equivalent) for any other product candidates, there can be no assurances that the FDA or foreign regulatory authorities will grant any of our product candidates such designation. Additionally, the designation of any of our product candidates as an orphan product does not mean that any regulatory agency will accelerate regulatory review of, or ultimately approve, that product candidate, nor does it limit the ability of any regulatory agency to grant orphan drug designation to product candidates of other companies that treat the same indications as our product candidates prior to our product candidates receiving exclusive marketing approval.</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8" w:name="page49"/>
    <w:bookmarkEnd w:id="48"/>
    <w:p>
      <w:pPr>
        <w:ind w:right="40"/>
        <w:spacing w:after="0" w:line="270" w:lineRule="auto"/>
        <w:rPr>
          <w:sz w:val="20"/>
          <w:szCs w:val="20"/>
          <w:color w:val="auto"/>
        </w:rPr>
      </w:pPr>
      <w:r>
        <w:rPr>
          <w:rFonts w:ascii="Arial" w:cs="Arial" w:eastAsia="Arial" w:hAnsi="Arial"/>
          <w:sz w:val="17"/>
          <w:szCs w:val="17"/>
          <w:color w:val="auto"/>
        </w:rPr>
        <w:t>Generally, if a product candidate with an orphan drug designation receives the first marketing approval for the indication for which it has such designation, the product is entitled to a period of marketing exclusivity, which precludes the FDA or foreign regulatory authorities from approving another marketing application for a product that constitutes the same drug treating the same indication for that marketing exclusivity period, except in limited circumstances. If another sponsor receives such approval before we do (regardless of our orphan drug designation), we will be precluded from receiving marketing approval for our product for the applicable exclusivity period. The applicable period is seven years in the United States and 10 years in the European Union. The exclusivity period in the European Union can be reduced to six years if a product no longer meets the criteria for orphan drug designation or if the product is sufficiently profitable so that market exclusivity is no longer justified. Orphan drug exclusivity may be revoked if any regulatory agency determines that the request for designation was materially defective or if the manufacturer is unable to assure sufficient quantity of the product to meet the needs of patients with the rare disease or condition.</w:t>
      </w:r>
    </w:p>
    <w:p>
      <w:pPr>
        <w:spacing w:after="0" w:line="18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Even if we obtain orphan drug exclusivity for a product candidate, that exclusivity may not effectively protect the product candidate from competition because different drugs can be approved for the same condition in the United States. Even after an orphan drug is approved, the FDA may subsequently approve another drug for the same condition if the FDA concludes that the latter drug is not the same drug or is clinically superior in that it is shown to be safer, more effective or makes a major contribution to patient care. In the European Union, marketing authorization may be granted to a similar medicinal product for the same orphan indication if:</w:t>
      </w:r>
    </w:p>
    <w:p>
      <w:pPr>
        <w:spacing w:after="0" w:line="80" w:lineRule="exact"/>
        <w:rPr>
          <w:sz w:val="20"/>
          <w:szCs w:val="20"/>
          <w:color w:val="auto"/>
        </w:rPr>
      </w:pPr>
    </w:p>
    <w:p>
      <w:pPr>
        <w:ind w:left="880" w:right="580" w:hanging="373"/>
        <w:spacing w:after="0" w:line="277"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second applicant can establish in its application that its medicinal product, although similar to the orphan medicinal product already authorized, is safer, more effective or otherwise clinically superior;</w:t>
      </w:r>
    </w:p>
    <w:p>
      <w:pPr>
        <w:spacing w:after="0" w:line="62" w:lineRule="exact"/>
        <w:rPr>
          <w:rFonts w:ascii="Arial" w:cs="Arial" w:eastAsia="Arial" w:hAnsi="Arial"/>
          <w:sz w:val="18"/>
          <w:szCs w:val="18"/>
          <w:color w:val="auto"/>
        </w:rPr>
      </w:pPr>
    </w:p>
    <w:p>
      <w:pPr>
        <w:ind w:left="880" w:right="40" w:hanging="373"/>
        <w:spacing w:after="0" w:line="277"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holder of the marketing authorization for the original orphan medicinal product consents to a second orphan medicinal product application; or</w:t>
      </w:r>
    </w:p>
    <w:p>
      <w:pPr>
        <w:spacing w:after="0" w:line="62" w:lineRule="exact"/>
        <w:rPr>
          <w:rFonts w:ascii="Arial" w:cs="Arial" w:eastAsia="Arial" w:hAnsi="Arial"/>
          <w:sz w:val="18"/>
          <w:szCs w:val="18"/>
          <w:color w:val="auto"/>
        </w:rPr>
      </w:pPr>
    </w:p>
    <w:p>
      <w:pPr>
        <w:ind w:left="880" w:right="340" w:hanging="373"/>
        <w:spacing w:after="0" w:line="277"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holder of the marketing authorization for the original orphan medicinal product cannot supply sufficient quantities of orphan medicinal product.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we obtain regulatory approval for a product candidate, our products will remain subject to regulatory oversight.</w:t>
      </w:r>
    </w:p>
    <w:p>
      <w:pPr>
        <w:spacing w:after="0" w:line="11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Even if we obtain any regulatory approval for our product candidates, they will be subject to ongoing regulatory requirements for manufacturing, labeling, packaging, storage, advertising, promotion, sampling, record-keeping and submission of safety and other post-market information. Any regulatory approvals that we receive for our product candidates also may be subject to a REMS, limitations on the approved indicated uses for which the product may be marketed or to the conditions of approval, or contain requirements for potentially costly post-marketing testing, including Phase 4 clinical trials, and surveillance to monitor the quality, safety and efficacy of the product. For example, the holder of an approved BLA is obligated to monitor and report adverse events and any failure of a product to meet the specifications in the BLA. FDA guidance advises that patients treated with some types of gene therapy undergo follow-up observations for potential adverse events for as long as 15 years. The holder of an approved BLA also must submit new or supplemental applications and obtain FDA approval for certain changes to the approved product, product labeling or manufacturing process. Advertising and promotional materials must comply with FDA rules and are subject to FDA review, in addition to other potentially applicable federal and state laws.</w:t>
      </w:r>
    </w:p>
    <w:p>
      <w:pPr>
        <w:spacing w:after="0" w:line="16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addition, product manufacturers and their facilities are subject to payment of user fees and continual review and periodic inspections by the FDA and other regulatory authorities for compliance with current good manufacturing practices, or CGMP, requirements and adherence to commitments made in the BLA or foreign marketing application. If we, or a regulatory authority, discover previously unknown problems with a product, such as adverse events of unanticipated severity or frequency, or problems with the facility where the product is manufactured or disagrees with the promotion, marketing or labeling of that product, a regulatory authority may impose restrictions relative to that product, the manufacturing facility or us, including requiring recall or withdrawal of the product from the market or suspension of manufacturing.</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If we fail to comply with applicable regulatory requirements following approval of any of our product candidates, a regulatory authority may:</w:t>
      </w:r>
    </w:p>
    <w:p>
      <w:pPr>
        <w:spacing w:after="0" w:line="117" w:lineRule="exact"/>
        <w:rPr>
          <w:sz w:val="20"/>
          <w:szCs w:val="20"/>
          <w:color w:val="auto"/>
        </w:rPr>
      </w:pPr>
    </w:p>
    <w:p>
      <w:pPr>
        <w:ind w:left="880" w:hanging="373"/>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issue a warning letter asserting that we are in violation of the law;</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seek an injunction or impose administrative, civil or criminal penalties or monetary fines;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suspend or withdraw regulatory approval;</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117" w:lineRule="exact"/>
        <w:rPr>
          <w:rFonts w:ascii="Arial" w:cs="Arial" w:eastAsia="Arial" w:hAnsi="Arial"/>
          <w:sz w:val="18"/>
          <w:szCs w:val="18"/>
          <w:color w:val="auto"/>
        </w:rPr>
      </w:pPr>
    </w:p>
    <w:p>
      <w:pPr>
        <w:ind w:left="880" w:right="220" w:hanging="373"/>
        <w:spacing w:after="0" w:line="277"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refuse to approve a pending BLA or comparable foreign marketing application (or any supplements thereto) submitted by us or our strategic partners;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restrict the marketing or manufacturing of the product;</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seize or detain the product or otherwise require the withdrawal of the product from the market;</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49" w:name="page50"/>
    <w:bookmarkEnd w:id="49"/>
    <w:p>
      <w:pPr>
        <w:ind w:left="880" w:hanging="373"/>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refuse to permit the import or export of products; or</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refuse to allow us to enter into supply contracts, including government contracts.</w:t>
      </w:r>
    </w:p>
    <w:p>
      <w:pPr>
        <w:spacing w:after="0" w:line="22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The occurrence of any event or penalty described above may inhibit our ability to commercialize our product candidates and adversely affect our business, financial condition, results of operations and prospects.</w:t>
      </w:r>
    </w:p>
    <w:p>
      <w:pPr>
        <w:spacing w:after="0" w:line="18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addition, the FDA’s policies, and those of equivalent foreign regulatory agencies,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materially and adversely affect our business, financial condition, results of operations and prospects.</w:t>
      </w:r>
    </w:p>
    <w:p>
      <w:pPr>
        <w:spacing w:after="0" w:line="30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Our focus on developing our current product candidates may not yield any commercially viable products, and our failure to successfully identify and develop additional product candidates could impair our ability to grow.</w:t>
      </w:r>
    </w:p>
    <w:p>
      <w:pPr>
        <w:spacing w:after="0" w:line="6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As part of our growth strategy, we intend to identify, develop and market additional product candidates beyond our existing product candidates for Fabry disease, cystinosis, Gaucher disease, Hunter syndrome and Pompe disease. We may spend several years completing our development of any particular current or future product candidates, and failure can occur at any stage. The product candidates to which we allocate our resources may not end up being successful. Because we have limited resources, we may forego or delay pursuit of opportunities with certain programs or product candidates or for indications that later prove to have greater commercial potential than our product candidates. Our spending on current and future research and development programs may not yield any commercially viable product candidates. If we do not accurately evaluate the commercial potential for a particular product candidate, we may relinquish valuable rights to that product candidate through strategic collaborations, licensing or other arrangements in cases in which it would have been more advantageous for us to retain sole development and commercialization rights to such product candidate. If any of these events occur, we may be forced to abandon our development efforts with respect to a particular product candidate or fail to develop a potentially successful product candidate.</w:t>
      </w:r>
    </w:p>
    <w:p>
      <w:pPr>
        <w:spacing w:after="0" w:line="185"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Because our internal research capabilities are limited, we may be dependent upon biotechnology companies, academic scientists and other researchers to sell or license product candidates, approved products or the underlying technology to us. The success of this strategy depends partly upon our ability to identify, select, discover and acquire promising product candidates and products.</w:t>
      </w:r>
    </w:p>
    <w:p>
      <w:pPr>
        <w:spacing w:after="0" w:line="184"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In addition, certain of our current or future product candidates may not demonstrate in patients any or all of the pharmacological benefits we believe they may possess or compare favorably to existing, approved therapies, such as ERT. We have not yet succeeded and may never succeed in demonstrating efficacy and safety of our product candidates or any future product candidates in clinical trials or in obtaining marketing approval thereafter. Accordingly, our focus on treating these diseases may not result in the development of commercially viable products.</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we are unsuccessful in our development efforts, we may not be able to advance the development of our product candidates, commercialize products, raise capital, expand our business or continue our operations.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manufacturing</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Gene therapies are novel, complex and difficult to manufacture. We could experience production problems that result in delays in our development or commercialization programs or otherwise adversely affect our business.</w:t>
      </w:r>
    </w:p>
    <w:p>
      <w:pPr>
        <w:spacing w:after="0" w:line="62"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manufacturing process we use to produce our product candidates is complex, novel and has not been validated for commercial use. Several factors could cause production interruptions, including equipment malfunctions, facility contamination, raw material shortages or contamination, natural disasters, disruption in utility services, human error or disruptions in the operations of our suppliers.</w:t>
      </w:r>
    </w:p>
    <w:p>
      <w:pPr>
        <w:spacing w:after="0" w:line="184"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Our product candidates require processing steps that are more complex than those required for most chemical pharmaceuticals. Moreover, unlike chemical pharmaceuticals, the physical and chemical properties of a biologic such as ours generally cannot be fully characterized. As a result, assays of the finished product may not be sufficient to ensure that the product will perform in the intended manner. Accordingly, we and our manufacturing suppliers employ multiple steps to control the manufacturing process with the goal of ensuring that the product candidate is made strictly and consistently in compliance with the process. Problems with the manufacturing process, including even minor deviations from the intended process, could result in product defects or manufacturing failures that result in lot failures, product recalls, product liability claims or insufficient inventory. We may encounter problems achieving adequate quantities and quality of clinical-grade materials that meet FDA or other applicable regulatory standards or specifications with consistent and acceptable production yields and costs.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0" w:name="page51"/>
    <w:bookmarkEnd w:id="50"/>
    <w:p>
      <w:pPr>
        <w:ind w:right="100"/>
        <w:spacing w:after="0" w:line="273" w:lineRule="auto"/>
        <w:rPr>
          <w:sz w:val="20"/>
          <w:szCs w:val="20"/>
          <w:color w:val="auto"/>
        </w:rPr>
      </w:pPr>
      <w:r>
        <w:rPr>
          <w:rFonts w:ascii="Arial" w:cs="Arial" w:eastAsia="Arial" w:hAnsi="Arial"/>
          <w:sz w:val="17"/>
          <w:szCs w:val="17"/>
          <w:color w:val="auto"/>
        </w:rPr>
        <w:t>In addition, the FDA and other foreign regulatory authorities may require us to submit samples of any lot of any approved product together with the protocols showing the results of applicable tests at any time. Under some circumstances, the FDA or other foreign regulatory authorities may require that we not distribute a lot until the agency authorizes its release. Even slight deviations in the manufacturing process, including those affecting quality attributes and stability, may result in unacceptable changes in the product that could result in lot failures or product recalls. There is no assurance we will not experience lot failures in the future. Lot failures or product recalls could cause us to delay clinical trials, or, if approved, commercial product launches, which could be costly to us and otherwise harm our business, financial condition, results of operations and prospects.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expect to rely on third parties to conduct some or all aspects of our vector production, product manufacturing, protocol development, research and preclinical and clinical testing, and these third parties may not perform satisfactorily.</w:t>
      </w:r>
    </w:p>
    <w:p>
      <w:pPr>
        <w:spacing w:after="0" w:line="6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do not expect to independently conduct all aspects of our vector production, product manufacturing, protocol development, research and preclinical and clinical testing. We currently rely, and expect to continue to rely, on third parties with respect to these items. For example, we have moved our cell processing to an automated, closed system with a single third-party supplier.</w:t>
      </w:r>
    </w:p>
    <w:p>
      <w:pPr>
        <w:spacing w:after="0" w:line="18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Any of these third parties may terminate their engagements with us at any time. If we need to enter into alternative arrangements, it could delay our product development activities. Our reliance on these third parties for research and development activities will reduce our control over these activities but will not relieve us of our responsibility to ensure compliance with all required regulations and study protocols. For example, for product candidates that we develop and commercialize on our own, we will remain responsible for ensuring that each of our preclinical and clinical studies are conducted in accordance with the study plan, protocols and regulatory requirements.</w:t>
      </w:r>
    </w:p>
    <w:p>
      <w:pPr>
        <w:spacing w:after="0" w:line="188"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If our contract counterparties do not successfully carry out their contractual duties, meet expected deadlines or conduct our studies in accordance with regulatory requirements or our stated study plans and protocols, we will not be able to complete, or may be delayed in completing, the preclinical and clinical studies required to support approval of our product candidates or the FDA or other regulatory agencies may refuse to accept our clinical or preclinical data. For example, in 2017, the ongoing investigator-sponsored Phase 1 clinical trial of AVR-RD-01 encountered delays in the enrollment of patients due to delays in identifying patients for enrollment and the evaluation of information from screened potential trial participants. In 2019, we encountered delays in the enrollment of patients in the Company-sponsored Phase 1/2 clinical trial of AVR-RD-02 for Gaucher disease. While a number of interested patients had been identified for the Phase 1/2 clinical trial, we encountered patient pre-screening failures that impacted the commencement of enrollment in these studies. In 2020, a kidney biopsy was conducted on the third patient in the Phase 2 clinical trial of AVR-RD-01, but due to human error in processing the biopsy sample at the external laboratory vendor, the kidney Gb3 inclusions could not be evaluated and will not be available. Although our quality assurance personnel have worked closely with the external vendor to identify the cause of the vendor error and to identify additional protocols for implementation by the vendor that are designed to prevent similar errors in the future, there can be no assurances that such protocols will be successfully implemented by the vendor.</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Reliance on third-party manufacturers entails risks to which we would not be subject if we manufactured the product candidates ourselves, including:</w:t>
      </w:r>
    </w:p>
    <w:p>
      <w:pPr>
        <w:spacing w:after="0" w:line="129" w:lineRule="exact"/>
        <w:rPr>
          <w:sz w:val="20"/>
          <w:szCs w:val="20"/>
          <w:color w:val="auto"/>
        </w:rPr>
      </w:pPr>
    </w:p>
    <w:p>
      <w:pPr>
        <w:ind w:left="880" w:hanging="373"/>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inability to negotiate manufacturing agreements with third parties under commercially reasonable terms;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reduced control as a result of using third-party manufacturers for all aspects of manufacturing activities;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termination or nonrenewal of manufacturing agreements with third parties in a manner or at a time that is costly or damaging to us; and</w:t>
      </w:r>
    </w:p>
    <w:p>
      <w:pPr>
        <w:spacing w:after="0" w:line="128" w:lineRule="exact"/>
        <w:rPr>
          <w:rFonts w:ascii="Arial" w:cs="Arial" w:eastAsia="Arial" w:hAnsi="Arial"/>
          <w:sz w:val="17"/>
          <w:szCs w:val="17"/>
          <w:color w:val="auto"/>
        </w:rPr>
      </w:pPr>
    </w:p>
    <w:p>
      <w:pPr>
        <w:ind w:left="880" w:right="600" w:hanging="373"/>
        <w:spacing w:after="0" w:line="277" w:lineRule="auto"/>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disruptions to the operations of our third-party manufacturers or suppliers caused by conditions unrelated to our business or operations, including the impact of the ongoing COVID-19 pandemic or the bankruptcy of the manufacturer or supplier.</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Any of these events could lead to delays of our preclinical and clinical studies or failure to obtain regulatory approval, or impact our ability to successfully commercialize future products. Some of these events could be the basis for FDA action, including injunction, recall, seizure or total or partial suspension of production.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a limited number of suppliers for some of our components and materials used in our product candidates.</w:t>
      </w:r>
    </w:p>
    <w:p>
      <w:pPr>
        <w:spacing w:after="0" w:line="11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We currently depend on a limited number of suppliers for some of the components necessary for our product candidates. We cannot be sure that these suppliers will remain in business, or that they will not be purchased by one of our competitors or another company that is not interested in continuing to produce these materials for our intended purpose. Our use of a limited number of suppliers of raw materials, components and finished goods exposes us to several risks, including disruptions in supply, price increases, late deliveries and an inability to meet customer demand. There are, in general, relatively few alternative sources of supply for these components. These vendors may be unable or unwilling to meet our future demands for our clinical trials or commercial sale. Establishing additional or replacement suppliers for these components could take a substantial amount of time and it may be difficult to establish replacement suppliers who meet regulatory requirements. Any disruption in supply from any supplier or manufacturing location could lead to supply delays or interruptions which would damage our business, financial condition, results of operations and prospects.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1" w:name="page52"/>
    <w:bookmarkEnd w:id="51"/>
    <w:p>
      <w:pPr>
        <w:spacing w:after="0" w:line="287" w:lineRule="auto"/>
        <w:rPr>
          <w:sz w:val="20"/>
          <w:szCs w:val="20"/>
          <w:color w:val="auto"/>
        </w:rPr>
      </w:pPr>
      <w:r>
        <w:rPr>
          <w:rFonts w:ascii="Arial" w:cs="Arial" w:eastAsia="Arial" w:hAnsi="Arial"/>
          <w:sz w:val="16"/>
          <w:szCs w:val="16"/>
          <w:color w:val="auto"/>
        </w:rPr>
        <w:t>If we are required to switch to a replacement supplier or manufacture materials ourselves, the manufacture and delivery of our product candidates could be interrupted for an extended period, adversely affecting our business. Establishing additional or replacement suppliers may not be accomplished quickly, and we may not be able to enter agreements with replacement suppliers on reasonable terms, if at all. In either scenario, our clinical trials supply could be delayed significantly as we establish alternative supply sources. In some cases, the technical skills required to manufacture our products or product candidates may be unique or proprietary to the original CMO and we may have difficulty, or there may be contractual restrictions prohibiting us from, transferring such skills to a back-up or alternate supplier, or we may be unable to transfer such skills at all. If we are able to find a replacement supplier, the replacement supplier would need to be qualified and may require additional regulatory authority approval, which could result in further delay. For example, the FDA could require additional supplemental bridging data if we rely upon a new supplier. We may be unsuccessful in demonstrating the comparability of clinical supplies which could require the conduct of additional clinical trials. While we seek to maintain adequate inventory of the components and materials used in our product candidates, any interruption or delay in the supply of components or materials, or our inability to obtain components or materials from alternate sources at acceptable prices in a timely manner, could impair our ability to conduct our clinical trials and, if our product candidates are approved, to meet the demand of our customers and cause them to cancel orders.</w:t>
      </w:r>
    </w:p>
    <w:p>
      <w:pPr>
        <w:spacing w:after="0" w:line="168"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In addition, as part of the FDA’s approval of our product candidates, the FDA must review and approve the individual components of our production process, which includes the manufacturing processes and facilities of our suppliers. Our current suppliers have not undergone this process, nor have they had any components included in any product approved by the FDA.</w:t>
      </w:r>
    </w:p>
    <w:p>
      <w:pPr>
        <w:spacing w:after="0" w:line="18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Our reliance on these suppliers subjects us to a number of risks that could harm our reputation, business, and financial condition, including, among other things:</w:t>
      </w:r>
    </w:p>
    <w:p>
      <w:pPr>
        <w:spacing w:after="0" w:line="62" w:lineRule="exact"/>
        <w:rPr>
          <w:sz w:val="20"/>
          <w:szCs w:val="20"/>
          <w:color w:val="auto"/>
        </w:rPr>
      </w:pPr>
    </w:p>
    <w:p>
      <w:pPr>
        <w:ind w:left="880" w:hanging="373"/>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delays in production, supply, shipment or delivery as a result of the ongoing COVID-19 pandemic;</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interruption of supply resulting from modifications to or discontinuation of a supplier’s operations;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delays in product shipments resulting from uncorrected defects, reliability issues, or a supplier’s variation in a component;</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lack of long-term supply arrangements for key components with our suppliers;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inability to obtain adequate supply in a timely manner, or to obtain adequate supply on commercially reasonable terms;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difficulty and cost associated with locating and qualifying alternative suppliers for our components in a timely manner;</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production delays related to the evaluation and testing of products from alternative suppliers, and corresponding regulatory qualifications;</w:t>
      </w:r>
    </w:p>
    <w:p>
      <w:pPr>
        <w:spacing w:after="0" w:line="128" w:lineRule="exact"/>
        <w:rPr>
          <w:rFonts w:ascii="Arial" w:cs="Arial" w:eastAsia="Arial" w:hAnsi="Arial"/>
          <w:sz w:val="17"/>
          <w:szCs w:val="17"/>
          <w:color w:val="auto"/>
        </w:rPr>
      </w:pPr>
    </w:p>
    <w:p>
      <w:pPr>
        <w:ind w:left="880" w:hanging="373"/>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delay in delivery due to our suppliers prioritizing other customer orders over ours;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damage to our reputation caused by defective components produced by our suppliers;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increased cost of our warranty program due to product repair or replacement based upon defects in components produced by our suppliers; and</w:t>
      </w:r>
    </w:p>
    <w:p>
      <w:pPr>
        <w:spacing w:after="0" w:line="140" w:lineRule="exact"/>
        <w:rPr>
          <w:rFonts w:ascii="Arial" w:cs="Arial" w:eastAsia="Arial" w:hAnsi="Arial"/>
          <w:sz w:val="16"/>
          <w:szCs w:val="16"/>
          <w:color w:val="auto"/>
        </w:rPr>
      </w:pPr>
    </w:p>
    <w:p>
      <w:pPr>
        <w:ind w:left="880" w:hanging="373"/>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fluctuation in delivery by our suppliers due to changes in demand from us or their other customers.</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If any of these risks materialize, costs could significantly increase and our ability to conduct our clinical trials and, if our product candidates are approved, to meet demand for our products could be impacted.</w:t>
      </w:r>
    </w:p>
    <w:p>
      <w:pPr>
        <w:spacing w:after="0" w:line="27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and our contract manufacturers are subject to significant regulation with respect to manufacturing our products. The manufacturing facilities on which we rely may not continue to meet regulatory requirements and have limited capacity.</w:t>
      </w:r>
    </w:p>
    <w:p>
      <w:pPr>
        <w:spacing w:after="0" w:line="62"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currently have relationships with a limited number of suppliers for the manufacturing of our viral vectors and product candidates. Each supplier may require licenses to manufacture such components if such processes are not owned by the supplier or in the public domain and we may be unable to transfer or sublicense the intellectual property rights we may have with respect to such activities.</w:t>
      </w:r>
    </w:p>
    <w:p>
      <w:pPr>
        <w:spacing w:after="0" w:line="184"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All entities involved in the preparation of therapeutics for clinical studies or commercial sale, including our existing contract manufacturers for our product candidates, are subject to extensive regulation. Components of a finished therapeutic product approved for commercial sale or used in clinical studies must be manufactured in accordance with CGMP.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adventitious agents or other contaminants, or to inadvertent changes in the properties or stability of our product candidates that may not be detectable in final product testing. We or our contract manufacturers must supply all necessary documentation in support of a BLA on a timely basis and must adhere to the FDA’s good laboratory practices, or GLP, and CGMP regulations enforced by the FDA through its facilities inspection program. Some of our contract manufacturers have not produced a</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2" w:name="page53"/>
    <w:bookmarkEnd w:id="52"/>
    <w:p>
      <w:pPr>
        <w:ind w:right="40"/>
        <w:spacing w:after="0" w:line="272" w:lineRule="auto"/>
        <w:rPr>
          <w:sz w:val="20"/>
          <w:szCs w:val="20"/>
          <w:color w:val="auto"/>
        </w:rPr>
      </w:pPr>
      <w:r>
        <w:rPr>
          <w:rFonts w:ascii="Arial" w:cs="Arial" w:eastAsia="Arial" w:hAnsi="Arial"/>
          <w:sz w:val="17"/>
          <w:szCs w:val="17"/>
          <w:color w:val="auto"/>
        </w:rPr>
        <w:t>commercially-approved product and have never been inspected by the FDA before. Our facilities and quality systems and the facilities and quality systems of some or all of our third-party contractors must pass a pre-approval inspection for compliance with the applicable regulations as a condition of regulatory approval of our product candidates or any of our other potential products. In addition, the regulatory authorities may, at any time, audit or inspect a manufacturing facility involved with the preparation of our product candidates or our other potential products or the associated quality systems for compliance with the regulations applicable to the activities being conducted. If these facilities do not pass a pre-approval plant inspection, or if the FDA is unable to conduct such an inspection due to the COVID-19 pandemic, the FDA may issue a complete response letter or defer action on our applications, and approval of the products may be delayed or may not be granted.</w:t>
      </w:r>
    </w:p>
    <w:p>
      <w:pPr>
        <w:spacing w:after="0" w:line="17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regulatory authorities also may, at any time following approval of a product for sale, audit our manufacturing facilities or those of our third-party contractors. If any such inspection or audit identifies a failure to comply with applicable regulations or if a violation of our product specifications or applicable regulations occurs independent of such an inspection or audit, we or the relevant regulatory authority may require remedial measures that may be costly and/or time-consuming for us or a third party to implement and that may include the temporary or permanent suspension of a clinical study or commercial sales or the temporary or permanent closure of a facility. Any such remedial measures imposed upon us or third parties with whom we contract could materially harm our business.</w:t>
      </w:r>
    </w:p>
    <w:p>
      <w:pPr>
        <w:spacing w:after="0" w:line="192"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If we or any of our third-party manufacturers fail to maintain regulatory compliance, the FDA can impose regulatory sanctions including, among other things, refusal to approve a pending application for a new drug product or biologic product, or revocation of a pre-existing approval. As a result, our business, financial condition and results of operations may be materially harmed.</w:t>
      </w:r>
    </w:p>
    <w:p>
      <w:pPr>
        <w:spacing w:after="0" w:line="1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These factors could cause the delay of clinical studies, regulatory submissions, required approvals or commercialization of our product candidates, cause us to incur higher costs and prevent us from commercializing our products successfully. Furthermore, if our suppliers fail to meet contractual requirements, and we are unable to secure one or more replacement suppliers capable of production at a substantially equivalent cost, our preclinical and clinical studies may be delayed.</w:t>
      </w:r>
    </w:p>
    <w:p>
      <w:pPr>
        <w:spacing w:after="0" w:line="29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reliance on third parties requires us to share our trade secrets, which increases the possibility that a competitor will discover them or that our trade secrets will be misappropriated or disclosed.</w:t>
      </w:r>
    </w:p>
    <w:p>
      <w:pPr>
        <w:spacing w:after="0" w:line="62"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Because we rely on third parties to manufacture our vectors and our product candidates, and because we collaborate with various organizations and academic institutions on the advancement of our gene therapy approach, we must, at times, share trade secrets with them. We seek to protect our proprietary technology in part by entering into confidentiality agreements and, if applicable, material transfer agreements, collaborative research agreements, consulting agreements or other similar agreements with our collaborators, advisors, employees and consultants prior to beginning research or disclosing proprietary information. These agreements typically limit the rights of the third parties to use or disclose our confidential information, such as trade secrets.</w:t>
      </w:r>
    </w:p>
    <w:p>
      <w:pPr>
        <w:spacing w:after="0" w:line="192"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 material adverse effect on our business.</w:t>
      </w:r>
    </w:p>
    <w:p>
      <w:pPr>
        <w:spacing w:after="0" w:line="15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In addition, these agreements typically restrict the ability of our collaborators, advisors, employees and consultants to publish data potentially relating to our trade secrets. Our academic collaborators typically have rights to publish data, provided that we are notified in advance and may delay publication for a specified time in order to secure our intellectual property rights arising from the collaboration. In other cases, publication rights are controlled exclusively by us, although in some cases we may share these rights with other parties. Despite our efforts to protect our trade secrets, our competitors may discover our trade secrets, either through breach of these agreements, independent development or publication of information including our trade secrets in cases where we do not have proprietary or otherwise protected rights at the time of publication. A competitor’s discovery of our trade secrets would impair our competitive position and have an adverse impact on our business.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our product candidates</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If we are unable to establish sales, distribution and marketing capabilities or enter into agreements with third parties to market and sell our product candidates, we will be unable to generate any product revenue.</w:t>
      </w:r>
    </w:p>
    <w:p>
      <w:pPr>
        <w:spacing w:after="0" w:line="6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are in the preliminary stages of building our commercial organization. To successfully commercialize any of our current or future product candidates, if approved, we will need to develop these capabilities, either on our own or with others. The establishment and development of our own commercial team or the establishment of a contract sales force to market any product candidate we may develop will be expensive and time-consuming and could delay any product launch. Moreover, we cannot be certain that we will be able to successfully develop this capability. We may enter into collaborations regarding any approved product candidates with other</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3" w:name="page54"/>
    <w:bookmarkEnd w:id="53"/>
    <w:p>
      <w:pPr>
        <w:spacing w:after="0" w:line="254" w:lineRule="auto"/>
        <w:rPr>
          <w:sz w:val="20"/>
          <w:szCs w:val="20"/>
          <w:color w:val="auto"/>
        </w:rPr>
      </w:pPr>
      <w:r>
        <w:rPr>
          <w:rFonts w:ascii="Arial" w:cs="Arial" w:eastAsia="Arial" w:hAnsi="Arial"/>
          <w:sz w:val="18"/>
          <w:szCs w:val="18"/>
          <w:color w:val="auto"/>
        </w:rPr>
        <w:t>entities to utilize their established marketing and distribution capabilities, but we may be unable to enter into such agreements on favorable terms, if at all. If any future collaborators do not commit sufficient resources to commercialize our product candidates, or we are unable to develop the necessary capabilities on our own, we will be unable to generate sufficient product revenue to sustain our business. We compete with many companies that currently have extensive, experienced and well-funded sales, distribution and marketing operations to recruit, hire, train and retain marketing and sales personnel. We also face competition in our search for third parties to assist us with the sales and marketing efforts of our product candidates, if approved. Without an internal team or the support of a third-party to perform marketing and sales functions, we may be unable to compete successfully against these more established companies.</w:t>
      </w:r>
    </w:p>
    <w:p>
      <w:pPr>
        <w:spacing w:after="0" w:line="30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If the market opportunities for our product candidates are smaller than we believe they are, our product revenues may be adversely affected and our business may suffer.</w:t>
      </w:r>
    </w:p>
    <w:p>
      <w:pPr>
        <w:spacing w:after="0" w:line="6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focus our research and product development on treatments for serious lysosomal diseases. Our understanding of both the number of people who have these diseases, as well as the subset of people with these diseases who have the potential to benefit from treatment with our product candidates, are based on estimates. These estimates may prove to be incorrect and new studies may reduce the estimated incidence or prevalence of these diseases. The number of patients in the United States and elsewhere may turn out to be lower than expected, may not be otherwise amenable to treatment with our products or patients may become increasingly difficult to identify and access, all of which would adversely affect our business, financial condition, results of operations and prospects.</w:t>
      </w:r>
    </w:p>
    <w:p>
      <w:pPr>
        <w:spacing w:after="0" w:line="30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The commercial success of any current or future product candidate will depend upon the degree of market acceptance by physicians, patients, third-party payors and others in the medical community.</w:t>
      </w:r>
    </w:p>
    <w:p>
      <w:pPr>
        <w:spacing w:after="0" w:line="62"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Even if we obtain any regulatory approval for our product candidates, the commercial success of our product candidates will depend in part on the medical community, patients, and third-party payors accepting gene therapy products in general, and our product candidates in particular, as effective, safe and cost-effective. Any product that we bring to the market may not gain market acceptance by physicians, patients, third-party payors and others in the medical community. The degree of market acceptance of these product candidates, if approved for commercial sale, will depend on a number of factors, including:</w:t>
      </w:r>
    </w:p>
    <w:p>
      <w:pPr>
        <w:spacing w:after="0" w:line="49" w:lineRule="exact"/>
        <w:rPr>
          <w:sz w:val="20"/>
          <w:szCs w:val="20"/>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potential efficacy and potential advantages over alternative treatments, including any similar generic treatments;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efficacy and safety as demonstrated in pivotal clinical trials and published in peer-reviewed journals;</w:t>
      </w:r>
    </w:p>
    <w:p>
      <w:pPr>
        <w:spacing w:after="0" w:line="117" w:lineRule="exact"/>
        <w:rPr>
          <w:rFonts w:ascii="Arial" w:cs="Arial" w:eastAsia="Arial" w:hAnsi="Arial"/>
          <w:sz w:val="18"/>
          <w:szCs w:val="18"/>
          <w:color w:val="auto"/>
        </w:rPr>
      </w:pPr>
    </w:p>
    <w:p>
      <w:pPr>
        <w:ind w:left="880" w:right="460" w:hanging="373"/>
        <w:spacing w:after="0" w:line="308" w:lineRule="auto"/>
        <w:tabs>
          <w:tab w:leader="none" w:pos="8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prevalence and severity of any adverse events or side effects, including any limitations or warnings contained in a product’s approved labeling or that are later found to be associated with a product, including in findings from long-term follow-up studies;</w:t>
      </w:r>
    </w:p>
    <w:p>
      <w:pPr>
        <w:spacing w:after="0" w:line="38" w:lineRule="exact"/>
        <w:rPr>
          <w:rFonts w:ascii="Arial" w:cs="Arial" w:eastAsia="Arial" w:hAnsi="Arial"/>
          <w:sz w:val="17"/>
          <w:szCs w:val="17"/>
          <w:color w:val="auto"/>
        </w:rPr>
      </w:pPr>
    </w:p>
    <w:p>
      <w:pPr>
        <w:ind w:left="880" w:hanging="373"/>
        <w:spacing w:after="0"/>
        <w:tabs>
          <w:tab w:leader="none" w:pos="8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prevalence and severity of any side effects resulting from the conditioning regimen for the administration of our product candidates;</w:t>
      </w:r>
    </w:p>
    <w:p>
      <w:pPr>
        <w:spacing w:after="0" w:line="128" w:lineRule="exact"/>
        <w:rPr>
          <w:rFonts w:ascii="Arial" w:cs="Arial" w:eastAsia="Arial" w:hAnsi="Arial"/>
          <w:sz w:val="17"/>
          <w:szCs w:val="17"/>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ability to offer the products for sale at competitive prices;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clinical indications for which the products are approved by the FDA or comparable regulatory agencies;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relative convenience and ease of dosing and administration compared to alternative treatments;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 and timing of market introduction of competitive products;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restrictions on how the product is distributed;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publicity concerning our products or competing products and treatments;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favorable third-party insurance coverage and sufficient reimbursement.</w:t>
      </w:r>
    </w:p>
    <w:p>
      <w:pPr>
        <w:spacing w:after="0" w:line="225" w:lineRule="exact"/>
        <w:rPr>
          <w:sz w:val="20"/>
          <w:szCs w:val="20"/>
          <w:color w:val="auto"/>
        </w:rPr>
      </w:pPr>
    </w:p>
    <w:p>
      <w:pPr>
        <w:ind w:right="200"/>
        <w:spacing w:after="0" w:line="296" w:lineRule="auto"/>
        <w:rPr>
          <w:sz w:val="20"/>
          <w:szCs w:val="20"/>
          <w:color w:val="auto"/>
        </w:rPr>
      </w:pPr>
      <w:r>
        <w:rPr>
          <w:rFonts w:ascii="Arial" w:cs="Arial" w:eastAsia="Arial" w:hAnsi="Arial"/>
          <w:sz w:val="16"/>
          <w:szCs w:val="16"/>
          <w:color w:val="auto"/>
        </w:rPr>
        <w:t>Sales of medical products also depend on the willingness of physicians to prescribe the treatment, which is likely to be based on a determination by these physicians that the products are safe, therapeutically effective and cost effective. In addition, the inclusion or exclusion of products from treatment guidelines established by various physician groups and the viewpoints of influential physicians can affect the willingness of other physicians to prescribe the treatment. We cannot predict whether physicians, physicians’ organizations, hospitals, other healthcare providers, government agencies or private insurers will determine that our product is safe, therapeutically effective and cost effective as compared with competing treatments.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4" w:name="page55"/>
    <w:bookmarkEnd w:id="54"/>
    <w:p>
      <w:pPr>
        <w:spacing w:after="0" w:line="275" w:lineRule="auto"/>
        <w:rPr>
          <w:sz w:val="20"/>
          <w:szCs w:val="20"/>
          <w:color w:val="auto"/>
        </w:rPr>
      </w:pPr>
      <w:r>
        <w:rPr>
          <w:rFonts w:ascii="Arial" w:cs="Arial" w:eastAsia="Arial" w:hAnsi="Arial"/>
          <w:sz w:val="17"/>
          <w:szCs w:val="17"/>
          <w:color w:val="auto"/>
        </w:rPr>
        <w:t>Even if a product candidate displays a favorable efficacy and safety profile in preclinical and clinical studies, market acceptance of the product, if approved for commercial sale, will not be known until after it is launched. Our efforts to educate the medical community and third-party payors on the benefits of our product candidates may require significant resources and may never be successful. Such efforts to educate the marketplace may require more resources than are required by the conventional technologies marketed by our competitors. If these products do not achieve an adequate level of acceptance, we may not generate significant product revenue and may not become profitable.</w:t>
      </w:r>
    </w:p>
    <w:p>
      <w:pPr>
        <w:spacing w:after="0" w:line="28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If we obtain approval to commercialize our product candidates outside of the United States, a variety of risks associated with international operations could materially adversely affect our business.</w:t>
      </w:r>
    </w:p>
    <w:p>
      <w:pPr>
        <w:spacing w:after="0" w:line="6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are currently conducting clinical trials for our product candidates in the United States, Canada and Australia, and plan to expand to other geographies including Japan, Europe and Israel. If any of our product candidates are approved for commercialization, we may enter into agreements with third parties to market them on a worldwide basis or in more limited geographical regions. We expect that we will be subject to additional risks related to entering into international business relationships, including:</w:t>
      </w:r>
    </w:p>
    <w:p>
      <w:pPr>
        <w:spacing w:after="0" w:line="79" w:lineRule="exact"/>
        <w:rPr>
          <w:sz w:val="20"/>
          <w:szCs w:val="20"/>
          <w:color w:val="auto"/>
        </w:rPr>
      </w:pPr>
    </w:p>
    <w:p>
      <w:pPr>
        <w:ind w:left="880" w:hanging="373"/>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different regulatory requirements for approval of drugs and biologics in foreign countries;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17" w:lineRule="exact"/>
        <w:rPr>
          <w:rFonts w:ascii="Arial" w:cs="Arial" w:eastAsia="Arial" w:hAnsi="Arial"/>
          <w:sz w:val="18"/>
          <w:szCs w:val="18"/>
          <w:color w:val="auto"/>
        </w:rPr>
      </w:pPr>
    </w:p>
    <w:p>
      <w:pPr>
        <w:ind w:left="880" w:right="40" w:hanging="373"/>
        <w:spacing w:after="0" w:line="277"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17" w:lineRule="exact"/>
        <w:rPr>
          <w:rFonts w:ascii="Arial" w:cs="Arial" w:eastAsia="Arial" w:hAnsi="Arial"/>
          <w:sz w:val="18"/>
          <w:szCs w:val="18"/>
          <w:color w:val="auto"/>
        </w:rPr>
      </w:pPr>
    </w:p>
    <w:p>
      <w:pPr>
        <w:ind w:left="880" w:right="300" w:hanging="373"/>
        <w:spacing w:after="0" w:line="277"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 including earthquakes, typhoons, floods and fires.</w:t>
      </w:r>
    </w:p>
    <w:p>
      <w:pPr>
        <w:spacing w:after="0" w:line="278" w:lineRule="exact"/>
        <w:rPr>
          <w:sz w:val="20"/>
          <w:szCs w:val="20"/>
          <w:color w:val="auto"/>
        </w:rPr>
      </w:pPr>
    </w:p>
    <w:p>
      <w:pPr>
        <w:jc w:val="both"/>
        <w:ind w:right="340"/>
        <w:spacing w:after="0" w:line="263" w:lineRule="auto"/>
        <w:rPr>
          <w:sz w:val="20"/>
          <w:szCs w:val="20"/>
          <w:color w:val="auto"/>
        </w:rPr>
      </w:pPr>
      <w:r>
        <w:rPr>
          <w:rFonts w:ascii="Arial" w:cs="Arial" w:eastAsia="Arial" w:hAnsi="Arial"/>
          <w:sz w:val="18"/>
          <w:szCs w:val="18"/>
          <w:b w:val="1"/>
          <w:bCs w:val="1"/>
          <w:i w:val="1"/>
          <w:iCs w:val="1"/>
          <w:color w:val="auto"/>
        </w:rPr>
        <w:t>The insurance coverage and reimbursement status of newly-approved products are uncertain. Failure to obtain or maintain adequate coverage and reimbursement for any of our product candidates, if approved, could limit our ability to market those products and decrease our ability to generate revenue.</w:t>
      </w:r>
    </w:p>
    <w:p>
      <w:pPr>
        <w:spacing w:after="0" w:line="76"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The regulations that govern marketing approvals, pricing and reimbursement for new drugs vary widely from country to country. In the United States, recently enacted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or their commercial launch of the product, possibly for lengthy time periods, and negatively impact the revenue we are able to generate from the sale of the product in that country. Adverse pricing limitations may hinder our ability to recoup our investment in one or more product candidates, even if any product candidates we may develop obtain marketing approval.</w:t>
      </w:r>
    </w:p>
    <w:p>
      <w:pPr>
        <w:spacing w:after="0" w:line="178"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Our ability to successfully commercialize our product candidates or any other products that we or they may develop also will depend in part on the extent to which reimbursement for these products and related treatments will be available from government health administration authorities, private health insurers, and other organizations. Government authorities and other third-party payors, such as private health insurers and health maintenance organizations, decide which medications they will pay for and establish reimbursement levels. The availability and extent of reimbursement by governmental and private payors is essential for most patients to be able to afford treatments. Sales of our product candidates will depend substantially, both domestically and abroad,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 We may not be able to provide data sufficient to gain acceptance with respect to coverage and reimbursement. If reimbursement is not available, or is available only at limited levels, we may not be able to successfully commercialize our product candidates, if approved. Even if coverage is provided, the approved reimbursement amount may not be high enough to allow us to establish or maintain pricing sufficient to realize a sufficient return on our investment.</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5" w:name="page56"/>
    <w:bookmarkEnd w:id="55"/>
    <w:p>
      <w:pPr>
        <w:spacing w:after="0" w:line="269" w:lineRule="auto"/>
        <w:rPr>
          <w:sz w:val="20"/>
          <w:szCs w:val="20"/>
          <w:color w:val="auto"/>
        </w:rPr>
      </w:pPr>
      <w:r>
        <w:rPr>
          <w:rFonts w:ascii="Arial" w:cs="Arial" w:eastAsia="Arial" w:hAnsi="Arial"/>
          <w:sz w:val="17"/>
          <w:szCs w:val="17"/>
          <w:color w:val="auto"/>
        </w:rPr>
        <w:t>There is significant uncertainty related to the insurance coverage and reimbursement of newly approved products. In the United States, the principal decisions about reimbursement for new medicines are typically made by the Centers for Medicare &amp; Medicaid Services, or CMS, an agency within the U.S. Department of Health and Human Services, as CMS decides whether and to what extent a new medicine will be covered and reimbursed under Medicare. Private payors tend to follow CMS to a substantial degree. It is difficult to predict what CMS will decide with respect to reimbursement for fundamentally novel products such as ours, as there is no body of established practices and precedents for these new products. Patients who are provided medical treatment for their conditions generally rely on third-party payors to reimburse all or part of the costs associated with their treatment. Adequate coverage and reimbursement from governmental healthcare programs and commercial payors are critical to new product acceptance. Government authorities and other third-party payors, such as private health insurers and health maintenance organizations, decide which drugs and treatments they will cover and the amount of reimbursement. Coverage and reimbursement by a third-party payor may depend upon a number of factors, including the third-party payor’s determination that use of a product is:</w:t>
      </w:r>
    </w:p>
    <w:p>
      <w:pPr>
        <w:spacing w:after="0" w:line="77" w:lineRule="exact"/>
        <w:rPr>
          <w:sz w:val="20"/>
          <w:szCs w:val="20"/>
          <w:color w:val="auto"/>
        </w:rPr>
      </w:pPr>
    </w:p>
    <w:p>
      <w:pPr>
        <w:ind w:left="880" w:hanging="373"/>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25"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A primary trend in the U.S. healthcare industry and elsewhere is cost containment. Government authorities and other third-party payors have attempted to control costs by limiting coverage and the amount of reimbursement for particular medications. Outside the United States, international operations are generally subject to extensive governmental price controls and other market regulations, and we believe the increasing emphasis on cost-containment initiatives in Europe and certain other major markets where we plan to commercialize may put pressure on the pricing and usage of our product candidates. In many countries, the prices of medical products are subject to varying price control mechanisms as part of national health systems, and pricing negotiations with governmental authorities can take considerable time after the receipt of marketing approval for a product. To obtain reimbursement or pricing approval in some countries, we may be required to conduct a clinical trial that compares the cost effectiveness of our product candidates to other available therapies. In general, the prices of medicines under such systems are substantially lower than in the United States. Other countries allow companies to fix their own prices for medicines,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revenues and profits.</w:t>
      </w:r>
    </w:p>
    <w:p>
      <w:pPr>
        <w:spacing w:after="0" w:line="179"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Moreover, efforts by governmental and other third-party payors, in the United States and abroad, to cap or reduce healthcare costs may cause such organizations to limit both coverage and level of reimbursement for new products approved and, as a result, they may not cover or provide adequate payment for our product candidates.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p>
    <w:p>
      <w:pPr>
        <w:spacing w:after="0" w:line="28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Due to the novel nature of our technology and the potential for our product candidates to offer therapeutic benefit in a single administration, we face uncertainty related to pricing and reimbursement for these product candidates.</w:t>
      </w:r>
    </w:p>
    <w:p>
      <w:pPr>
        <w:spacing w:after="0" w:line="6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target patient populations are relatively small, as a result of which the pricing and reimbursement of our product candidates, if approved, must be adequate to support commercial infrastructure. If we are unable to obtain adequate levels of reimbursement, our ability to successfully market and sell our product candidates will be adversely affected. The manner and level at which reimbursement is provided for services related to our product candidates (e.g., for administration of our product to patients) is also important. Inadequate reimbursement for such services may lead to physician resistance and adversely affect our ability to market or sell our product candidates, if approved.</w:t>
      </w:r>
    </w:p>
    <w:p>
      <w:pPr>
        <w:spacing w:after="0" w:line="29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Healthcare legislative reform measures and constraints on national budget social security systems may have a material adverse effect on our business and results of operations.</w:t>
      </w:r>
    </w:p>
    <w:p>
      <w:pPr>
        <w:spacing w:after="0" w:line="6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United States and many foreign jurisdictions have enacted or proposed legislative and regulatory changes affecting the healthcare system that could prevent or delay marketing approval of our product candidates or any future product candidates, restrict or regulate post-approval activities and affect our ability to profitably sell any product for which we obtain marketing approval. Changes in regulations, statutes or the interpretation of existing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6" w:name="page57"/>
    <w:bookmarkEnd w:id="56"/>
    <w:p>
      <w:pPr>
        <w:spacing w:after="0" w:line="269" w:lineRule="auto"/>
        <w:rPr>
          <w:sz w:val="20"/>
          <w:szCs w:val="20"/>
          <w:color w:val="auto"/>
        </w:rPr>
      </w:pPr>
      <w:r>
        <w:rPr>
          <w:rFonts w:ascii="Arial" w:cs="Arial" w:eastAsia="Arial" w:hAnsi="Arial"/>
          <w:sz w:val="17"/>
          <w:szCs w:val="17"/>
          <w:color w:val="auto"/>
        </w:rPr>
        <w:t>In the United States, there have been and continue to be a number of legislative initiatives to contain healthcare costs. For example, in 2010, the Patient Protection and Affordable Care Act, as amended by the Health Care and Education Reconciliation Act of 2010, or the ACA, was enacted, which, substantially changes the way healthcare is financed by both governmental and private insurers, and significantly impacts the U.S. pharmaceutical industry. The ACA, among other things, subjects biologic products to potential competition by lower-cost biosimilars, addresses a new methodology by which rebates owed by manufacturers under the Medicaid Drug Rebate Program are calculated for drugs that are inhaled, infused, instilled, implanted or injected, increases the minimum Medicaid rebates owed by most manufacturers under the Medicaid Drug Rebate Program, increases the minimum Medicaid rebates owed by manufacturers under the Medicaid Drug Rebate Program, extends the Medicaid Drug Rebate program to utilization of prescriptions of individuals enrolled in Medicaid managed care organizations, subjects manufacturers to new annual fees and taxes for certain branded prescription drugs, creates a new Medicare Part D coverage gap discount program, in which manufacturers must agree to offer 50% (increased to 70% as of 2019 due to subsequent legislation) point-of-sale discounts off negotiated prices of applicable brand drugs to eligible beneficiaries during their coverage gap period, as a condition for the manufacturer’s outpatient drugs to be covered under Medicare Part D, and provides incentives to programs that increase the federal government’s comparative effectiveness research.</w:t>
      </w:r>
    </w:p>
    <w:p>
      <w:pPr>
        <w:spacing w:after="0" w:line="179"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Since its enactment, there have been numerous judicial, administrative, executive, and legislative challenges to certain aspects of the ACA, and we expect there will be additional challenges and amendments to the ACA in the future. For example, various portions of the ACA are currently undergoing legal and constitutional challenges in the United States Supreme Court, and the Trump Administration has issued various Executive Orders that eliminated cost sharing subsidies and various provisions that would impose a fiscal burden on states or a cost, fee, tax, penalty or regulatory burden on individuals, healthcare providers, health insurers, or manufacturers of pharmaceuticals or medical devices. Additionally, Congress has introduced several pieces of legislation aimed at significantly revising or repealing the ACA. It is unclear whether the ACA will be overturned, repealed, replaced, or further amended. We cannot predict what affect further changes to the ACA would have on our business.</w:t>
      </w:r>
    </w:p>
    <w:p>
      <w:pPr>
        <w:spacing w:after="0" w:line="17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addition, other legislative changes have been proposed and adopted in the United States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2% per fiscal year, which went into effect in April 2013, and will remain in effect through 2030 unless additional Congressional action is taken; however, pursuant to the Coronavirus Aid, Relief, and Economic Security Act, also known as the CARES Act, these reductions have been suspended from May 1, 2020 through December 31, 2020 due to the COVID-19 pandemic. In January 2013, the American Taxpayer Relief Act of 2012, was signed into law, which, among other things, further reduced Medicare payments to several providers, including hospitals and cancer treatment centers, and increased the statute of limitations period for the government to recover overpayments to providers from three to five years.</w:t>
      </w:r>
    </w:p>
    <w:p>
      <w:pPr>
        <w:spacing w:after="0" w:line="18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There has been increasing legislative and enforcement interest in the United States with respect to specialty drug pricing practices. Specifically, there have been several recent U.S.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At the federal level, the Trump administration’s budgets for fiscal year 2021 includes a $135 billion allowance (over a period of time) to support legislative proposals seeking to reduce drug prices, increase competition, lower out-of-pocket drug costs for patients, and increase patient access to lower-cost generic and biosimilar drugs. On March 10, 2020, the U.S. government sent “principles” for drug pricing to Congress, calling for legislation that would, among other things, cap Medicare Part D beneficiary out-of-pocket pharmacy expenses, provide an option to cap Medicare Part D beneficiary monthly out-of-pocket expenses, and place limits on pharmaceutical price increases. Additionally, the Trump administration released a “Blueprint” to lower drug prices and reduce out of pocket costs of drugs that contains additional proposals to increase manufacturer competition, increase the negotiating power of certain federal healthcare programs, incentivize manufacturers to lower the list price of their products and reduce the out of pocket costs of drug products paid by consumers. On July 24, 2020, President Trump signed four Executive Orders aimed at lowering drug prices. The Executive Orders direct the Secretary of the U.S. Department of Health and Human Services, or HHS, to: (1) eliminate protection under an Anti-Kickback Statute safe harbor for certain retrospective price reductions provided by drug manufacturers to sponsors of Medicare Part D plans or pharmacy benefit managers that are not applied at the point-of-sale; (2) allow the importation of certain drugs from other countries through individual waivers, permit the re-importation of insulin products, and prioritize finalization of FDA’s December 2019 proposed rule to permit the importation of drugs from Canada (which was subsequently finalized on October 1, 2020 (“Final Rule”)); (3) ensure that payment by the Medicare program for certain Medicare Part B drugs is not higher than the payment by other comparable countries (depending on whether pharmaceutical manufacturers agree to other measures); and (4) allow certain low-income individuals receiving insulin and epinephrine purchased by a Federally Qualified Health Center (“FQHC”) as part of the 340B drug program to purchase those drugs at the discounted price paid by the FQHC. On September 13, 2020, President Trump signed an Executive Order directing HHS to implement a rulemaking plan to test a payment model, pursuant to which Medicare would pay, for certain high-cost prescription drugs and biological products covered by Medicare Part B, no more than the most-favored-nation price (i.e., the lowest price) after adjustments, for a pharmaceutical product that the drug manufacturer sells in a member country of the Organization for Economic Cooperation and Development that has a comparable per-capita gross domestic product. Although a number of these, and other proposed measures will require authorization through additional legislation to become</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7" w:name="page58"/>
    <w:bookmarkEnd w:id="57"/>
    <w:p>
      <w:pPr>
        <w:spacing w:after="0" w:line="269" w:lineRule="auto"/>
        <w:rPr>
          <w:sz w:val="20"/>
          <w:szCs w:val="20"/>
          <w:color w:val="auto"/>
        </w:rPr>
      </w:pPr>
      <w:r>
        <w:rPr>
          <w:rFonts w:ascii="Arial" w:cs="Arial" w:eastAsia="Arial" w:hAnsi="Arial"/>
          <w:sz w:val="17"/>
          <w:szCs w:val="17"/>
          <w:color w:val="auto"/>
        </w:rPr>
        <w:t>effective, Congress and the current administration have each indicated that it will continue to seek new legislative and/or administrative measures to control drug costs. It is unclear if, when, and to what extent the Executive Orders may be implemented. The regulatory and market implications of the Executive Orders are unknown at this time, but could decrease the price we receive for any products that we may develop and commercialize and could adversely affect our future revenues and prospects for profitability. Additionally, HHS, has already started the process of soliciting feedback on certain measures and, at the same time, is immediately implementing others under its existing authority. For example, in May 2019, CMS issued a final rule to allow Medicare Advantage Plans the option of using step therapy, a type of prior authorization, for Part B drugs beginning January 1, 2020. This final rule codified CMS’s policy change that was effective January 1, 2019. Although a number of these, and other proposed measures will require authorization through additional legislation to become effective, Congress and the Trump administration have each indicated that it will continue to seek new legislative and/or administrative measures to control drug costs.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79"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We expect that the healthcare reform measures that have been adopted and may be adopted in the future, may result in more rigorous coverage criteria and in additional downward pressure on the price that we receive for any approved product and could seriously harm our future revenues. Any reduction in reimbursement from Medicare or other government programs may result in a similar reduction in payments from private third-party payors.</w:t>
      </w:r>
    </w:p>
    <w:p>
      <w:pPr>
        <w:spacing w:after="0" w:line="14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There have been, and likely will continue to be, legislative and regulatory proposals at the foreign, federal and state levels directed at broadening the availability of healthcare and containing or lowering the cost of healthcare. 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w:t>
      </w:r>
    </w:p>
    <w:p>
      <w:pPr>
        <w:spacing w:after="0" w:line="79" w:lineRule="exact"/>
        <w:rPr>
          <w:sz w:val="20"/>
          <w:szCs w:val="20"/>
          <w:color w:val="auto"/>
        </w:rPr>
      </w:pPr>
    </w:p>
    <w:p>
      <w:pPr>
        <w:ind w:left="880" w:hanging="373"/>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demand for our drug product candidates, if we obtain regulatory approval;</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products;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generate revenue and achieve or maintain profitability;</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level of taxes that we are required to pay;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225"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Any denial in coverage or reduction in reimbursement from Medicare or other government programs may result in a similar denial or reduction in payments from private payors, which may adversely affect our future profitability.</w:t>
      </w:r>
    </w:p>
    <w:p>
      <w:pPr>
        <w:spacing w:after="0" w:line="278"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b w:val="1"/>
          <w:bCs w:val="1"/>
          <w:i w:val="1"/>
          <w:iCs w:val="1"/>
          <w:color w:val="auto"/>
        </w:rPr>
        <w:t>Inadequate funding for the FDA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4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other agencies on which our operations may rely, including those that fund research and development activities, is subject to the political process, which is inherently fluid and unpredictable.</w:t>
      </w:r>
    </w:p>
    <w:p>
      <w:pPr>
        <w:spacing w:after="0" w:line="17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Disruptions at the FDA and other agencies may also slow the time necessary for new drugs to be reviewed and/or approved by necessary government agencies, which would adversely affect our business. For example, over the last several years the U.S. government has shut down several times and certain regulatory agencies, such as the FDA, have had to furlough critical FDA and other government employees and stop critical activities. Additionally, as of June 23, 2020, the FDA noted it is continuing to ensure timely reviews of applications for medical products during the COVID-19 pandemic in line with its user fee performance goals; however, the FDA may not be able to continue its current pace and review timelines could be extended. Since March 2020, foreign and domestic inspections by the FDA have largely been on hold with the FDA announcing plans in July 2020 to resume prioritized domestic inspections. However, the FDA’s inspection activities will depend on data about the virus’ trajectory in a given state and locality and the rules and guidelines that are put in place by state and local governments. The FDA has developed a rating system to assist in determining when and where it is safest to conduct prioritized domestic inspections. Should the FDA determine that an inspection is necessary for approval and an inspection cannot be completed during the review cycle due to restrictions on travel, the FDA has stated that it generally intends to issue a complete response letter. Further, if there is inadequate information to make a determination on the acceptability of a facility, the FDA may defer action on the application until an inspection can be completed. Regulatory authorities outside the U.S. may adopt similar restrictions or other policy measures in response to the COVID-19 pandemic and may experience delays in their regulatory activities. If a prolonged government shutdown occurs, it could significantly impact the ability of the FDA to timely review and process our regulatory submissions, which could have a material adverse effect on our business. Further, future shutdowns of other government agencies, such as the SEC, may also impact our business through review of our public filings and our ability to access the public markets.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8" w:name="page59"/>
    <w:bookmarkEnd w:id="58"/>
    <w:p>
      <w:pPr>
        <w:ind w:right="140"/>
        <w:spacing w:after="0" w:line="342" w:lineRule="auto"/>
        <w:rPr>
          <w:sz w:val="20"/>
          <w:szCs w:val="20"/>
          <w:color w:val="auto"/>
        </w:rPr>
      </w:pPr>
      <w:r>
        <w:rPr>
          <w:rFonts w:ascii="Arial" w:cs="Arial" w:eastAsia="Arial" w:hAnsi="Arial"/>
          <w:sz w:val="16"/>
          <w:szCs w:val="16"/>
          <w:b w:val="1"/>
          <w:bCs w:val="1"/>
          <w:i w:val="1"/>
          <w:iCs w:val="1"/>
          <w:color w:val="auto"/>
        </w:rPr>
        <w:t>Any contamination in our manufacturing process, shortages of materials or failure of any of our key suppliers to deliver necessary components could result in interruption in the supply of our product candidates and delays in our clinical development or commercialization schedules.</w:t>
      </w:r>
    </w:p>
    <w:p>
      <w:pPr>
        <w:spacing w:after="0" w:line="16"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Given the nature of biologics manufacturing, there is a risk of contamination in our manufacturing processes. Any contamination could materially adversely affect our ability to produce product candidates on schedule and could, therefore, harm our results of operations and cause reputational damage.</w:t>
      </w:r>
    </w:p>
    <w:p>
      <w:pPr>
        <w:spacing w:after="0" w:line="124"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Some of the materials required in our manufacturing process are derived from biologic sources. Such materials are difficult to procure and may be subject to contamination or recall. A material shortage, contamination, recall or restriction on the use of biologically derived substances in the manufacture of our product candidates could adversely impact or disrupt the commercial manufacturing or the production of clinical material, which could materially and adversely affect our development timelines and our business, financial condition, results of operations and prospects.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operations</w:t>
      </w:r>
    </w:p>
    <w:p>
      <w:pPr>
        <w:spacing w:after="0" w:line="121"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b w:val="1"/>
          <w:bCs w:val="1"/>
          <w:i w:val="1"/>
          <w:iCs w:val="1"/>
          <w:color w:val="auto"/>
        </w:rPr>
        <w:t>Our gene therapy approach utilizes lentiviral vectors derived from viruses, which may be perceived as unsafe or may result in unforeseen adverse events. Negative public opinion and increased regulatory scrutiny of gene therapy and genetic research may damage public perception of our product candidates or adversely affect our ability to conduct our business or obtain regulatory approvals for our product candidates.</w:t>
      </w:r>
    </w:p>
    <w:p>
      <w:pPr>
        <w:spacing w:after="0" w:line="41"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Gene therapy remains a novel technology, with only a limited number of gene therapy products approved to date. Public perception may be influenced by claims that gene therapy is unsafe, and gene therapy may not gain the acceptance of the public or the medical community. In particular, our success will depend upon physicians specializing in the treatment of those diseases that our product candidates target prescribing treatments that involve the use of our product candidates in lieu of, or in addition to, existing treatments they are already familiar with and for which greater clinical data may be available. More restrictive government regulations or negative public opinion would have a negative effect on our business or financial condition and may delay or impair the development and commercialization of our product candidates or demand for any products we may develop. For example, earlier gene therapy trials led to several well-publicized adverse events, including cases of leukemia, myelodysplastic syndromes and deaths seen in other trials using other vectors. Adverse events in our clinical studies or discovered in long-term follow-up, even if not ultimately attributable to our product candidates (such as the many adverse events that typically arise from the conditioning process), or adverse events in other lentiviral gene therapy trials, and the resulting publicity could result in increased governmental regulation, unfavorable public perception, potential regulatory delays in the testing or approval of our potential product candidates, stricter labeling requirements for those product candidates that are approved and a decrease in demand for any such product candidates.</w:t>
      </w:r>
    </w:p>
    <w:p>
      <w:pPr>
        <w:spacing w:after="0" w:line="28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future success depends on our ability to retain key employees, consultants and advisors and to attract, retain and motivate qualified personnel.</w:t>
      </w:r>
    </w:p>
    <w:p>
      <w:pPr>
        <w:spacing w:after="0" w:line="15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are highly dependent on principal members of our executive team and key employees, the loss of whose services may adversely impact the achievement of our objectives. While we have entered into employment agreements with each of our executive officers, any of them could leave our employment at any time, as all of our employees are “at will” employees. We do not maintain “key person” insurance policies on the lives of these individuals or the lives of any of our other employees. The loss of the services of one or more of our current employees might impede the achievement of our research, development and commercialization objectives. Recruiting and retaining other qualified employees, consultants and advisors for our business, including scientific and technical personnel, will also be critical to our success. There is currently a shortage of skilled executives in our industry, which is likely to continue. As a result, competition for skilled personnel, including in gene therapy research and vector manufacturing, is intense and the turnover rate can be high. We may not be able to attract and retain personnel on acceptable terms given the competition among numerous pharmaceutical and biotechnology companies for individuals with similar skill sets. In addition, failure to succeed in preclinical or clinical trials may make it more challenging to recruit and retain qualified personnel. The inability to recruit or the loss of the services of any executive, key employee, consultant or advisor may impede the progress of our research, development and commercialization objectives.</w:t>
      </w:r>
    </w:p>
    <w:p>
      <w:pPr>
        <w:spacing w:after="0" w:line="2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will need to expand our operations and we may experience difficulties in managing this growth, which could disrupt our operations.</w:t>
      </w:r>
    </w:p>
    <w:p>
      <w:pPr>
        <w:spacing w:after="0" w:line="129"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As of September 30, 2020, we had 123 full-time employees. As we mature, we expect to rapidly expand our full-time employee base and to hire more consultants and contractors. Our management may need to divert a disproportionate amount of its attention away from our day-to-day activities and devote a substantial amount of time to managing these growth activities. We may not be able to effectively manage the expansion of our operations, which may result in weaknesses in our infrastructure, operational mistakes, loss of business opportunities, loss of employees and reduced productivity among remaining employees. Our expected growth could require significant capital expenditures and may divert financial resources from other projects, such as the development of additional product candidates. If our management is unable to effectively manage our growth, our expenses may increase more than expected, our ability to generate and/or grow revenues could be reduced, and we may not be able to implement our business strategy. Our future financial performance and our ability to commercialize product candidates and compete effectively will depend, in part, on our ability to effectively manage any future growth.</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i w:val="1"/>
          <w:iCs w:val="1"/>
          <w:color w:val="auto"/>
        </w:rPr>
        <w:t>If we are unable to manage expected growth in the scale and complexity of our operations, our performance may suffer.</w:t>
      </w:r>
    </w:p>
    <w:p>
      <w:pPr>
        <w:spacing w:after="0" w:line="117"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If we are successful in executing our business strategy, we will need to expand our managerial, operational, financial and other systems and resources to manage our operations, continue our research and development activities and, in the longer term, build a commercial infrastructure to support commercialization of any of our product candidates that are approved for sale. Future growth would impose significant added responsibilities on members of management. It is likely that our management, finance, development personnel, systems and facilities currently in place may not be adequate to support this future growth. Our need to effectively manage our operations, growth and product candidates requires that we continue to develop more robust business processes and improve our systems and procedures in each of these areas and to attract and retain sufficient numbers of talented employees. We may be unable to successfully implement these tasks on a larger scale and, accordingly, may not achieve our research, development and growth goals.</w:t>
      </w:r>
    </w:p>
    <w:p>
      <w:pPr>
        <w:spacing w:after="0" w:line="27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Our employees, principal investigators, consultants and commercial partners may engage in misconduct or other improper activities, including non-compliance with regulatory standards and requirements and insider trading.</w:t>
      </w:r>
    </w:p>
    <w:p>
      <w:pPr>
        <w:spacing w:after="0" w:line="62"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We are exposed to the risk of fraud or other misconduct by our employees, principal investigators, consultants and commercial partners. Misconduct by these parties could include intentional failures to comply with the regulations of the FDA or of other foreign regulatory authorities, provide accurate information to the FDA and other foreign regulatory authorities,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Such misconduct could also involve the improper use of information obtained in the course of clinical studies, which could result in regulatory sanctions and cause serious harm to our reputation. We have adopted a code of conduct applicable to all of our employees,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29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6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 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United States Foreign Corrupt Practices Act’s accounting provisions.</w:t>
      </w:r>
    </w:p>
    <w:p>
      <w:pPr>
        <w:spacing w:after="0" w:line="287" w:lineRule="exact"/>
        <w:rPr>
          <w:sz w:val="20"/>
          <w:szCs w:val="20"/>
          <w:color w:val="auto"/>
        </w:rPr>
      </w:pPr>
    </w:p>
    <w:p>
      <w:pPr>
        <w:jc w:val="both"/>
        <w:ind w:right="620"/>
        <w:spacing w:after="0" w:line="263" w:lineRule="auto"/>
        <w:rPr>
          <w:sz w:val="20"/>
          <w:szCs w:val="20"/>
          <w:color w:val="auto"/>
        </w:rPr>
      </w:pPr>
      <w:r>
        <w:rPr>
          <w:rFonts w:ascii="Arial" w:cs="Arial" w:eastAsia="Arial" w:hAnsi="Arial"/>
          <w:sz w:val="18"/>
          <w:szCs w:val="18"/>
          <w:b w:val="1"/>
          <w:bCs w:val="1"/>
          <w:i w:val="1"/>
          <w:iCs w:val="1"/>
          <w:color w:val="auto"/>
        </w:rPr>
        <w:t>We may be subject, directly or indirectly, to federal and state healthcare fraud and abuse laws, false claims laws health information privacy and security laws, and other health care laws and regulations. If we are unable to comply, or have not fully complied, with such laws, we could face substantial penalties.</w:t>
      </w:r>
    </w:p>
    <w:p>
      <w:pPr>
        <w:spacing w:after="0" w:line="7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If we obtain FDA approval for any of our product candidates and begin commercializing those products in the United States, our operations will be directly, or indirectly through our prescribers, customers and purchasers, subject to various federal and state fraud and abuse laws and regulations, including, without limitation, the federal Health Care Program Anti-Kickback Statute, the federal civil and criminal False Claims Act and Physician Payments Sunshine Act and regulations. These laws will impact, among other things, our proposed sales, marketing and educational programs. In addition, we may be subject to patient privacy laws by both the federal government and the states in which we conduct our business. The laws that will affect our operations include, but are not limited to:</w:t>
      </w:r>
    </w:p>
    <w:p>
      <w:pPr>
        <w:spacing w:after="0" w:line="84" w:lineRule="exact"/>
        <w:rPr>
          <w:sz w:val="20"/>
          <w:szCs w:val="20"/>
          <w:color w:val="auto"/>
        </w:rPr>
      </w:pPr>
    </w:p>
    <w:p>
      <w:pPr>
        <w:ind w:left="880" w:right="100" w:hanging="373"/>
        <w:spacing w:after="0" w:line="257"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can be found guilty of violating the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0" w:name="page61"/>
    <w:bookmarkEnd w:id="60"/>
    <w:p>
      <w:pPr>
        <w:ind w:left="880" w:right="200"/>
        <w:spacing w:after="0" w:line="257" w:lineRule="auto"/>
        <w:rPr>
          <w:sz w:val="20"/>
          <w:szCs w:val="20"/>
          <w:color w:val="auto"/>
        </w:rPr>
      </w:pPr>
      <w:r>
        <w:rPr>
          <w:rFonts w:ascii="Arial" w:cs="Arial" w:eastAsia="Arial" w:hAnsi="Arial"/>
          <w:sz w:val="18"/>
          <w:szCs w:val="18"/>
          <w:color w:val="auto"/>
        </w:rPr>
        <w:t>statute without actual knowledge of the statute or specific intent to violate it. In addition, a claim including items or services resulting from a violation of the federal Anti-Kickback Statute constitutes a false or fraudulent claim for purposes of the False Claims Act, or FCA. The Anti-Kickback Statute has been interpreted to apply to arrangements between pharmaceutical manufacturers on the one hand and prescribers, purchasers, and formulary managers on the other. There are a number of statutory exceptions and regulatory safe harbors protecting some common activities from prosecution;</w:t>
      </w:r>
    </w:p>
    <w:p>
      <w:pPr>
        <w:spacing w:after="0" w:line="80" w:lineRule="exact"/>
        <w:rPr>
          <w:sz w:val="20"/>
          <w:szCs w:val="20"/>
          <w:color w:val="auto"/>
        </w:rPr>
      </w:pPr>
    </w:p>
    <w:p>
      <w:pPr>
        <w:ind w:left="880" w:right="80" w:hanging="373"/>
        <w:spacing w:after="0" w:line="271" w:lineRule="auto"/>
        <w:tabs>
          <w:tab w:leader="none" w:pos="8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federal civil and criminal false claims laws and civil monetary penalty laws, including the FCA, which prohibit, among other things, individuals or entities from knowingly presenting, or causing to be presented, false or fraudulent claims for payment to, or approval by Medicare, Medicaid, or other federal healthcare programs, knowingly making, using or causing to be made or used a false record or statement material to a false or fraudulent claim or an obligation to pay or transmit money to the federal government, or knowingly concealing or knowingly and improperly avoiding or decreasing or concealing an obligation to pay money to the federal government. Manufacturers can be held liable under the FCA even when they do not submit claims directly to government payors if they are deemed to “cause” the submission of false or fraudulent claims. The FCA also permits a private individual acting as a “whistleblower” to bring actions on behalf of the federal government alleging violations of the FCA and to share in any monetary recovery;</w:t>
      </w:r>
    </w:p>
    <w:p>
      <w:pPr>
        <w:spacing w:after="0" w:line="70" w:lineRule="exact"/>
        <w:rPr>
          <w:rFonts w:ascii="Arial" w:cs="Arial" w:eastAsia="Arial" w:hAnsi="Arial"/>
          <w:sz w:val="17"/>
          <w:szCs w:val="17"/>
          <w:color w:val="auto"/>
        </w:rPr>
      </w:pPr>
    </w:p>
    <w:p>
      <w:pPr>
        <w:ind w:left="880" w:right="100" w:hanging="373"/>
        <w:spacing w:after="0" w:line="259" w:lineRule="auto"/>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anti-inducement law, which prohibits, among other things, the offering or giving of remuneration, which includes, without limitation, any transfer of items or services for free or for less than fair market value (with limited exceptions), to a Medicare or Medicaid beneficiary that the person knows or should know is likely to influence the beneficiary’s selection of a particular supplier of items or services reimbursable by a federal or state governmental program;</w:t>
      </w:r>
    </w:p>
    <w:p>
      <w:pPr>
        <w:spacing w:after="0" w:line="78" w:lineRule="exact"/>
        <w:rPr>
          <w:rFonts w:ascii="Arial" w:cs="Arial" w:eastAsia="Arial" w:hAnsi="Arial"/>
          <w:sz w:val="18"/>
          <w:szCs w:val="18"/>
          <w:color w:val="auto"/>
        </w:rPr>
      </w:pPr>
    </w:p>
    <w:p>
      <w:pPr>
        <w:ind w:left="880" w:right="60" w:hanging="373"/>
        <w:spacing w:after="0" w:line="291" w:lineRule="auto"/>
        <w:tabs>
          <w:tab w:leader="none" w:pos="8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federal Health Insurance Portability and Accountability Act of 1996, or HIPAA, which created new federal criminal statutes that prohibit a person from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does not need to have actual knowledge of the statute or specific intent to violate it in order to have committed a violation;</w:t>
      </w:r>
    </w:p>
    <w:p>
      <w:pPr>
        <w:spacing w:after="0" w:line="58" w:lineRule="exact"/>
        <w:rPr>
          <w:rFonts w:ascii="Arial" w:cs="Arial" w:eastAsia="Arial" w:hAnsi="Arial"/>
          <w:sz w:val="16"/>
          <w:szCs w:val="16"/>
          <w:color w:val="auto"/>
        </w:rPr>
      </w:pPr>
    </w:p>
    <w:p>
      <w:pPr>
        <w:ind w:left="880" w:right="120" w:hanging="373"/>
        <w:spacing w:after="0" w:line="279" w:lineRule="auto"/>
        <w:tabs>
          <w:tab w:leader="none" w:pos="8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for Economic and Clinical Health Act of 2009 and their respective implementing regulations, which impose requirements on certain covered healthcare providers, health plans, and healthcare clearinghouses as well as their respective business associates that perform services for them that involve the use, or disclosure of, individually identifiable health information relating to the privacy, security and transmission of individually identifiable health information;</w:t>
      </w:r>
    </w:p>
    <w:p>
      <w:pPr>
        <w:spacing w:after="0" w:line="63" w:lineRule="exact"/>
        <w:rPr>
          <w:rFonts w:ascii="Arial" w:cs="Arial" w:eastAsia="Arial" w:hAnsi="Arial"/>
          <w:sz w:val="17"/>
          <w:szCs w:val="17"/>
          <w:color w:val="auto"/>
        </w:rPr>
      </w:pPr>
    </w:p>
    <w:p>
      <w:pPr>
        <w:ind w:left="880" w:hanging="373"/>
        <w:spacing w:after="0" w:line="272" w:lineRule="auto"/>
        <w:tabs>
          <w:tab w:leader="none" w:pos="8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federal transparency requirements under the ACA, including the provision commonly referred to as the Physician Payments Sunshine Act, which requires manufacturers of drugs, devices, biologics and medical supplies for which payment is available under Medicare, Medicaid or the Children’s Health Insurance Program to report annually to the U.S. Department of Health and Human Services information related to payments or other transfers of value made to physicians (currently defined to include doctors, dentists, optometrists, podiatrists and chiropractors) and teaching hospitals, as well as ownership and investment interests held by the physicians described above and their immediate family members. Effective January 1, 2022, these reporting obligations will extend to include transfers of value made to certain non-physician providers such as physician assistants and nurse practitioners;</w:t>
      </w:r>
    </w:p>
    <w:p>
      <w:pPr>
        <w:spacing w:after="0" w:line="69" w:lineRule="exact"/>
        <w:rPr>
          <w:rFonts w:ascii="Arial" w:cs="Arial" w:eastAsia="Arial" w:hAnsi="Arial"/>
          <w:sz w:val="17"/>
          <w:szCs w:val="17"/>
          <w:color w:val="auto"/>
        </w:rPr>
      </w:pPr>
    </w:p>
    <w:p>
      <w:pPr>
        <w:ind w:left="880" w:right="120" w:hanging="373"/>
        <w:spacing w:after="0" w:line="277" w:lineRule="auto"/>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federal government price reporting laws, which require us to calculate and report complex pricing metrics in an accurate and timely manner to government programs; and</w:t>
      </w:r>
    </w:p>
    <w:p>
      <w:pPr>
        <w:spacing w:after="0" w:line="62" w:lineRule="exact"/>
        <w:rPr>
          <w:rFonts w:ascii="Arial" w:cs="Arial" w:eastAsia="Arial" w:hAnsi="Arial"/>
          <w:sz w:val="18"/>
          <w:szCs w:val="18"/>
          <w:color w:val="auto"/>
        </w:rPr>
      </w:pPr>
    </w:p>
    <w:p>
      <w:pPr>
        <w:ind w:left="880" w:right="360" w:hanging="373"/>
        <w:spacing w:after="0" w:line="277" w:lineRule="auto"/>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w:t>
      </w:r>
    </w:p>
    <w:p>
      <w:pPr>
        <w:spacing w:after="0" w:line="170"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Additionally, we are subject to state and foreign equivalents of each of the healthcare laws described above, among others, some of which may be broader in scope and may apply regardless of the payor. Many U.S. states have adopted laws similar to the federal Anti-Kickback Statute, some of which apply to the referral of patients for healthcare services reimbursed by any source, not just governmental payors, including private insurers. In addition, some states have passed laws that require pharmaceutical companies to comply with the April 2003 Office of Inspector General Compliance Program Guidance for Pharmaceutical Manufacturers and/or the Pharmaceutical Research and Manufacturers of America’s Code on Interactions with Healthcare Professionals. Several states also impose other marketing restrictions or require pharmaceutical companies to make marketing or price disclosures to the state. There are ambiguities as to what is required to comply with these state requirements and if we fail to comply with an applicable state law requirement we could be subject to penalties. Finally, there are state and foreign laws governing the privacy and security of health information, many of which differ from each other in significant ways and often are not preempted by HIPAA, thus complicating compliance efforts.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1" w:name="page62"/>
    <w:bookmarkEnd w:id="61"/>
    <w:p>
      <w:pPr>
        <w:ind w:right="300"/>
        <w:spacing w:after="0" w:line="277" w:lineRule="auto"/>
        <w:rPr>
          <w:sz w:val="20"/>
          <w:szCs w:val="20"/>
          <w:color w:val="auto"/>
        </w:rPr>
      </w:pPr>
      <w:r>
        <w:rPr>
          <w:rFonts w:ascii="Arial" w:cs="Arial" w:eastAsia="Arial" w:hAnsi="Arial"/>
          <w:sz w:val="18"/>
          <w:szCs w:val="18"/>
          <w:color w:val="auto"/>
        </w:rPr>
        <w:t>The distribution of pharmaceutical products is subject to additional requirements and regulations, including extensive record-keeping, licensing, storage and security requirements intended to prevent the unauthorized sale of pharmaceutical products.</w:t>
      </w:r>
    </w:p>
    <w:p>
      <w:pPr>
        <w:spacing w:after="0" w:line="170"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 Ensuring business arrangements comply with applicable healthcare laws, as well as responding to possible investigations by government authorities, can be time- and resource-consuming and can divert a company’s attention from the business.</w:t>
      </w:r>
    </w:p>
    <w:p>
      <w:pPr>
        <w:spacing w:after="0" w:line="17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failure to comply with any of these laws or regulatory requirements subjects entities to possible legal or regulatory action. Depending on the circumstances, failure to meet applicable regulatory requirements can result in significant civil, criminal and administrative penalties, damages, fines, disgorgement, individual imprisonment, exclusion from participation in federal and state funded healthcare programs (such as Medicare and Medicaid), contractual damages and the curtailment or restructuring of our operations, as well as additional reporting obligations and oversight if we become subject to a corporate integrity agreement or other agreement to resolve allegations of non-compliance with these laws. Any action for violation of these laws, even if successfully defended, could cause a pharmaceutical manufacturer to incur significant legal expenses and divert management’s attention from the operation of the business. If any of the physicians or other healthcare providers or entities with whom we expect to do business is found not to be in compliance with applicable laws, that person or entity may be subject to criminal, civil or administrative sanctions, including exclusions from government funded healthcare programs. Prohibitions or restrictions on sales or withdrawal of future marketed products could materially affect business in an adverse way.</w:t>
      </w:r>
    </w:p>
    <w:p>
      <w:pPr>
        <w:spacing w:after="0" w:line="16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Efforts to ensure that our business arrangements will comply with applicable healthcare laws may involve substantial costs. It is possible that governmental and enforcement authorities will conclude that our business practices may not comply with current or future statutes, regulations or case law interpreting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civil, criminal and administrative penalties, damages, disgorgement,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 In addition, the approval and commercialization of any of our candidates outside the United States will also likely subject us to foreign equivalents of the healthcare laws mentioned above, among other foreign laws.</w:t>
      </w:r>
    </w:p>
    <w:p>
      <w:pPr>
        <w:spacing w:after="0" w:line="273"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b w:val="1"/>
          <w:bCs w:val="1"/>
          <w:i w:val="1"/>
          <w:iCs w:val="1"/>
          <w:color w:val="auto"/>
        </w:rPr>
        <w:t>Failure to comply with health and data protection laws and regulations could lead to government enforcement actions (which could include civil or criminal penalties), private litigation, and/or adverse publicity and could negatively affect our operating results and business.</w:t>
      </w:r>
    </w:p>
    <w:p>
      <w:pPr>
        <w:spacing w:after="0" w:line="16"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We and any potential collaborators may be subject to federal, state, and foreign data protection laws and regulations (i.e., laws and regulations that address privacy and data security). In the United States, numerous federal and state laws and regulations, including federal health information privacy laws, state data breach notification laws, state health information privacy laws, and federal and state consumer protection laws (e.g., Section 5 of the Federal Trade Commission Act), that govern the collection, use, disclosure and protection of health-related and other personal information could apply to our operations or the operations of our collaborators. In addition, we may obtain health information from third parties (including research institutions from which we obtain clinical trial data) that are subject to privacy and security requirements under HIPAA, as amended by HITECH. Depending on the facts and circumstances, we could be subject to civil, criminal, and administrative penalties if we knowingly obtain, use, or disclose individually identifiable health information maintained by a HIPAA-covered entity in a manner that is not authorized or permitted by HIPAA.</w:t>
      </w:r>
    </w:p>
    <w:p>
      <w:pPr>
        <w:spacing w:after="0" w:line="165"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Compliance with U.S. and international data protection laws and regulations could require us to take on more onerous obligations in our contracts, restrict our ability to collect, use and disclose data, or in some cases, impact our ability to operate in certain jurisdictions. Failure to comply with these laws and regulations could result in government enforcement actions (which could include civil, criminal and administrative penalties), private litigation, and/or adverse publicity and could negatively affect our operating results and business. Moreover, clinical trial patients, employees and other individuals about whom we or our potential collaborators obtain personal information, as well as the providers who share this information with us, may limit our ability to collect,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2" w:name="page63"/>
    <w:bookmarkEnd w:id="62"/>
    <w:p>
      <w:pPr>
        <w:spacing w:after="0"/>
        <w:rPr>
          <w:sz w:val="20"/>
          <w:szCs w:val="20"/>
          <w:color w:val="auto"/>
        </w:rPr>
      </w:pPr>
      <w:r>
        <w:rPr>
          <w:rFonts w:ascii="Arial" w:cs="Arial" w:eastAsia="Arial" w:hAnsi="Arial"/>
          <w:sz w:val="16"/>
          <w:szCs w:val="16"/>
          <w:b w:val="1"/>
          <w:bCs w:val="1"/>
          <w:i w:val="1"/>
          <w:iCs w:val="1"/>
          <w:color w:val="auto"/>
        </w:rPr>
        <w:t>European data collection is governed by restrictive regulations governing the use, processing and cross-border transfer of personal information.</w:t>
      </w:r>
    </w:p>
    <w:p>
      <w:pPr>
        <w:spacing w:after="0" w:line="14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currently plan to conduct clinical trials in the European Union, or EU, and as a result we expect to become subject to additional privacy restrictions. The collection and use of personal health data in the EU is governed by the provisions of the General Data Protection Regulation, or GDPR. This directive imposes several requirements relating to the consent of the individuals to whom the personal data relates, the information provided to the individuals, notification of data processing obligations to the competent national data protection authorities and the security and confidentiality of the personal data. The GDPR also imposes strict rules on the transfer of personal data out of the European Union to the United States. Failure to comply with the requirements of the Data Protection Directive, the GDPR, and the related national data protection laws of the European Union Member States may result in fines and other administrative penalties. The GDPR introduces new data protection requirements in the European Union and substantial fines for breaches of the data protection rules. The GDPR regulations may impose additional responsibility and liability in relation to personal data that we process and we may be required to put in place additional mechanisms ensuring compliance with these and/or new data protection rules. This may be onerous and adversely affect our business, financial condition, prospects and results of operations.</w:t>
      </w:r>
    </w:p>
    <w:p>
      <w:pPr>
        <w:spacing w:after="0" w:line="293" w:lineRule="exact"/>
        <w:rPr>
          <w:sz w:val="20"/>
          <w:szCs w:val="20"/>
          <w:color w:val="auto"/>
        </w:rPr>
      </w:pPr>
    </w:p>
    <w:p>
      <w:pPr>
        <w:jc w:val="both"/>
        <w:ind w:right="560"/>
        <w:spacing w:after="0" w:line="340" w:lineRule="auto"/>
        <w:rPr>
          <w:sz w:val="20"/>
          <w:szCs w:val="20"/>
          <w:color w:val="auto"/>
        </w:rPr>
      </w:pPr>
      <w:r>
        <w:rPr>
          <w:rFonts w:ascii="Arial" w:cs="Arial" w:eastAsia="Arial" w:hAnsi="Arial"/>
          <w:sz w:val="15"/>
          <w:szCs w:val="15"/>
          <w:b w:val="1"/>
          <w:bCs w:val="1"/>
          <w:i w:val="1"/>
          <w:iCs w:val="1"/>
          <w:color w:val="auto"/>
        </w:rPr>
        <w:t>We face potential product liability, and, if successful claims are brought against us, we may incur substantial liability and costs. If the use of our product candidates harms patients, or is perceived to harm patients even when such harm is unrelated to our product candidates, our regulatory approvals could be revoked or otherwise negatively impacted and we could be subject to costly and damaging product liability claims.</w:t>
      </w:r>
    </w:p>
    <w:p>
      <w:pPr>
        <w:spacing w:after="0" w:line="23"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use of our product candidates in clinical studies and the sale of any products for which we obtain marketing approval exposes us to the risk of product liability claims. Product liability claims might be brought against us by consumers, healthcare providers, pharmaceutical companies or others selling or otherwise coming into contact with our products. There is a risk that our product candidates may induce adverse events. If we cannot successfully defend against product liability claims, we could incur substantial liability and costs. In addition, regardless of merit or eventual outcome, product liability claims may result in:</w:t>
      </w:r>
    </w:p>
    <w:p>
      <w:pPr>
        <w:spacing w:after="0" w:line="80" w:lineRule="exact"/>
        <w:rPr>
          <w:sz w:val="20"/>
          <w:szCs w:val="20"/>
          <w:color w:val="auto"/>
        </w:rPr>
      </w:pPr>
    </w:p>
    <w:p>
      <w:pPr>
        <w:ind w:left="880" w:hanging="373"/>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impairment of our business reputation;</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withdrawal of clinical study participants;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costs due to related litigation;</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distraction of management’s attention from our primary business;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decreased demand for our product candidates, if approved for commercial sale.</w:t>
      </w:r>
    </w:p>
    <w:p>
      <w:pPr>
        <w:spacing w:after="0" w:line="22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carry master product liability insurance of $5.0 million per occurrence and $5.0 million in the aggregate in the United States. For Canada, we carry product liability insurance of up to CAD $10.0 million in the aggregate. For Australia, we carry product liability insurance of up to AUD $20.0 million in the aggregate. We believe our product liability insurance coverage is sufficient in light of our current clinical programs; however, we may not be able to maintain insurance coverage at a reasonable cost or in sufficient amounts to protect us against losses due to liability. If and when we obtain marketing approval for product candidates, we intend to expand our insurance coverage to include the sale of commercial products; however, we may be unable to obtain product liability insurance on commercially reasonable terms or in adequate amounts. On occasion, large judgments have been awarded in class action lawsuits based on drugs or medical treatments that had unanticipated adverse effects. A successful product liability claim or series of claims brought against us could cause our stock price to decline and, if judgments exceed our insurance coverage, could adversely affect our results of operations and business.</w:t>
      </w:r>
    </w:p>
    <w:p>
      <w:pPr>
        <w:spacing w:after="0" w:line="196"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Patients with the diseases targeted by certain of our product candidates are often already in severe and advanced stages of disease and have both known and unknown significant pre-existing and potentially life- threatening health risks. During the course of treatment, patients may suffer adverse events, including death, for reasons that may be related to our product candidates. Such events could subject us to costly litigation, require us to pay substantial amounts of money to injured patients, delay, negatively impact or end our opportunity to receive or maintain regulatory approval to market our products, or require us to suspend or abandon our commercialization efforts. Even in a circumstance in which we do not believe that an adverse event is related to our products, the investigation into the circumstance may be time-consuming or inconclusive. These investigations may interrupt our sales efforts, delay our regulatory approval process in other countries, or impact and limit the type of regulatory approvals our product candidates receive or maintain. As a result of these factors, a product liability claim, even if successfully defended, could have a material adverse effect on our business, financial condition or results of operations.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3" w:name="page64"/>
    <w:bookmarkEnd w:id="63"/>
    <w:p>
      <w:pPr>
        <w:ind w:right="12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6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Furthermore, environmental laws and regulations are complex, change frequently and have tended to become more stringent. We cannot predict the impact of such changes and cannot be certain of our future compliance.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spacing w:after="0" w:line="18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or other work-related injuries, this insurance may not provide adequate coverage against potential liabilities.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 or liabilities, which could materially adversely affect our business, financial condition, results of operations and prospects.</w:t>
      </w:r>
    </w:p>
    <w:p>
      <w:pPr>
        <w:spacing w:after="0" w:line="30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might not be able to utilize a significant portion of our net operating loss carryforwards and research and development tax credit carryforwards.</w:t>
      </w:r>
    </w:p>
    <w:p>
      <w:pPr>
        <w:spacing w:after="0" w:line="14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As of December 31, 2019, we had federal and state net operating loss carryforwards of $121.8 million and $115.1 million, respectively, and federal and state research and development tax credit carryforwards of approximately $1.0 million and $0.2 million, respectively. If not utilized, the net operating loss carryforwards and research and development credits will generally expire at various dates through 2037 (other than federal net operating loss carryforwards generated in taxable years ending after December 31, 2017, which are not subject to expiration). These net operating loss and tax credit carryforwards could expire unused and be unavailable to offset future income tax liabilities. In addition, under Section 382 of the Internal Revenue Code, or the Code, and corresponding provisions of state law, if a corporation undergoes an “ownership change,” which is generally defined as a greater than 50% change, by value, in its equity ownership over a three-year period, the corporation’s ability to use its pre-change net operating loss carryforwards and other pre-change tax attributes to offset its post-change income may be limited. We may have experienced ownership changes in the past. We may also experience ownership changes in the future as a result of subsequent shifts in our stock ownership, some of which may be outside of our control. If an ownership change occurred or occurs and our ability to use our historical net operating loss and tax credit carryforwards is materially limited, or if our research and development carryforwards are adjusted, it would harm our future operating results by effectively increasing our future tax obligations.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Third-party claims of intellectual property infringement may prevent or delay our development and commercialization efforts.</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 xml:space="preserve">Our commercial success depends in part on avoiding infringement of the patents and proprietary rights of third parties. There is a substantial amount of litigation, both within and outside the United States, involving patent and other intellectual property rights in the biotechnology and pharmaceutical industries, including patent infringement lawsuits, interferences, oppositions and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reexamination proceedings before the U.S. Patent and Trademark Office, or USPTO, and corresponding foreign patent offices. Numerous U.S. and foreign issued patents and pending patent applications, which are owned by third parties, exist in the fields in which we are pursuing development candidates. As the biotechnology and pharmaceutical industries expand and more patents are issued, the risk increases that our product candidates may be subject to claims of infringement of the patent rights of third parties.</w:t>
      </w:r>
    </w:p>
    <w:p>
      <w:pPr>
        <w:spacing w:after="0" w:line="164"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Third parties may assert that we or our licensors are employing their proprietary technology without authorization. There may be third-party patents or patent applications with claims to materials, formulations, methods of manufacture or methods for treatment related to the use or manufacture of our product candidates. In particular, we are aware of issued patents in the United States that cover the lentiviral vectors used in the manufacture of our product candidates. While we believe that we have reasonable defenses against a claim of infringement, potentially including that certain of these patents are expected to expire prior to commercializing our product candidates, if approved, in the United States, there can be no assurance that we will prevail in any such action by the holder of these patents. In the event that the holder of these patents seeks to enforce its patent rights and our defenses against a claim of infringement are unsuccessful, we may not be able to commercialize our product candidates in the United States, if approved, without first obtaining a license to some or all of these patents, which may not be available on commercially reasonable terms or at all. In addition, the defense of any claim of infringement, even if successful, is time-consuming, expensive and diverts the attention of our management from our ongoing business operations.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4" w:name="page65"/>
    <w:bookmarkEnd w:id="64"/>
    <w:p>
      <w:pPr>
        <w:ind w:right="200"/>
        <w:spacing w:after="0" w:line="255" w:lineRule="auto"/>
        <w:rPr>
          <w:sz w:val="20"/>
          <w:szCs w:val="20"/>
          <w:color w:val="auto"/>
        </w:rPr>
      </w:pPr>
      <w:r>
        <w:rPr>
          <w:rFonts w:ascii="Arial" w:cs="Arial" w:eastAsia="Arial" w:hAnsi="Arial"/>
          <w:sz w:val="18"/>
          <w:szCs w:val="18"/>
          <w:color w:val="auto"/>
        </w:rPr>
        <w:t>Because patent applications can take many years to issue, there may be currently pending patent applications which may later result in issued patents that our product candidates may infringe or be alleged to infringe. In addition, third parties may obtain patents in the future and claim that use of our or our licensors’ technologies infringes upon these patents. If any third-party patents were held by a court of competent jurisdiction to cover the manufacturing process of any of our product candidates, any molecules formed during the manufacturing process or any final product itself, the holders of any such patents may be able to block our ability to commercialize such product candidate unless we obtained a license under the applicable patents, or until such patents expire.</w:t>
      </w:r>
    </w:p>
    <w:p>
      <w:pPr>
        <w:spacing w:after="0" w:line="19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Similarly, if any third-party patents were held by a court of competent jurisdiction to cover aspects of our formulations, processes for manufacture or methods of use, including combination therapy, the holders of any such patents may be able to block our ability to develop and commercialize the applicable product candidate unless we obtained a license or until such patent expires. In either case, such a license may not be available on commercially reasonable terms or at all.</w:t>
      </w:r>
    </w:p>
    <w:p>
      <w:pPr>
        <w:spacing w:after="0" w:line="18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Parties making claims against us may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redesign our infringing products or obtain one or more licenses from third parties, which may be impossible or require substantial time and monetary expenditure. Even in the absence of a finding of infringement, we may choose to obtain a license, if such a license is available. A successful claim of patent or other intellectual property infringement against us could materially adversely affect our business, results of operations and financial condition.</w:t>
      </w:r>
    </w:p>
    <w:p>
      <w:pPr>
        <w:spacing w:after="0" w:line="28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rights to develop and commercialize our product candidates are subject, in part, to the terms and conditions of licenses granted to us by others.</w:t>
      </w:r>
    </w:p>
    <w:p>
      <w:pPr>
        <w:spacing w:after="0" w:line="152"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We depend upon the intellectual property rights granted to us under licenses from third parties that are important or necessary to the development of our technology and products, including technology related to our manufacturing process and our gene therapy product candidates. In particular, we have in-licensed certain intellectual property rights and know-how from the University Health Network (relevant to AVR-RD-01 and our Fabry program) and affiliates of Lund University (relevant to AVR-RD-02 and our Gaucher program). In addition, we have in-licensed patents and patent applications from BioMarin Pharmaceutical Inc., or BioMarin (relevant to AVR-RD-03 and our Pompe program), GenStem Therapeutics, Inc., or GenStem (relevant to AVR-RD-04 and our cystinosis program) and The University of Manchester (relevant to AVR-RD-05 and our Hunter program), directed to compositions and methods related to the manufacture and use of AVR-RD-03, AVR-RD-04 and AVR-RD-05, respectively. Any termination of these licenses could result in the loss of significant rights and could harm or prevent our ability to commercialize our product candidates.</w:t>
      </w:r>
    </w:p>
    <w:p>
      <w:pPr>
        <w:spacing w:after="0" w:line="17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Each of our existing licenses are exclusive but are limited to particular fields, such as Fabry disease, Gaucher disease, Pompe disease, cystinosis, or Hunter syndrome, and are subject to certain retained rights. Absent an amendment or additional agreement, we may not have the right to use intellectual property in-licensed for one of our programs for another program. In addition, licenses that we may enter into in the future may not provide exclusive rights to use such intellectual property and technology in all relevant fields of use and in all territories in which we may wish to develop or commercialize our technology and products in the future. As a result, we may not be able to prevent competitors from developing and commercializing competitive products in territories included in all of our licenses. Licenses to additional third-party technology that may be required for our development programs may not be available in the future or may not be available on commercially reasonable terms, or at all, which could have a material adverse effect on our business and financial condition.</w:t>
      </w:r>
    </w:p>
    <w:p>
      <w:pPr>
        <w:spacing w:after="0" w:line="192"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In some circumstances, we may not have the right to control the preparation, filing and prosecution of patent applications, or to maintain the patents, covering technology that we license from third parties. For example, pursuant to each of our intellectual property licenses with GenStem, BioMarin, The University of Manchester, and the rights holders associated with Lund University, our licensors retain control of such activities. Therefore, we cannot be certain that these patents and applications will be prosecuted, maintained and enforced in a manner consistent with the best interests of our business. If our licensors fail to maintain such patents, or lose rights to those patents or patent applications, the rights we have licensed may be reduced or eliminated and our right to develop and commercialize any of our products that are the subject of such licensed rights could be adversely affected.</w:t>
      </w:r>
    </w:p>
    <w:p>
      <w:pPr>
        <w:spacing w:after="0" w:line="16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Our current license agreements impose, and we expect that future license agreements that we may enter into will impose, various obligations, including diligence and certain payment obligations. If we fail to satisfy our obligations, the licensor may have the right to terminate the agreement. Disputes may arise between us and any of our licensors regarding intellectual property subject to such agreements and other issues. Such disputes over intellectual property that we have licensed or the terms of our license agreements may prevent or impair our ability to maintain our current arrangements on acceptable terms, or at all, or may impair the value of the arrangement to us. Any such dispute could have a material adverse effect on our business. If we cannot maintain a necessary license agreement or if the agreement is terminated, we may be unable to successfully develop and commercialize the affected product candidates.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5" w:name="page66"/>
    <w:bookmarkEnd w:id="65"/>
    <w:p>
      <w:pPr>
        <w:jc w:val="both"/>
        <w:spacing w:after="0" w:line="263" w:lineRule="auto"/>
        <w:rPr>
          <w:sz w:val="20"/>
          <w:szCs w:val="20"/>
          <w:color w:val="auto"/>
        </w:rPr>
      </w:pPr>
      <w:r>
        <w:rPr>
          <w:rFonts w:ascii="Arial" w:cs="Arial" w:eastAsia="Arial" w:hAnsi="Arial"/>
          <w:sz w:val="18"/>
          <w:szCs w:val="18"/>
          <w:b w:val="1"/>
          <w:bCs w:val="1"/>
          <w:i w:val="1"/>
          <w:iCs w:val="1"/>
          <w:color w:val="auto"/>
        </w:rPr>
        <w:t>If we are unable to obtain and maintain patent protection for our product candidates, or if the scope of the patent protection obtained is not sufficiently broad, our competitors could develop and commercialize products similar or identical to ours, and our ability to successfully commercialize our product candidates may be adversely affected.</w:t>
      </w:r>
    </w:p>
    <w:p>
      <w:pPr>
        <w:spacing w:after="0" w:line="7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ability to compete effectively will depend, in part, on our ability to maintain the proprietary nature of our technology and manufacturing processes. We rely on manufacturing and other know-how, patents, trade secrets, trademarks, license agreements and contractual provisions to establish our intellectual property rights and protect our products. These legal means, however, afford only limited protection and may not adequately protect our rights. The failure to obtain, maintain, enforce or defend such intellectual property rights, for any reason, could allow third parties to make competing products or impact our ability to develop, manufacture and market our products, if approved, on a commercially viable basis, or at all, which could have a material adverse effect on our financial condition and results of operations.</w:t>
      </w:r>
    </w:p>
    <w:p>
      <w:pPr>
        <w:spacing w:after="0" w:line="192"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In particular, we rely primarily on trade secrets, know-how and other unpatented technology, which are difficult to protect. Although we seek such protection in part by entering into confidentiality agreements with our vendors, employees, consultants and others who may have access to proprietary information, we cannot be certain that these agreements will not be breached, adequate remedies for any breach would be available or our trade secrets, know-how and other unpatented proprietary technology will not otherwise become known to or be independently developed by our competitors. If we are unsuccessful in protecting our intellectual property rights, sales of our products may suffer and our ability to generate revenue could be severely impacted.</w:t>
      </w:r>
    </w:p>
    <w:p>
      <w:pPr>
        <w:spacing w:after="0" w:line="161"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Our licensors and we have sought, and we intend to continue to seek to protect our proprietary position by filing patent applications in the United States and, in at least some cases, one or more countries outside the United States related to current and future product candidates that are important to our business. However, we cannot predict whether the patent applications we and our licensors are currently pursuing will issue as patents, whether the claims of any issued patents will provide us with a competitive advantage, or whether we will be able to successfully pursue patent applications in the future related to our current or future product candidates. While we have in-licensed patents and patent applications relevant to AVR-RD-03 and AVR-RD-05, we currently have no owned or in-licensed patents or patent applications covering AVR-RD-01 or AVR-RD-02, and the patent application that we in-licensed related to AVR-RD-04 is at a very early stage. Many of our product candidates are in-licensed from third parties. Accordingly, in some cases, the availability and scope of potential patent protection is limited based on prior decisions by our licensors or the inventors, such as decisions on when to file patent applications or whether to file patent applications at all.</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Filing, prosecuting and defending patents on product candidates in all countries throughout the world would be prohibitively expensive, and our intellectual property rights in some countries outside the United States could be less extensive than those in the United States. Although our license agreements grant us worldwide rights, and our currently in-licensed U.S. patent rights have certain corresponding foreign patents or patent applications, there can be no assurance that we will obtain or maintain such corresponding patents or patent applications with respect to any future license agreements. In addition, the laws of some foreign countries do not protect intellectual property rights to the same extent as federal and state laws in the United States even in jurisdictions where we and our licensors pursue patent protection. Consequently, we and our licensors may not be able to prevent third parties from practicing our inventions in all countries outside the United States, even in jurisdictions where we and our licensors pursue patent protection, or from selling or importing products made using our inventions in and into the United States or other jurisdictions. Competitors may use our technologies in jurisdictions where we and our licensors have not pursued and obtained patent protection to develop their own products and, further, may export otherwise infringing products to territories where we have patent protection, but enforcement is not as strong as that in the United States. These products may compete with our product candidates and our patents or other intellectual property rights may not be effective or sufficient to prevent them from competing.</w:t>
      </w:r>
    </w:p>
    <w:p>
      <w:pPr>
        <w:spacing w:after="0" w:line="17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proprietary rights generally. Proceedings to enforce our patent rights, even if obtained,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66" w:name="page67"/>
    <w:bookmarkEnd w:id="66"/>
    <w:p>
      <w:pPr>
        <w:ind w:right="60"/>
        <w:spacing w:after="0" w:line="277" w:lineRule="auto"/>
        <w:rPr>
          <w:sz w:val="20"/>
          <w:szCs w:val="20"/>
          <w:color w:val="auto"/>
        </w:rPr>
      </w:pPr>
      <w:r>
        <w:rPr>
          <w:rFonts w:ascii="Arial" w:cs="Arial" w:eastAsia="Arial" w:hAnsi="Arial"/>
          <w:sz w:val="18"/>
          <w:szCs w:val="18"/>
          <w:b w:val="1"/>
          <w:bCs w:val="1"/>
          <w:i w:val="1"/>
          <w:iCs w:val="1"/>
          <w:color w:val="auto"/>
        </w:rPr>
        <w:t>Issued patents covering our product candidates could be found invalid or unenforceable if challenged in court. We may not be able to protect our trade secrets in court.</w:t>
      </w:r>
    </w:p>
    <w:p>
      <w:pPr>
        <w:spacing w:after="0" w:line="62"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 xml:space="preserve">If one of our licensing partners or we initiate legal proceedings against a third-party to enforce a patent covering one of our product candidates, should such a patent issue, the defendant could counterclaim that the patent covering our product candidate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written description or non-enablement. Grounds for an unenforceability assertion could be an allegation that someone connected with prosecution of the patent withheld information material to patentability from the USPTO, or made a misleading statement, during prosecution. Third parties also may raise similar claims before administrative bodies in the United States or abroad, even outside the context of litigation. Such mechanisms include re-examination, post 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and equivalent proceedings in foreign jurisdictions. Such proceedings could result in the revocation or cancellation of or amendment to our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the patent examiner and we or our licensing partners were unaware during prosecution. If a defendant were to prevail on a legal assertion of invalidity or unenforceability, we could lose at least part, and perhaps all, of the patent protection on one or more of our product candidates. Such a loss of patent protection could have a material adverse impact on our business.</w:t>
      </w:r>
    </w:p>
    <w:p>
      <w:pPr>
        <w:spacing w:after="0" w:line="168"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In addition to the protection afforded by patents, we rely on trade secret protection and confidentiality agreements to protect proprietary know-how that is not patentable or that we elect not to patent, processes for which patents are difficult to enforce and any other elements of our product candidate discovery and development processes that involve proprietary know-how, information or technology that is not covered by patents. However, trade secrets can be difficult to protect and some courts inside and outside the United States are less willing or unwilling to protect trade secrets. We seek to protect our proprietary technology and processes, in part, by entering into confidentiality agreements with our employees, consultants, scientific advisors and contractors. We cannot guarantee that we have entered into such agreements with each party that may have or have had access to our trade secrets or proprietary technology and processes. 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 In addition, our trade secrets may otherwise become known or be independently discovered by competitors.</w:t>
      </w:r>
    </w:p>
    <w:p>
      <w:pPr>
        <w:spacing w:after="0" w:line="276"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b w:val="1"/>
          <w:bCs w:val="1"/>
          <w:i w:val="1"/>
          <w:iCs w:val="1"/>
          <w:color w:val="auto"/>
        </w:rPr>
        <w:t>We may be subject to claims asserting that our employees, consultants or advisors have wrongfully used or disclosed alleged trade secrets of their current or former employers or claims asserting ownership of what we regard as our own intellectual property.</w:t>
      </w:r>
    </w:p>
    <w:p>
      <w:pPr>
        <w:spacing w:after="0" w:line="38" w:lineRule="exact"/>
        <w:rPr>
          <w:sz w:val="20"/>
          <w:szCs w:val="20"/>
          <w:color w:val="auto"/>
        </w:rPr>
      </w:pPr>
    </w:p>
    <w:p>
      <w:pPr>
        <w:ind w:right="380"/>
        <w:spacing w:after="0" w:line="291" w:lineRule="auto"/>
        <w:rPr>
          <w:sz w:val="20"/>
          <w:szCs w:val="20"/>
          <w:color w:val="auto"/>
        </w:rPr>
      </w:pPr>
      <w:r>
        <w:rPr>
          <w:rFonts w:ascii="Arial" w:cs="Arial" w:eastAsia="Arial" w:hAnsi="Arial"/>
          <w:sz w:val="16"/>
          <w:szCs w:val="16"/>
          <w:color w:val="auto"/>
        </w:rPr>
        <w:t>Certain of our employees, consultants or advisors are currently, or were previously, employed at universities or other biotechnology or pharmaceutical companies, including our competitors or potential competitors. Although we try to ensure that our employees, consultants and advisors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 Our licensors may face similar risks, which could have an adverse impact on intellectual property that is licensed to us.</w:t>
      </w:r>
    </w:p>
    <w:p>
      <w:pPr>
        <w:spacing w:after="0" w:line="166"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w:t>
      </w: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subject to claims challenging the inventorship or ownership of the patents and other intellectual property that we own or license.</w:t>
      </w:r>
    </w:p>
    <w:p>
      <w:pPr>
        <w:spacing w:after="0" w:line="14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or our licensors may be subject to claims that former employees, collaborators or other third parties have an ownership interest in the patents and intellectual property that we own or license or that we may own or license in the future. While it is our policy to require our employees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licensors may face similar obstacles. We could be subject to ownership disputes arising, for example, from conflicting obligations of consultants or others who are involved in developing our product candidates. Litigation may be necessary to defend against any claims challenging inventorship or ownership. If we or our licensors fail in defending any such claims, we may have to pay monetary damages and may lose valuable intellectual property rights, such as exclusive ownership of, or right to use, intellectual property, which could adversely impact our business, results of operations and financial condition.</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67" w:name="page68"/>
    <w:bookmarkEnd w:id="67"/>
    <w:p>
      <w:pPr>
        <w:ind w:right="220"/>
        <w:spacing w:after="0" w:line="286" w:lineRule="auto"/>
        <w:rPr>
          <w:sz w:val="20"/>
          <w:szCs w:val="20"/>
          <w:color w:val="auto"/>
        </w:rPr>
      </w:pPr>
      <w:r>
        <w:rPr>
          <w:rFonts w:ascii="Arial" w:cs="Arial" w:eastAsia="Arial" w:hAnsi="Arial"/>
          <w:sz w:val="17"/>
          <w:szCs w:val="17"/>
          <w:b w:val="1"/>
          <w:bCs w:val="1"/>
          <w:i w:val="1"/>
          <w:iCs w:val="1"/>
          <w:color w:val="auto"/>
        </w:rPr>
        <w:t>Some intellectual property which we have in-licensed may have been discovered through government funded programs and thus may be subject to federal regulations such as “march-in” rights, certain reporting requirements, and a preference for U.S. industry. Compliance with such regulations may limit our exclusive rights, and limit our ability to contract with non-U.S. manufacturers.</w:t>
      </w:r>
    </w:p>
    <w:p>
      <w:pPr>
        <w:spacing w:after="0" w:line="57"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Some of the intellectual property rights we have licensed, including rights licensed to us by GenStem, may have been generated through the use of U.S. government and California state funding and may therefore be subject to certain federal and state laws and regulations. For example, with respect to the AVR-RD-04 program for cystinosis, the NIH previously granted funding to UCSD for certain research in connection with the development of UCSD’s gene therapy program for cystinosis, which we have licensed from GenStem. As a result, the U.S. government may have certain rights to intellectual property embodied in our AVR-RD-04 program, or in other product candidates to the extent funded by the U.S. government pursuant to the Bayh-Dole Act of 1980, or Bayh-Dole Act. These U.S. government rights in certain inventions developed under a government-funded program include a non-exclusive, non-transferable, irrevocable worldwide license to use inventions for any governmental purpose. In addition, the U.S. government has the right to require us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 The U.S. government also has the right to take title to these inventions if we, or the applicable licensor, fail to disclose the invention to the government and fail to file an application to register the intellectual property within specified time limits. Intellectual property generated under a government funded program is also subject to certain reporting requirements, compliance with which may require us or the applicable licensor to expend substantial resources. In addition, the U.S. government requires that any products embodying the subject invention or produced through the use of the subject invention be manufactured substantially in the United States.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manufacturers may limit our ability to contract with non-U.S. product manufacturers for products covered by such intellectual property. To the extent any of our current or future intellectual property is generated through the use of U.S. government funding, the provisions of the Bayh-Dole Act may similarly apply. Any exercise by the government of certain of its rights could harm our competitive position, business, financial condition, results of operations and prospects. With respect to state funding, specifically funding via the California Institute of Regenerative Medicine, or CIRM, which has granted funds for the study of AVR-RD-04 for cystinosis, the grantee has certain obligations and the state or CIRM has certain rights. For example, the grantee has an obligation to share intellectual property, including research results, generated by CIRM-funded research, for research use in California.</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U.S. patent law could diminish the value of patents in general, thereby impairing our ability to protect our product candidates.</w:t>
      </w:r>
    </w:p>
    <w:p>
      <w:pPr>
        <w:spacing w:after="0" w:line="12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Changes in either the patent laws or the interpretation of the patent laws in the United States could increase the uncertainties and costs surrounding the prosecution of patent applications and the enforcement or defense of issued patents. On September 16, 2011, the Leahy-Smith America Invents Act, or the Leahy-Smith Act, was signed into law. The Leahy-Smith Act includes several significant changes to U.S. patent law. These include provisions that affect the way patent applications are prosecuted and also may affect patent litigation. These also include provisions that switched the United States from a “first-to-invent” system to a “first-to-file” system, allow third-party submission of prior art to the USPTO during patent prosecution and set forth additional procedures to attack the validity of a patent by the USPTO administered post grant proceedings. Under a first-to-file system, assuming the other requirements for patentability are met, the first inventor to file a patent application generally will be entitled to the patent on an invention regardless of whether another inventor had made the invention earlier. The USPTO developed new regulations and procedures to govern administration of the Leahy-Smith Act, and many of the substantive changes to patent law associated with the Leahy-Smith Act, and in particular, the first to file provisions, only became effective on March 16, 2013. Accordingly, it is not clear what, if any, impact the Leahy-Smith Act will have on the operation of our business. However,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8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patent positions of companies engaged in the development and commercialization of biologics and pharmaceuticals are particularly uncertain. Two cases involving diagnostic method claims and “gene patents” have recently been decided by the Supreme Court of the United States, or Supreme Court. On March 20, 2012, the Supreme Court issued a decision in Mayo Collaborative Services v. Prometheus Laboratories, Inc., or Prometheus, a case involving patent claims directed to a process of measuring a metabolic product in a patient to optimize a drug dosage for the patient. According to the Supreme Court, the addition of well-understood, routine or conventional activity such as “administering” or “determining” steps was not enough to transform an otherwise patent-ineligible natural phenomenon into patent-eligible subject matter. On July 3, 2012, the USPTO issued a guidance memo to patent examiners indicating that process claims directed to a law of nature, a natural phenomenon or a naturally occurring relation or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8" w:name="page69"/>
    <w:bookmarkEnd w:id="68"/>
    <w:p>
      <w:pPr>
        <w:ind w:right="60"/>
        <w:spacing w:after="0" w:line="253" w:lineRule="auto"/>
        <w:rPr>
          <w:sz w:val="20"/>
          <w:szCs w:val="20"/>
          <w:color w:val="auto"/>
        </w:rPr>
      </w:pPr>
      <w:r>
        <w:rPr>
          <w:rFonts w:ascii="Arial" w:cs="Arial" w:eastAsia="Arial" w:hAnsi="Arial"/>
          <w:sz w:val="18"/>
          <w:szCs w:val="18"/>
          <w:color w:val="auto"/>
        </w:rPr>
        <w:t>correlation that do not include additional elements or steps that integrate the natural principle into the claimed invention such that the natural principle is practically applied and the claim amounts to significantly more than the natural principle itself should be rejected as directed to not patent-eligible subject matter. On June 13, 2013, the Supreme Court issued its decision in Association for Molecular Pathology v. Myriad Genetics, Inc., or Myriad, a case involving patent claims held by Myriad Genetics, Inc. relating to the breast cancer susceptibility genes BRCA1 and BRCA2. Myriad held that an isolated segment of naturally occurring DNA, such as the DNA constituting the BRCA1 and BRCA2 genes, is not patent-eligible subject matter, but that complementary DNA, which is an artificial construct that may be created from RNA transcripts of genes, may be patent-eligible. On March 4, 2014, the USPTO issued a guidance memorandum to patent examiners entitled 2014 Procedure For Subject Matter Eligibility Analysis Of Claims Reciting Or Involving Laws Of Nature/Natural Principles, Natural Phenomena, And/Or Natural Products. These guidelines instruct USPTO examiners on the ramifications of the Prometheus and Myriad rulings and apply the Myriad ruling to natural products and principles including all naturally occurring nucleic acids.</w:t>
      </w:r>
    </w:p>
    <w:p>
      <w:pPr>
        <w:spacing w:after="0" w:line="194"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color w:val="auto"/>
        </w:rPr>
        <w:t>Certain claims of our licensed patents and patent applications contain, and any future patents we may obtain may contain, claims that relate to specific recombinant DNA sequences that are naturally occurring at least in part and, therefore, could be the subject of future challenges made by third parties. In addition, the 2014 USPTO guidance could impact our ability to pursue similar patent claims in patent applications we may prosecute in the future.</w:t>
      </w:r>
    </w:p>
    <w:p>
      <w:pPr>
        <w:spacing w:after="0" w:line="149"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We cannot assure you that our efforts to seek patent protection for our product candidates will not be negatively impacted by the decisions described above, rulings in other cases or changes in guidance or procedures issued by the USPTO. We cannot fully predict what impact the Supreme Court’s decisions in Prometheus and Myriad may have on the ability of life science companies to obtain or enforce patents relating to their products in the future. These decisions, the guidance issued by the USPTO and rulings in other cases or changes in USPTO guidance or procedures could have a material adverse effect on our existing patent rights and our ability to protect and enforce our intellectual property in the future.</w:t>
      </w:r>
    </w:p>
    <w:p>
      <w:pPr>
        <w:spacing w:after="0" w:line="17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Moreover, although the Supreme Court has held in Myriad that isolated segments of naturally occurring DNA are not patent-eligible subject matter, certain third parties could allege that activities that we may undertake infringe other gene-related patent claims, and we may deem it necessary to defend ourselves against these claims by asserting non-infringement and/or invalidity positions, or paying to obtain a license to these claims. In any of the foregoing or in other situations involving third-party intellectual property rights, if we are unsuccessful in defending against claims of patent infringement, we could be forced to pay damages or be subjected to an injunction that would prevent us from utilizing the patented subject matter. Such outcomes could harm our business, financial condition, results of operations or prospects.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obtain patent term extension and data exclusivity for our product candidates, our business may be materially harmed.</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Depending upon the timing, duration and specifics of any FDA marketing approval of our product candidates, one or more U.S. patents that we license or may own or license in the future, if any, may be eligible for limited patent term extension under the Drug Price Competition and Patent Term Restoration Act of 1984, or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A patent may only be extended once and only based on a single approved product.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the term of any such extension is less than we request, our competitors may obtain approval of competing products following our patent expiration, and our revenue could be reduced, possibly materially. In addition, we do not control the efforts of our licensors to obtain a patent term extension, and there can be no assurance that they will pursue or obtain such extensions to the patents that we license from them.</w:t>
      </w:r>
    </w:p>
    <w:p>
      <w:pPr>
        <w:spacing w:after="0" w:line="27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6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have registered the mark “plato” with the USPTO and have pending trademark applications with the USPTO for the mark “AVROBIO” but do not have trademarks or trademark applications with the USPTO for the marks “AVRO” or the AVROBIO logo. In the future, even if we apply for registration of these marks, there can be no assurance that such registration will be approved. Once registered,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9" w:name="page70"/>
    <w:bookmarkEnd w:id="69"/>
    <w:p>
      <w:pPr>
        <w:ind w:right="140"/>
        <w:spacing w:after="0" w:line="296" w:lineRule="auto"/>
        <w:rPr>
          <w:sz w:val="20"/>
          <w:szCs w:val="20"/>
          <w:color w:val="auto"/>
        </w:rPr>
      </w:pPr>
      <w:r>
        <w:rPr>
          <w:rFonts w:ascii="Arial" w:cs="Arial" w:eastAsia="Arial" w:hAnsi="Arial"/>
          <w:sz w:val="16"/>
          <w:szCs w:val="16"/>
          <w:color w:val="auto"/>
        </w:rPr>
        <w:t>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impact our financial condition or results of operations.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and regulatory exclusivity rights do not necessarily address all potential threats.</w:t>
      </w:r>
    </w:p>
    <w:p>
      <w:pPr>
        <w:spacing w:after="0" w:line="11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62" w:lineRule="exact"/>
        <w:rPr>
          <w:sz w:val="20"/>
          <w:szCs w:val="20"/>
          <w:color w:val="auto"/>
        </w:rPr>
      </w:pPr>
    </w:p>
    <w:p>
      <w:pPr>
        <w:ind w:left="880" w:right="520" w:hanging="373"/>
        <w:spacing w:after="0" w:line="277"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others may be able to make gene therapy products that are similar to our product candidates but that are not covered by the claims of the patents that we license or may own or license in the future;</w:t>
      </w:r>
    </w:p>
    <w:p>
      <w:pPr>
        <w:spacing w:after="0" w:line="62" w:lineRule="exact"/>
        <w:rPr>
          <w:rFonts w:ascii="Arial" w:cs="Arial" w:eastAsia="Arial" w:hAnsi="Arial"/>
          <w:sz w:val="18"/>
          <w:szCs w:val="18"/>
          <w:color w:val="auto"/>
        </w:rPr>
      </w:pPr>
    </w:p>
    <w:p>
      <w:pPr>
        <w:ind w:left="880" w:right="40" w:hanging="373"/>
        <w:spacing w:after="0" w:line="277"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our license partners or current or future collaborators, might not have been the first to make the inventions covered by the issued patents or pending patent applications that we license or may own or license in the future;</w:t>
      </w:r>
    </w:p>
    <w:p>
      <w:pPr>
        <w:spacing w:after="0" w:line="62" w:lineRule="exact"/>
        <w:rPr>
          <w:rFonts w:ascii="Arial" w:cs="Arial" w:eastAsia="Arial" w:hAnsi="Arial"/>
          <w:sz w:val="18"/>
          <w:szCs w:val="18"/>
          <w:color w:val="auto"/>
        </w:rPr>
      </w:pPr>
    </w:p>
    <w:p>
      <w:pPr>
        <w:ind w:left="880" w:right="320" w:hanging="373"/>
        <w:spacing w:after="0" w:line="277"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our license partners or current or future collaborators, might not have been the first to file patent applications covering certain of our or their inventions;</w:t>
      </w:r>
    </w:p>
    <w:p>
      <w:pPr>
        <w:spacing w:after="0" w:line="62" w:lineRule="exact"/>
        <w:rPr>
          <w:rFonts w:ascii="Arial" w:cs="Arial" w:eastAsia="Arial" w:hAnsi="Arial"/>
          <w:sz w:val="18"/>
          <w:szCs w:val="18"/>
          <w:color w:val="auto"/>
        </w:rPr>
      </w:pPr>
    </w:p>
    <w:p>
      <w:pPr>
        <w:ind w:left="880" w:right="360" w:hanging="373"/>
        <w:spacing w:after="0" w:line="277"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owned or licensed intellectual property rights;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it is possible that our pending licensed patent applications or those that we may own or license in the future will not lead to issued patents;</w:t>
      </w:r>
    </w:p>
    <w:p>
      <w:pPr>
        <w:spacing w:after="0" w:line="140" w:lineRule="exact"/>
        <w:rPr>
          <w:rFonts w:ascii="Arial" w:cs="Arial" w:eastAsia="Arial" w:hAnsi="Arial"/>
          <w:sz w:val="16"/>
          <w:szCs w:val="16"/>
          <w:color w:val="auto"/>
        </w:rPr>
      </w:pPr>
    </w:p>
    <w:p>
      <w:pPr>
        <w:ind w:left="880" w:right="420" w:hanging="373"/>
        <w:spacing w:after="0" w:line="277"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issued patents that we hold rights to or may hold rights to in the future may be held invalid or unenforceable, including as a result of legal challenges by our competitors;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one or more of our product candidates may never be protected by patents;</w:t>
      </w:r>
    </w:p>
    <w:p>
      <w:pPr>
        <w:spacing w:after="0" w:line="117" w:lineRule="exact"/>
        <w:rPr>
          <w:rFonts w:ascii="Arial" w:cs="Arial" w:eastAsia="Arial" w:hAnsi="Arial"/>
          <w:sz w:val="18"/>
          <w:szCs w:val="18"/>
          <w:color w:val="auto"/>
        </w:rPr>
      </w:pPr>
    </w:p>
    <w:p>
      <w:pPr>
        <w:ind w:left="880" w:right="840" w:hanging="373"/>
        <w:spacing w:after="0" w:line="308" w:lineRule="auto"/>
        <w:tabs>
          <w:tab w:leader="none" w:pos="8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38" w:lineRule="exact"/>
        <w:rPr>
          <w:rFonts w:ascii="Arial" w:cs="Arial" w:eastAsia="Arial" w:hAnsi="Arial"/>
          <w:sz w:val="17"/>
          <w:szCs w:val="17"/>
          <w:color w:val="auto"/>
        </w:rPr>
      </w:pPr>
    </w:p>
    <w:p>
      <w:pPr>
        <w:ind w:left="880" w:hanging="373"/>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 and</w:t>
      </w:r>
    </w:p>
    <w:p>
      <w:pPr>
        <w:spacing w:after="0" w:line="117" w:lineRule="exact"/>
        <w:rPr>
          <w:rFonts w:ascii="Arial" w:cs="Arial" w:eastAsia="Arial" w:hAnsi="Arial"/>
          <w:sz w:val="18"/>
          <w:szCs w:val="18"/>
          <w:color w:val="auto"/>
        </w:rPr>
      </w:pPr>
    </w:p>
    <w:p>
      <w:pPr>
        <w:ind w:left="880" w:right="800" w:hanging="373"/>
        <w:spacing w:after="0" w:line="277"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may choose not to file a patent application for certain trade secrets or know-how, and a third party may subsequently file a patent application or obtain a patent covering such intellectual property.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Should any of these events occur, they could significantly harm our business, financial condition, results of operations and prospects.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21"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The market price of our common stock may be highly volatile, and you may not be able to resell your shares at or above the price at which you purchased our shares.</w:t>
      </w:r>
    </w:p>
    <w:p>
      <w:pPr>
        <w:spacing w:after="0" w:line="6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stock price is likely to be volatile. Since our initial public offering, or IPO, in June 2018, through September 30, 2020, the trading price of our common stock has ranged from $9.76 to $53.70. The stock market in general, and the market for biopharmaceutical companies in particular, has experienced extreme volatility that has often been unrelated to the operating performance of particular companies. As a result of this volatility, you may not be able to sell your common stock at or above the price at which you purchased shares. The market price for our common stock may be influenced by many factors, including:</w:t>
      </w:r>
    </w:p>
    <w:p>
      <w:pPr>
        <w:spacing w:after="0" w:line="80" w:lineRule="exact"/>
        <w:rPr>
          <w:sz w:val="20"/>
          <w:szCs w:val="20"/>
          <w:color w:val="auto"/>
        </w:rPr>
      </w:pPr>
    </w:p>
    <w:p>
      <w:pPr>
        <w:ind w:left="880" w:hanging="373"/>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ongoing COVID-19 pandemic;</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adverse results or delays in preclinical studies or clinical trials;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reports of adverse events in other gene therapy products or clinical studies of such products;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 inability to obtain additional funding;</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failure by us to successfully develop and commercialize our product candidates;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failure by us to maintain our existing strategic collaborations or enter into new collaborations;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failure by us or our licensors and strategic partners to prosecute, maintain or enforce our intellectual property rights;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70" w:name="page71"/>
    <w:bookmarkEnd w:id="70"/>
    <w:p>
      <w:pPr>
        <w:ind w:left="880" w:hanging="373"/>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laws or regulations applicable to future products;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 inability to obtain adequate product supply for our product candidates or the inability to do so at acceptable prices;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adverse regulatory decisions;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introduction of new products, services or technologies by our competitors;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failure by us to meet or exceed financial projections we may provide to the public;</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failure by us to meet or exceed the financial projections of the investment community;</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perception of the pharmaceutical industry by the public, legislatures, regulators and the investment community;</w:t>
      </w:r>
    </w:p>
    <w:p>
      <w:pPr>
        <w:spacing w:after="0" w:line="117" w:lineRule="exact"/>
        <w:rPr>
          <w:rFonts w:ascii="Arial" w:cs="Arial" w:eastAsia="Arial" w:hAnsi="Arial"/>
          <w:sz w:val="18"/>
          <w:szCs w:val="18"/>
          <w:color w:val="auto"/>
        </w:rPr>
      </w:pPr>
    </w:p>
    <w:p>
      <w:pPr>
        <w:ind w:left="880" w:right="420" w:hanging="373"/>
        <w:spacing w:after="0" w:line="277" w:lineRule="auto"/>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announcements of significant acquisitions, strategic partnerships, joint ventures or capital commitments by us, our strategic partner or our competitors;</w:t>
      </w:r>
    </w:p>
    <w:p>
      <w:pPr>
        <w:spacing w:after="0" w:line="62" w:lineRule="exact"/>
        <w:rPr>
          <w:rFonts w:ascii="Arial" w:cs="Arial" w:eastAsia="Arial" w:hAnsi="Arial"/>
          <w:sz w:val="18"/>
          <w:szCs w:val="18"/>
          <w:color w:val="auto"/>
        </w:rPr>
      </w:pPr>
    </w:p>
    <w:p>
      <w:pPr>
        <w:ind w:left="880" w:right="80" w:hanging="373"/>
        <w:spacing w:after="0" w:line="277" w:lineRule="auto"/>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disputes or other developments relating to proprietary rights, including patents, litigation matters and our ability to obtain patent protection for our technologies;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additions or departures of key scientific or management personnel;</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significant lawsuits, including patent or stockholder litigation;</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the market valuations of similar companies;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 in the future;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trading volume of our common stock.</w:t>
      </w:r>
    </w:p>
    <w:p>
      <w:pPr>
        <w:spacing w:after="0" w:line="22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In addition, companies trading in the stock market in general, and The Nasdaq Global Select Market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subject to securities class action litigation.</w:t>
      </w:r>
    </w:p>
    <w:p>
      <w:pPr>
        <w:spacing w:after="0" w:line="117"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In the past, securities class action litigation has often been brought against a company following a decline in the market price of its securities. This risk is especially relevant for us because pharmaceutical companies have experienced significant stock price volatility in recent years. If we face such litigation, it could result in substantial costs and a diversion of management’s attention and resources, which could harm our business.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for our common stock may not be sustained.</w:t>
      </w:r>
    </w:p>
    <w:p>
      <w:pPr>
        <w:spacing w:after="0" w:line="117"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Prior to our IPO in June 2018, there had been no public market for our common stock. Although our common stock is listed on The Nasdaq Global Select Market, an active trading market for our shares may never be sustained. If an active market for our common stock is not sustained, it may be difficult for you to sell shares you purchased without depressing the market price for the shares, or at all.</w:t>
      </w:r>
    </w:p>
    <w:p>
      <w:pPr>
        <w:spacing w:after="0" w:line="18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An inactive trading market may also impair our ability to raise capital to continue to fund operations by selling additional shares and may impair our ability to acquire other companies or technologies by using our shares as consideration.</w:t>
      </w:r>
    </w:p>
    <w:p>
      <w:pPr>
        <w:spacing w:after="0" w:line="27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share price and trading volume could decline.</w:t>
      </w:r>
    </w:p>
    <w:p>
      <w:pPr>
        <w:spacing w:after="0" w:line="62"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trading market for our common stock will likely depend in part on the research and reports that securities or industry analysts publish about us or our business. We do not have any control over these analysts. Although we have obtained research coverage from certain analysts, there can be no assurance that analysts will continue to cover us or provide favorable coverage. If one or more analysts downgrade our stock or change their opinion of our stock, our share price would likely decline. In addition, if one or more analysts cease coverage of our company or fail to regularly publish reports on us, we could lose visibility in the financial markets, which could cause our share price or trading volume to decline.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71" w:name="page72"/>
    <w:bookmarkEnd w:id="71"/>
    <w:p>
      <w:pPr>
        <w:ind w:right="660"/>
        <w:spacing w:after="0" w:line="277" w:lineRule="auto"/>
        <w:rPr>
          <w:sz w:val="20"/>
          <w:szCs w:val="20"/>
          <w:color w:val="auto"/>
        </w:rPr>
      </w:pPr>
      <w:r>
        <w:rPr>
          <w:rFonts w:ascii="Arial" w:cs="Arial" w:eastAsia="Arial" w:hAnsi="Arial"/>
          <w:sz w:val="18"/>
          <w:szCs w:val="18"/>
          <w:b w:val="1"/>
          <w:bCs w:val="1"/>
          <w:i w:val="1"/>
          <w:iCs w:val="1"/>
          <w:color w:val="auto"/>
        </w:rPr>
        <w:t>Concentration of ownership of our common stock among our existing executive officers, directors and principal stockholders may prevent new investors from influencing significant corporate decisions.</w:t>
      </w:r>
    </w:p>
    <w:p>
      <w:pPr>
        <w:spacing w:after="0" w:line="6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Based on shares outstanding as of October 30, 2020, our executive officers, directors, five percent stockholders and their affiliates beneficially owned approximately 28% of our voting stock. As a result, if these stockholders were to act together, they would be able to significantly influence all matters submitted to our stockholders for approval, as well as our management and affairs. For example, these stockholders, acting together, may be able to influence elections of directors, amendments of our organizational documents, or approval of any merger, sale of assets, or other major corporate transaction. This may prevent or discourage unsolicited acquisition proposals or offers for our common stock that you may believe are in your best interest as one of our stockholders. Some of these persons or entities may have interests different than yours. For example, because many of these stockholders purchased their shares at prices substantially below the current trading price of our stock and have held their shares for a longer period, they may be more interested in selling our Company to an acquirer than other investors or they may want us to pursue strategies that deviate from the interests of other stockholders.</w:t>
      </w:r>
    </w:p>
    <w:p>
      <w:pPr>
        <w:spacing w:after="0" w:line="30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62"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are an “emerging growth company,” or EGC, as defined in the JOBS Act. We will remain an EGC until the earliest of: (i) the last day of the fiscal year in which we have total annual gross revenues of $1.07 billion or more; (ii) the last day of the fiscal year following the fifth anniversary of the date of the completion of our IPO; (iii) the date on which we have issued more than $1.0 billion in nonconvertible debt during the previous three years; or (iv) the date on which we are deemed to be a large accelerated filer under the rules of the SEC, which means the first day of the year following the first year in which the market value of our common stock that is held by non-affiliates exceeds $700 million as of June 30 in any given year. For so long as we remain an EGC, we are permitted and intend to rely on exemptions from certain disclosure requirements that are applicable to other public companies that are not emerging growth companies. These exemptions include:</w:t>
      </w:r>
    </w:p>
    <w:p>
      <w:pPr>
        <w:spacing w:after="0" w:line="69" w:lineRule="exact"/>
        <w:rPr>
          <w:sz w:val="20"/>
          <w:szCs w:val="20"/>
          <w:color w:val="auto"/>
        </w:rPr>
      </w:pPr>
    </w:p>
    <w:p>
      <w:pPr>
        <w:ind w:left="880" w:hanging="373"/>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of Section 404 of the Sarbanes-Oxley Act, or Section 404;</w:t>
      </w:r>
    </w:p>
    <w:p>
      <w:pPr>
        <w:spacing w:after="0" w:line="117" w:lineRule="exact"/>
        <w:rPr>
          <w:rFonts w:ascii="Arial" w:cs="Arial" w:eastAsia="Arial" w:hAnsi="Arial"/>
          <w:sz w:val="18"/>
          <w:szCs w:val="18"/>
          <w:color w:val="auto"/>
        </w:rPr>
      </w:pPr>
    </w:p>
    <w:p>
      <w:pPr>
        <w:ind w:left="880" w:right="560" w:hanging="373"/>
        <w:spacing w:after="0" w:line="263" w:lineRule="auto"/>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75" w:lineRule="exact"/>
        <w:rPr>
          <w:rFonts w:ascii="Arial" w:cs="Arial" w:eastAsia="Arial" w:hAnsi="Arial"/>
          <w:sz w:val="18"/>
          <w:szCs w:val="18"/>
          <w:color w:val="auto"/>
        </w:rPr>
      </w:pPr>
    </w:p>
    <w:p>
      <w:pPr>
        <w:ind w:left="880" w:right="220" w:hanging="373"/>
        <w:spacing w:after="0" w:line="342" w:lineRule="auto"/>
        <w:tabs>
          <w:tab w:leader="none" w:pos="8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w:t>
      </w:r>
    </w:p>
    <w:p>
      <w:pPr>
        <w:spacing w:after="0" w:line="15" w:lineRule="exact"/>
        <w:rPr>
          <w:rFonts w:ascii="Arial" w:cs="Arial" w:eastAsia="Arial" w:hAnsi="Arial"/>
          <w:sz w:val="16"/>
          <w:szCs w:val="16"/>
          <w:color w:val="auto"/>
        </w:rPr>
      </w:pPr>
    </w:p>
    <w:p>
      <w:pPr>
        <w:ind w:left="880" w:hanging="373"/>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an exemption from the requirement to seek nonbinding advisory votes on executive compensation or golden parachute arrangements.</w:t>
      </w:r>
    </w:p>
    <w:p>
      <w:pPr>
        <w:spacing w:after="0" w:line="237"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We may choose to take advantage of some, but not all, of the available exemptions. We have taken advantage of reduced reporting burdens in this report. In particular, we have not included in our Annual Report on Form 10-K for the year ended December 31, 2019 or in our 2020 annual proxy statement all of the executive compensation information that would be required if we were not an EGC. We cannot predict whether investors will find our common stock less attractive if we rely on certain or all of these exemptions. If some investors find our common stock less attractive as a result, there may be a less active trading market for our common stock and our stock price may be more volatile.</w:t>
      </w:r>
    </w:p>
    <w:p>
      <w:pPr>
        <w:spacing w:after="0" w:line="17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addition, the JOBS Act provides that an EGC may take advantage of an extended transition period for complying with new or revised accounting standards. This allows an EGC to delay the adoption of certain accounting standards until those standards would otherwise apply to private companies. We have elected to avail ourselves of this exemption from new or revised accounting standards and, therefore, we will not be subject to the same new or revised accounting standards as other public companies that are not emerging growth companies.</w:t>
      </w:r>
    </w:p>
    <w:p>
      <w:pPr>
        <w:spacing w:after="0" w:line="18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Even after we no longer qualify as an emerging growth company, we may still qualify as a “smaller reporting company” if the market value of our common stock held by non-affiliates is below $250 million (or $700 million if our annual revenue is less than $100 million) as of June 30 in any given year, which would allow us to take advantage of many of the same exemptions from disclosure requirements.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72" w:name="page73"/>
    <w:bookmarkEnd w:id="72"/>
    <w:p>
      <w:pPr>
        <w:ind w:right="40"/>
        <w:spacing w:after="0" w:line="277" w:lineRule="auto"/>
        <w:rPr>
          <w:sz w:val="20"/>
          <w:szCs w:val="20"/>
          <w:color w:val="auto"/>
        </w:rPr>
      </w:pPr>
      <w:r>
        <w:rPr>
          <w:rFonts w:ascii="Arial" w:cs="Arial" w:eastAsia="Arial" w:hAnsi="Arial"/>
          <w:sz w:val="18"/>
          <w:szCs w:val="18"/>
          <w:b w:val="1"/>
          <w:bCs w:val="1"/>
          <w:i w:val="1"/>
          <w:iCs w:val="1"/>
          <w:color w:val="auto"/>
        </w:rPr>
        <w:t>We expect to continue to incur increased costs as a result of operating as a public company, and our management is required to devote substantial time to new compliance initiatives.</w:t>
      </w:r>
    </w:p>
    <w:p>
      <w:pPr>
        <w:spacing w:after="0" w:line="6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As a public company, and particularly after we are no longer an EGC, we will incur significant legal, accounting and other expenses that we did not incur as a private company. In addition, the Sarbanes-Oxley Act of 2002 and rules subsequently implemented by the SEC and Nasdaq have imposed various requirements on public companies, including establishment and maintenance of effective disclosure and financial controls and corporate governance practices. Our management and other personnel will continue to devote a substantial amount of time to these compliance initiatives. Moreover, these rules and regulations have increased our legal and financial compliance costs and will continue to make some activities more time-consuming and costly. For example, we expect that these rules and regulations may make it more difficult and increasingly more expensive for us to obtain and maintain director and officer liability insurance.</w:t>
      </w:r>
    </w:p>
    <w:p>
      <w:pPr>
        <w:spacing w:after="0" w:line="19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Pursuant to Section 404, we are required to furnish a report by our management on our internal control over financial reporting, and, once we are no longer an EGC or a “smaller reporting company”, we will be required to furnish an attestation report on internal control over financial reporting issued by our independent registered public accounting firm. To achieve compliance with Section 404, we continue to be engaged in a process to document and evaluate our internal control over financial reporting, which is both costly and challenging. In this regard, we will need to continue to dedicate internal resources, potentially continue to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that our internal control over financial reporting is effective as required by Section 404. This could result in an adverse reaction in the financial markets due to a loss of confidence in the reliability of our financial statements.</w:t>
      </w:r>
    </w:p>
    <w:p>
      <w:pPr>
        <w:spacing w:after="0" w:line="289"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7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Effective internal control over financial reporting is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 over financial reporting that are deemed to be material weaknesses or that may require prospective or retroactive changes to our financial statements, or may identify other areas for further attention or improvement. Inferior internal controls could also cause investors to lose confidence in our reported financial information, which could have a negative effect on the trading price of our stock.</w:t>
      </w:r>
    </w:p>
    <w:p>
      <w:pPr>
        <w:spacing w:after="0" w:line="19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are required to disclose changes made in our internal controls and procedures on a quarterly basis and our management is required to assess the effectiveness of these controls annually. However, for as long as we are an EGC or a “smaller reporting company”, our independent registered public accounting firm will not be required to attest to the effectiveness of our internal control over financial reporting pursuant to Section 404. We could be an EGC for up to five years following the completion of our IPO and will qualify as a “smaller reporting company” if the market value of our common stock held by non-affiliates is below $250 million (or $700 million if our annual revenue is less than $100 million) as of June 30 in any given year. An independent assessment of the effectiveness of our internal control over financial reporting could detect problems that our management’s assessment might not. Undetected material weaknesses in our internal control over financial reporting could lead to financial statement restatements and require us to incur the expense of remediation.</w:t>
      </w:r>
    </w:p>
    <w:p>
      <w:pPr>
        <w:spacing w:after="0" w:line="300"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b w:val="1"/>
          <w:bCs w:val="1"/>
          <w:i w:val="1"/>
          <w:iCs w:val="1"/>
          <w:color w:val="auto"/>
        </w:rPr>
        <w:t>We and our independent registered public accounting firm have identified material weaknesses in our internal control over financial reporting. While we have taken numerous steps to address these material weaknesses and believe we have made progress toward remediating them, if we are unable to remedy these material weaknesses, or if we fail to establish and maintain effective internal controls, we may be unable to produce timely and accurate financial statements, and we may conclude that our internal control over financial reporting is not effective, which could adversely impact our investors’ confidence and our stock price.</w:t>
      </w:r>
    </w:p>
    <w:p>
      <w:pPr>
        <w:spacing w:after="0" w:line="82"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In our Annual Report on Form 10-K for the year ended December 31, 2018, we reported material weaknesses in our internal control over financial reporting related to deficiencies in our controls over the financial statement close process, including over complex accounting issues, expense classification and accrued research and development expenses, as well as the cash disbursement process. During 2019 and the first three quarters of 2020, we took a number of actions, including the efforts outlined in Item 4 of this Quarterly Report on Form 10-Q, designed to improve our internal control over financial reporting to remediate these material weaknesses. We have continued to test these improvements through the first three quarters of 2020.</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73" w:name="page74"/>
    <w:bookmarkEnd w:id="73"/>
    <w:p>
      <w:pPr>
        <w:ind w:right="20"/>
        <w:spacing w:after="0" w:line="279" w:lineRule="auto"/>
        <w:rPr>
          <w:sz w:val="20"/>
          <w:szCs w:val="20"/>
          <w:color w:val="auto"/>
        </w:rPr>
      </w:pPr>
      <w:r>
        <w:rPr>
          <w:rFonts w:ascii="Arial" w:cs="Arial" w:eastAsia="Arial" w:hAnsi="Arial"/>
          <w:sz w:val="17"/>
          <w:szCs w:val="17"/>
          <w:color w:val="auto"/>
        </w:rPr>
        <w:t>We believe significant progress was made in 2019 and through the first three quarters of 2020 to enhance and strengthen our internal control over financial reporting. However, while we believe our internal controls were properly designed and implemented as of December 31, 2019, they were not in all cases in place for a sufficient period of time to demonstrate operating effectiveness as of December 31, 2019. As a result, management concluded that the material weaknesses were not fully remediated as of December 31, 2019 or September 30, 2020.</w:t>
      </w:r>
    </w:p>
    <w:p>
      <w:pPr>
        <w:spacing w:after="0" w:line="17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We expect to continue our efforts to improve our control processes, though there can be no assurance that our efforts will ultimately be successful or avoid potential future material weaknesses, and we expect to continue incurring additional costs as a result of these efforts. Management remains committed to the implementation of remediation efforts to address these material weaknesses. If we are unable to successfully remediate our existing or any future material weaknesses in our internal control over financial reporting, or if we identify any additional material weaknesses, the accuracy and timing of our financial reporting may be adversely affected, we may be unable to maintain compliance with securities law requirements regarding timely filing of periodic reports in addition to applicable stock exchange listing requirements, investors may lose confidence in our financial reporting, and our stock price may decline as a result. We also could become subject to investigations by Nasdaq, the SEC or other regulatory authorities.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1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spacing w:after="0" w:line="27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A significant portion of our total outstanding shares are restricted from immediate resale but may be sold into the market in the near future, which could cause the market price of our common stock to drop significantly.</w:t>
      </w:r>
    </w:p>
    <w:p>
      <w:pPr>
        <w:spacing w:after="0" w:line="6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subject to certain restrictions described below. These sales, or the perception in the market that holders of a large number of shares intend to sell shares, could reduce the market price of our common stock. As of October 30, 2020, holders of an aggregate of approximately 4.5 million shares of our common stock will have rights, subject to certain conditions, to require us to file registration statements covering their shares or to include their shares in registration statements that we may file for ourselves or other stockholders. In addition, 5,658,890 shares reserved for issuance upon the exercise of existing stock options outstanding as of September 30, 2020 under our equity incentive plans will become eligible for sale in the public market in the future. We have registered all shares of common stock that we may issue under our equity compensation plans, which can be freely sold in the public market upon issuance, subject to volume limitations applicable to affiliates.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on our common stock, so any returns will be limited to the value of our stock.</w:t>
      </w:r>
    </w:p>
    <w:p>
      <w:pPr>
        <w:spacing w:after="0" w:line="117"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We have never declared or paid any cash dividends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 For example, our prior loan facility with Silicon Valley Bank restricted our ability to pay any dividends or making any distributions on account of our capital stock, and we may enter into agreements in the future with similar restrictions. As a result, capital appreciation, if any, of our common stock will be your sole source of gain for the foreseeable future.</w:t>
      </w:r>
    </w:p>
    <w:p>
      <w:pPr>
        <w:spacing w:after="0" w:line="284" w:lineRule="exact"/>
        <w:rPr>
          <w:sz w:val="20"/>
          <w:szCs w:val="20"/>
          <w:color w:val="auto"/>
        </w:rPr>
      </w:pPr>
    </w:p>
    <w:p>
      <w:pPr>
        <w:ind w:right="20"/>
        <w:spacing w:after="0" w:line="375" w:lineRule="auto"/>
        <w:rPr>
          <w:sz w:val="20"/>
          <w:szCs w:val="20"/>
          <w:color w:val="auto"/>
        </w:rPr>
      </w:pPr>
      <w:r>
        <w:rPr>
          <w:rFonts w:ascii="Arial" w:cs="Arial" w:eastAsia="Arial" w:hAnsi="Arial"/>
          <w:sz w:val="15"/>
          <w:szCs w:val="15"/>
          <w:b w:val="1"/>
          <w:bCs w:val="1"/>
          <w:i w:val="1"/>
          <w:iCs w:val="1"/>
          <w:color w:val="auto"/>
        </w:rPr>
        <w:t>Provisions in our amended and restated certificate of incorporation and by-laws, as well as provisions of Delaware law, could make it more difficult for a third party to acquire us or increase the cost of acquiring us, even if doing so would benefit our stockholders or remove our current management.</w:t>
      </w:r>
    </w:p>
    <w:p>
      <w:pPr>
        <w:spacing w:after="0" w:line="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Our amended and restated certificate of incorporation, amended and restated by-laws and Delaware law contain provisions that may have the effect of delaying or preventing a change in control of us or changes in our management. Our amended and restated certificate of incorporation and by-laws, include provisions that:</w:t>
      </w:r>
    </w:p>
    <w:p>
      <w:pPr>
        <w:spacing w:after="0" w:line="76" w:lineRule="exact"/>
        <w:rPr>
          <w:sz w:val="20"/>
          <w:szCs w:val="20"/>
          <w:color w:val="auto"/>
        </w:rPr>
      </w:pPr>
    </w:p>
    <w:p>
      <w:pPr>
        <w:ind w:left="880" w:hanging="373"/>
        <w:spacing w:after="0" w:line="277" w:lineRule="auto"/>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authorize “blank check” preferred stock, which could be issued by our board of directors without stockholder approval and may contain voting, liquidation, dividend and other rights superior to our common stock;</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create a classified board of directors whose members serve staggered three-year terms;</w:t>
      </w:r>
    </w:p>
    <w:p>
      <w:pPr>
        <w:spacing w:after="0" w:line="117" w:lineRule="exact"/>
        <w:rPr>
          <w:rFonts w:ascii="Arial" w:cs="Arial" w:eastAsia="Arial" w:hAnsi="Arial"/>
          <w:sz w:val="18"/>
          <w:szCs w:val="18"/>
          <w:color w:val="auto"/>
        </w:rPr>
      </w:pPr>
    </w:p>
    <w:p>
      <w:pPr>
        <w:ind w:left="880" w:right="300" w:hanging="373"/>
        <w:spacing w:after="0" w:line="277" w:lineRule="auto"/>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the chairperson of our board of directors, our chief executive officer or our president;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74" w:name="page75"/>
    <w:bookmarkEnd w:id="74"/>
    <w:p>
      <w:pPr>
        <w:ind w:left="880" w:hanging="373"/>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prohibit stockholder action by written consent;</w:t>
      </w:r>
    </w:p>
    <w:p>
      <w:pPr>
        <w:spacing w:after="0" w:line="117" w:lineRule="exact"/>
        <w:rPr>
          <w:rFonts w:ascii="Arial" w:cs="Arial" w:eastAsia="Arial" w:hAnsi="Arial"/>
          <w:sz w:val="18"/>
          <w:szCs w:val="18"/>
          <w:color w:val="auto"/>
        </w:rPr>
      </w:pPr>
    </w:p>
    <w:p>
      <w:pPr>
        <w:ind w:left="880" w:right="640" w:hanging="373"/>
        <w:spacing w:after="0" w:line="277" w:lineRule="auto"/>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provide that our directors may be removed only for cause;</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provide that vacancies on our board of directors may be filled only by a majority of directors then in office, even though less than a quorum;</w:t>
      </w:r>
    </w:p>
    <w:p>
      <w:pPr>
        <w:spacing w:after="0" w:line="140" w:lineRule="exact"/>
        <w:rPr>
          <w:rFonts w:ascii="Arial" w:cs="Arial" w:eastAsia="Arial" w:hAnsi="Arial"/>
          <w:sz w:val="16"/>
          <w:szCs w:val="16"/>
          <w:color w:val="auto"/>
        </w:rPr>
      </w:pPr>
    </w:p>
    <w:p>
      <w:pPr>
        <w:ind w:left="880" w:hanging="373"/>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specify that no stockholder is permitted to cumulate votes at any election of directors;</w:t>
      </w:r>
    </w:p>
    <w:p>
      <w:pPr>
        <w:spacing w:after="0" w:line="117" w:lineRule="exact"/>
        <w:rPr>
          <w:rFonts w:ascii="Arial" w:cs="Arial" w:eastAsia="Arial" w:hAnsi="Arial"/>
          <w:sz w:val="18"/>
          <w:szCs w:val="18"/>
          <w:color w:val="auto"/>
        </w:rPr>
      </w:pPr>
    </w:p>
    <w:p>
      <w:pPr>
        <w:ind w:left="880" w:right="60" w:hanging="373"/>
        <w:spacing w:after="0" w:line="263" w:lineRule="auto"/>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expressly authorize our board of directors to modify, alter or repeal our amended and restated by-laws; and require supermajority votes of the holders of our common stock to amend specified provisions of our amended and restated certificate of incorporation and amended and restated by-laws.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w:t>
      </w:r>
    </w:p>
    <w:p>
      <w:pPr>
        <w:spacing w:after="0" w:line="225"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In addition, because we are incorporated in Delaware, we are governed by the provisions of Section 203 of the Delaware General Corporation Law, which limits the ability of stockholders owning in excess of 15% of our outstanding voting stock to merge or combine with us.</w:t>
      </w:r>
    </w:p>
    <w:p>
      <w:pPr>
        <w:spacing w:after="0" w:line="146"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Any provision of our amended and restated certificate of incorporation or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29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Our bylaws contain exclusive forum provisions, which may limit a stockholder’s ability to bring a claim in a judicial forum it finds favorable and may discourage lawsuits with respect to such claims.</w:t>
      </w:r>
    </w:p>
    <w:p>
      <w:pPr>
        <w:spacing w:after="0" w:line="6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Our amended and restated bylaws provide that, unless we consent in writing to an alternative forum, the Court of Chancery of the State of Delaware will be the sole and exclusive forum for any state law claim for (1) any derivative action or proceeding brought on our behalf; (2) any action asserting a claim of breach of or based on a fiduciary duty owed by any of our current or former directors, officers or other employees to us or our stockholders; (3) any action asserting a claim against us or any of our current or former directors, officers, employees or stockholders arising pursuant to any provision of the Delaware General Corporation Law, our amended and restated certificate of incorporation or our amended and restated bylaws; or (4) any action asserting a claim governed by the internal affairs doctrine, or the Delaware Forum Provision. The Delaware Forum Provision will not apply to any causes of action arising under the Securities Act or the Exchange Act. Our amended and restated bylaws further provide that, unless we consent in writing to an alternative forum, the United States District Court for the District of Massachusetts will be the exclusive forum for resolving any complaint asserting a cause of action arising under the Securities Act, or the Federal Forum Provision, as our principal executive offices are located in Cambridge, Massachusetts. In addition, our amended and restated bylaws provide that any person or entity purchasing or otherwise acquiring any interest in shares of our capital stock is deemed to have notice of and consented to the foregoing Delaware Forum Provision and the Federal Forum Provision; provided, however, that stockholders cannot and will not be deemed to have waived our compliance with the U.S. federal securities laws and the rules and regulations thereunder.</w:t>
      </w:r>
    </w:p>
    <w:p>
      <w:pPr>
        <w:spacing w:after="0" w:line="16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recognize that the Delaware Forum Provision and the Federal Forum Provision may impose additional litigation costs on stockholders who assert the provision is not enforceable and may impose more general additional litigation costs in pursuing any such claims, particularly if the stockholders do not reside in or near the State of Delaware or the Commonwealth of Massachusetts. Additionally, these forum selection clauses in our amended and restated bylaws may limit our stockholders’ ability to bring a claim in a judicial forum that they find favorable for disputes with us or our directors, officers or employees, which may discourage such lawsuits against us and our directors, officers and employees even though an action, if successful, might benefit our stockholders. While the Delaware Supreme Court ruled in March 2020 that federal forum selection provisions purporting to require claims under the Securities Act be brought in federal court are “facially valid” under Delaware law, there is uncertainty as to whether other courts will enforce our Federal Forum Provision. The Federal Forum Provision may also impose additional litigation costs on stockholders who assert the provision is unenforceable, and if the Federal Forum Provision is found to be unenforceable, we may incur additional costs with resolving such matters. The Court of Chancery of the State of Delaware and the United States District Court for the District of Massachusetts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General Risk Factors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Unfavorable global economic conditions could adversely affect our business, financial condition or results of operations.</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Our results of operations could be adversely affected by general conditions in the global economy and in the global financial markets. The COVID-19 pandemic has caused extreme volatility and disruptions in the capital and credit markets. A severe or prolonged economic downturn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or cause delays in payments for our services by third-party payors or our collaborators. Any of the foregoing could harm our business and we cannot anticipate all of the ways in which the current economic climate and financial market conditions could adversely impact our business, financial condition, results of operations and prospects.</w:t>
      </w:r>
    </w:p>
    <w:p>
      <w:pPr>
        <w:spacing w:after="0" w:line="27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We or the third parties upon whom we depend may be adversely affected by earthquakes or other natural disasters and our business continuity and disaster recovery plans may not adequately protect us from a serious disaster.</w:t>
      </w:r>
    </w:p>
    <w:p>
      <w:pPr>
        <w:spacing w:after="0" w:line="6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Earthquakes or other 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 financial condition, results of operations and prospects.</w:t>
      </w:r>
    </w:p>
    <w:p>
      <w:pPr>
        <w:spacing w:after="0" w:line="30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Our internal computer systems, or those of our collaborators or other contractors or consultants, may fail or suffer security breaches, which could result in a material disruption of our product development programs.</w:t>
      </w:r>
    </w:p>
    <w:p>
      <w:pPr>
        <w:spacing w:after="0" w:line="6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Despite our security measures, our internal computer systems and those of our current and any future collaborators and other contractors or consultants are vulnerable to damage from computer viruses, unauthorized access, natural disasters, terrorism, war and telecommunication and electrical failures. For example, in 2017 we were subjected to a cyberattack by a third party, which led to the theft of a portion of our funds. We implemented remedial measures promptly following this breach and do not believe that this breach had a material adverse effect on our business. In addition, in February 2019, one of our vendors was subject to a cyberattack by a third party, which resulted in the payment by us of a fraudulent invoice. We have implemented remedial measures following this breach and do not believe that this breach had a material effect on our business. However, if any cyberattack or data breach were to occur in the future and cause interruptions in our or our collaborators’, contractors’ or consultants’ operations, it could result in a material disruption of our development programs and our business operations, whether due to a loss of our business data, trade secrets or other proprietary information or other similar disruptions. For example, the loss of clinical trial data from completed or future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delayed.</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tax law could adversely affect our business and financial condition.</w:t>
      </w:r>
    </w:p>
    <w:p>
      <w:pPr>
        <w:spacing w:after="0" w:line="117"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The rules dealing with U.S. federal, state, and local income taxation are constantly under review by persons involved in the legislative process and by the Internal Revenue Service and the U.S. Treasury Department. Changes to tax laws (which changes may have retroactive application) could adversely affect us or holders of our common stock. In recent years, many such changes have been made and changes are likely to continue to occur in the future. Future changes in tax laws could have a material adverse effect on our business, cash flow, financial condition or results of operations. We urge investors to consult with their legal and tax advisers regarding the implications of potential changes in tax laws on an investment in our common stock.</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6" w:name="page77"/>
    <w:bookmarkEnd w:id="76"/>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486" w:right="1440"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34"/>
        </w:trPr>
        <w:tc>
          <w:tcPr>
            <w:tcW w:w="1020" w:type="dxa"/>
            <w:vAlign w:val="bottom"/>
            <w:gridSpan w:val="2"/>
          </w:tcPr>
          <w:p>
            <w:pPr>
              <w:jc w:val="right"/>
              <w:ind w:right="408"/>
              <w:spacing w:after="0"/>
              <w:rPr>
                <w:sz w:val="20"/>
                <w:szCs w:val="20"/>
                <w:color w:val="auto"/>
              </w:rPr>
            </w:pPr>
            <w:r>
              <w:rPr>
                <w:rFonts w:ascii="Arial" w:cs="Arial" w:eastAsia="Arial" w:hAnsi="Arial"/>
                <w:sz w:val="18"/>
                <w:szCs w:val="18"/>
                <w:b w:val="1"/>
                <w:bCs w:val="1"/>
                <w:color w:val="auto"/>
                <w:w w:val="91"/>
              </w:rPr>
              <w:t>Item 6.</w:t>
            </w:r>
          </w:p>
        </w:tc>
        <w:tc>
          <w:tcPr>
            <w:tcW w:w="10120" w:type="dxa"/>
            <w:vAlign w:val="bottom"/>
            <w:gridSpan w:val="13"/>
          </w:tcPr>
          <w:p>
            <w:pPr>
              <w:ind w:left="12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42"/>
        </w:trPr>
        <w:tc>
          <w:tcPr>
            <w:tcW w:w="120" w:type="dxa"/>
            <w:vAlign w:val="bottom"/>
          </w:tcPr>
          <w:p>
            <w:pPr>
              <w:spacing w:after="0"/>
              <w:rPr>
                <w:sz w:val="24"/>
                <w:szCs w:val="24"/>
                <w:color w:val="auto"/>
              </w:rPr>
            </w:pPr>
          </w:p>
        </w:tc>
        <w:tc>
          <w:tcPr>
            <w:tcW w:w="900" w:type="dxa"/>
            <w:vAlign w:val="bottom"/>
          </w:tcPr>
          <w:p>
            <w:pPr>
              <w:jc w:val="right"/>
              <w:ind w:right="148"/>
              <w:spacing w:after="0"/>
              <w:rPr>
                <w:sz w:val="20"/>
                <w:szCs w:val="20"/>
                <w:color w:val="auto"/>
              </w:rPr>
            </w:pPr>
            <w:r>
              <w:rPr>
                <w:rFonts w:ascii="Arial" w:cs="Arial" w:eastAsia="Arial" w:hAnsi="Arial"/>
                <w:sz w:val="14"/>
                <w:szCs w:val="14"/>
                <w:b w:val="1"/>
                <w:bCs w:val="1"/>
                <w:color w:val="auto"/>
              </w:rPr>
              <w:t>Exhibit</w:t>
            </w:r>
          </w:p>
        </w:tc>
        <w:tc>
          <w:tcPr>
            <w:tcW w:w="1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920" w:type="dxa"/>
            <w:vAlign w:val="bottom"/>
            <w:gridSpan w:val="9"/>
            <w:vMerge w:val="restart"/>
          </w:tcPr>
          <w:p>
            <w:pPr>
              <w:ind w:left="6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9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4"/>
                <w:szCs w:val="14"/>
                <w:color w:val="auto"/>
              </w:rPr>
            </w:pPr>
          </w:p>
        </w:tc>
        <w:tc>
          <w:tcPr>
            <w:tcW w:w="24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5920" w:type="dxa"/>
            <w:vAlign w:val="bottom"/>
            <w:tcBorders>
              <w:bottom w:val="single" w:sz="8" w:color="auto"/>
            </w:tcBorders>
            <w:gridSpan w:val="9"/>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1020" w:type="dxa"/>
            <w:vAlign w:val="bottom"/>
            <w:gridSpan w:val="2"/>
          </w:tcPr>
          <w:p>
            <w:pPr>
              <w:jc w:val="right"/>
              <w:ind w:right="428"/>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24"/>
                <w:szCs w:val="24"/>
                <w:color w:val="auto"/>
              </w:rPr>
            </w:pPr>
          </w:p>
        </w:tc>
        <w:tc>
          <w:tcPr>
            <w:tcW w:w="9900" w:type="dxa"/>
            <w:vAlign w:val="bottom"/>
            <w:tcBorders>
              <w:bottom w:val="single" w:sz="8" w:color="0000EE"/>
            </w:tcBorders>
            <w:gridSpan w:val="11"/>
          </w:tcPr>
          <w:p>
            <w:pPr>
              <w:spacing w:after="0"/>
              <w:rPr>
                <w:rFonts w:ascii="Arial" w:cs="Arial" w:eastAsia="Arial" w:hAnsi="Arial"/>
                <w:sz w:val="18"/>
                <w:szCs w:val="18"/>
                <w:color w:val="0000EE"/>
                <w:w w:val="91"/>
              </w:rPr>
            </w:pPr>
            <w:hyperlink r:id="rId101">
              <w:r>
                <w:rPr>
                  <w:rFonts w:ascii="Arial" w:cs="Arial" w:eastAsia="Arial" w:hAnsi="Arial"/>
                  <w:sz w:val="18"/>
                  <w:szCs w:val="18"/>
                  <w:color w:val="0000EE"/>
                  <w:w w:val="91"/>
                </w:rPr>
                <w:t>Fourth Amended and Restated Certificate of Incorporation of the Registrant (filed as Exhibit 3.1 to our Current Report on Form 8-K filed</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940" w:type="dxa"/>
            <w:vAlign w:val="bottom"/>
            <w:gridSpan w:val="12"/>
          </w:tcPr>
          <w:p>
            <w:pPr>
              <w:spacing w:after="0" w:line="196" w:lineRule="exact"/>
              <w:rPr>
                <w:rFonts w:ascii="Arial" w:cs="Arial" w:eastAsia="Arial" w:hAnsi="Arial"/>
                <w:sz w:val="18"/>
                <w:szCs w:val="18"/>
                <w:color w:val="0000EE"/>
              </w:rPr>
            </w:pPr>
            <w:hyperlink r:id="rId101">
              <w:r>
                <w:rPr>
                  <w:rFonts w:ascii="Arial" w:cs="Arial" w:eastAsia="Arial" w:hAnsi="Arial"/>
                  <w:sz w:val="18"/>
                  <w:szCs w:val="18"/>
                  <w:color w:val="0000EE"/>
                </w:rPr>
                <w:t>on June 25, 2018 and incorporated herein by reference).</w:t>
              </w:r>
            </w:hyperlink>
          </w:p>
        </w:tc>
        <w:tc>
          <w:tcPr>
            <w:tcW w:w="0" w:type="dxa"/>
            <w:vAlign w:val="bottom"/>
          </w:tcPr>
          <w:p>
            <w:pPr>
              <w:spacing w:after="0"/>
              <w:rPr>
                <w:sz w:val="1"/>
                <w:szCs w:val="1"/>
                <w:color w:val="auto"/>
              </w:rPr>
            </w:pPr>
          </w:p>
        </w:tc>
      </w:tr>
      <w:tr>
        <w:trPr>
          <w:trHeight w:val="20"/>
        </w:trPr>
        <w:tc>
          <w:tcPr>
            <w:tcW w:w="10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6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20" w:type="dxa"/>
            <w:vAlign w:val="bottom"/>
            <w:gridSpan w:val="2"/>
          </w:tcPr>
          <w:p>
            <w:pPr>
              <w:jc w:val="right"/>
              <w:ind w:right="428"/>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24"/>
                <w:szCs w:val="24"/>
                <w:color w:val="auto"/>
              </w:rPr>
            </w:pPr>
          </w:p>
        </w:tc>
        <w:tc>
          <w:tcPr>
            <w:tcW w:w="9940" w:type="dxa"/>
            <w:vAlign w:val="bottom"/>
            <w:gridSpan w:val="12"/>
          </w:tcPr>
          <w:p>
            <w:pPr>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Certificate of Change of Registered Agent and/or Registered Office of the Registrant.</w:t>
              </w:r>
            </w:hyperlink>
          </w:p>
        </w:tc>
        <w:tc>
          <w:tcPr>
            <w:tcW w:w="0" w:type="dxa"/>
            <w:vAlign w:val="bottom"/>
          </w:tcPr>
          <w:p>
            <w:pPr>
              <w:spacing w:after="0"/>
              <w:rPr>
                <w:sz w:val="1"/>
                <w:szCs w:val="1"/>
                <w:color w:val="auto"/>
              </w:rPr>
            </w:pPr>
          </w:p>
        </w:tc>
      </w:tr>
      <w:tr>
        <w:trPr>
          <w:trHeight w:val="297"/>
        </w:trPr>
        <w:tc>
          <w:tcPr>
            <w:tcW w:w="1020" w:type="dxa"/>
            <w:vAlign w:val="bottom"/>
            <w:gridSpan w:val="2"/>
          </w:tcPr>
          <w:p>
            <w:pPr>
              <w:jc w:val="right"/>
              <w:ind w:right="428"/>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24"/>
                <w:szCs w:val="24"/>
                <w:color w:val="auto"/>
              </w:rPr>
            </w:pPr>
          </w:p>
        </w:tc>
        <w:tc>
          <w:tcPr>
            <w:tcW w:w="9580" w:type="dxa"/>
            <w:vAlign w:val="bottom"/>
            <w:tcBorders>
              <w:bottom w:val="single" w:sz="8" w:color="0000EE"/>
            </w:tcBorders>
            <w:gridSpan w:val="7"/>
          </w:tcPr>
          <w:p>
            <w:pPr>
              <w:spacing w:after="0"/>
              <w:rPr>
                <w:rFonts w:ascii="Arial" w:cs="Arial" w:eastAsia="Arial" w:hAnsi="Arial"/>
                <w:sz w:val="18"/>
                <w:szCs w:val="18"/>
                <w:color w:val="0000EE"/>
                <w:w w:val="91"/>
              </w:rPr>
            </w:pPr>
            <w:hyperlink r:id="rId102">
              <w:r>
                <w:rPr>
                  <w:rFonts w:ascii="Arial" w:cs="Arial" w:eastAsia="Arial" w:hAnsi="Arial"/>
                  <w:sz w:val="18"/>
                  <w:szCs w:val="18"/>
                  <w:color w:val="0000EE"/>
                  <w:w w:val="91"/>
                </w:rPr>
                <w:t>Amended and Restated By-laws of the Registrant (filed as Exhibit 3.2 to our Current Report on Form 8-K filed on June 25, 2018 and</w:t>
              </w:r>
            </w:hyperlink>
          </w:p>
        </w:tc>
        <w:tc>
          <w:tcPr>
            <w:tcW w:w="3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60" w:type="dxa"/>
            <w:vAlign w:val="bottom"/>
            <w:tcBorders>
              <w:bottom w:val="single" w:sz="8" w:color="0000EE"/>
            </w:tcBorders>
          </w:tcPr>
          <w:p>
            <w:pPr>
              <w:spacing w:after="0" w:line="196" w:lineRule="exact"/>
              <w:rPr>
                <w:rFonts w:ascii="Arial" w:cs="Arial" w:eastAsia="Arial" w:hAnsi="Arial"/>
                <w:sz w:val="18"/>
                <w:szCs w:val="18"/>
                <w:color w:val="0000EE"/>
                <w:w w:val="89"/>
              </w:rPr>
            </w:pPr>
            <w:hyperlink r:id="rId102">
              <w:r>
                <w:rPr>
                  <w:rFonts w:ascii="Arial" w:cs="Arial" w:eastAsia="Arial" w:hAnsi="Arial"/>
                  <w:sz w:val="18"/>
                  <w:szCs w:val="18"/>
                  <w:color w:val="0000EE"/>
                  <w:w w:val="89"/>
                </w:rPr>
                <w:t>incorporated herein by reference).</w:t>
              </w:r>
            </w:hyperlink>
          </w:p>
        </w:tc>
        <w:tc>
          <w:tcPr>
            <w:tcW w:w="748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20" w:type="dxa"/>
            <w:vAlign w:val="bottom"/>
            <w:gridSpan w:val="2"/>
          </w:tcPr>
          <w:p>
            <w:pPr>
              <w:jc w:val="right"/>
              <w:ind w:right="428"/>
              <w:spacing w:after="0"/>
              <w:rPr>
                <w:sz w:val="20"/>
                <w:szCs w:val="20"/>
                <w:color w:val="auto"/>
              </w:rPr>
            </w:pPr>
            <w:r>
              <w:rPr>
                <w:rFonts w:ascii="Arial" w:cs="Arial" w:eastAsia="Arial" w:hAnsi="Arial"/>
                <w:sz w:val="18"/>
                <w:szCs w:val="18"/>
                <w:color w:val="auto"/>
              </w:rPr>
              <w:t>10.1</w:t>
            </w:r>
          </w:p>
        </w:tc>
        <w:tc>
          <w:tcPr>
            <w:tcW w:w="180" w:type="dxa"/>
            <w:vAlign w:val="bottom"/>
          </w:tcPr>
          <w:p>
            <w:pPr>
              <w:spacing w:after="0"/>
              <w:rPr>
                <w:sz w:val="24"/>
                <w:szCs w:val="24"/>
                <w:color w:val="auto"/>
              </w:rPr>
            </w:pPr>
          </w:p>
        </w:tc>
        <w:tc>
          <w:tcPr>
            <w:tcW w:w="9940" w:type="dxa"/>
            <w:vAlign w:val="bottom"/>
            <w:gridSpan w:val="12"/>
          </w:tcPr>
          <w:p>
            <w:pPr>
              <w:spacing w:after="0"/>
              <w:rPr>
                <w:rFonts w:ascii="Arial" w:cs="Arial" w:eastAsia="Arial" w:hAnsi="Arial"/>
                <w:sz w:val="18"/>
                <w:szCs w:val="18"/>
                <w:color w:val="0000EE"/>
                <w:w w:val="91"/>
              </w:rPr>
            </w:pPr>
            <w:hyperlink r:id="rId103">
              <w:r>
                <w:rPr>
                  <w:rFonts w:ascii="Arial" w:cs="Arial" w:eastAsia="Arial" w:hAnsi="Arial"/>
                  <w:sz w:val="18"/>
                  <w:szCs w:val="18"/>
                  <w:color w:val="0000EE"/>
                  <w:w w:val="91"/>
                </w:rPr>
                <w:t>Separation Agreement and Release, by and between the Registrant and Birgitte Volck, M.D., Ph.D., dated July 16, 2020 (filed as Exhibit</w:t>
              </w:r>
            </w:hyperlink>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1"/>
              </w:rPr>
            </w:pPr>
            <w:hyperlink r:id="rId103">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2</w:t>
              </w:r>
              <w:r>
                <w:rPr>
                  <w:rFonts w:ascii="Arial" w:cs="Arial" w:eastAsia="Arial" w:hAnsi="Arial"/>
                  <w:sz w:val="18"/>
                  <w:szCs w:val="18"/>
                  <w:color w:val="0000EE"/>
                  <w:w w:val="91"/>
                </w:rPr>
                <w:t xml:space="preserve"> to our Quarterly Report on Form 10-Q filed on August 6, 2020 and incorporated herein by reference).</w:t>
              </w:r>
            </w:hyperlink>
          </w:p>
        </w:tc>
        <w:tc>
          <w:tcPr>
            <w:tcW w:w="2140" w:type="dxa"/>
            <w:vAlign w:val="bottom"/>
            <w:tcBorders>
              <w:top w:val="single" w:sz="8" w:color="0000EE"/>
            </w:tcBorders>
            <w:gridSpan w:val="5"/>
          </w:tcPr>
          <w:p>
            <w:pPr>
              <w:spacing w:after="0"/>
              <w:rPr>
                <w:sz w:val="17"/>
                <w:szCs w:val="17"/>
                <w:color w:val="auto"/>
              </w:rPr>
            </w:pPr>
          </w:p>
        </w:tc>
        <w:tc>
          <w:tcPr>
            <w:tcW w:w="1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20" w:type="dxa"/>
            <w:vAlign w:val="bottom"/>
            <w:gridSpan w:val="2"/>
          </w:tcPr>
          <w:p>
            <w:pPr>
              <w:jc w:val="right"/>
              <w:ind w:right="428"/>
              <w:spacing w:after="0"/>
              <w:rPr>
                <w:sz w:val="20"/>
                <w:szCs w:val="20"/>
                <w:color w:val="auto"/>
              </w:rPr>
            </w:pPr>
            <w:r>
              <w:rPr>
                <w:rFonts w:ascii="Arial" w:cs="Arial" w:eastAsia="Arial" w:hAnsi="Arial"/>
                <w:sz w:val="18"/>
                <w:szCs w:val="18"/>
                <w:color w:val="auto"/>
              </w:rPr>
              <w:t>31.1</w:t>
            </w:r>
          </w:p>
        </w:tc>
        <w:tc>
          <w:tcPr>
            <w:tcW w:w="180" w:type="dxa"/>
            <w:vAlign w:val="bottom"/>
          </w:tcPr>
          <w:p>
            <w:pPr>
              <w:spacing w:after="0"/>
              <w:rPr>
                <w:sz w:val="24"/>
                <w:szCs w:val="24"/>
                <w:color w:val="auto"/>
              </w:rPr>
            </w:pPr>
          </w:p>
        </w:tc>
        <w:tc>
          <w:tcPr>
            <w:tcW w:w="962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82">
              <w:r>
                <w:rPr>
                  <w:rFonts w:ascii="Arial" w:cs="Arial" w:eastAsia="Arial" w:hAnsi="Arial"/>
                  <w:sz w:val="18"/>
                  <w:szCs w:val="18"/>
                  <w:color w:val="0000EE"/>
                  <w:w w:val="91"/>
                </w:rPr>
                <w:t>Certification of Principal Executive Officer Pursuant to Rules 13a-14(a) and 15d-14(a) under the Securities Exchange Act of 1934, as</w:t>
              </w:r>
            </w:hyperlink>
          </w:p>
        </w:tc>
        <w:tc>
          <w:tcPr>
            <w:tcW w:w="3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940" w:type="dxa"/>
            <w:vAlign w:val="bottom"/>
            <w:gridSpan w:val="12"/>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Adopted Pursuant to Section 302 of the Sarbanes-Oxley Act of 2002.</w:t>
              </w:r>
            </w:hyperlink>
          </w:p>
        </w:tc>
        <w:tc>
          <w:tcPr>
            <w:tcW w:w="0" w:type="dxa"/>
            <w:vAlign w:val="bottom"/>
          </w:tcPr>
          <w:p>
            <w:pPr>
              <w:spacing w:after="0"/>
              <w:rPr>
                <w:sz w:val="1"/>
                <w:szCs w:val="1"/>
                <w:color w:val="auto"/>
              </w:rPr>
            </w:pPr>
          </w:p>
        </w:tc>
      </w:tr>
      <w:tr>
        <w:trPr>
          <w:trHeight w:val="20"/>
        </w:trPr>
        <w:tc>
          <w:tcPr>
            <w:tcW w:w="10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60" w:type="dxa"/>
            <w:vAlign w:val="bottom"/>
            <w:gridSpan w:val="2"/>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458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gridSpan w:val="2"/>
          </w:tcPr>
          <w:p>
            <w:pPr>
              <w:jc w:val="right"/>
              <w:ind w:right="428"/>
              <w:spacing w:after="0"/>
              <w:rPr>
                <w:sz w:val="20"/>
                <w:szCs w:val="20"/>
                <w:color w:val="auto"/>
              </w:rPr>
            </w:pPr>
            <w:r>
              <w:rPr>
                <w:rFonts w:ascii="Arial" w:cs="Arial" w:eastAsia="Arial" w:hAnsi="Arial"/>
                <w:sz w:val="18"/>
                <w:szCs w:val="18"/>
                <w:color w:val="auto"/>
              </w:rPr>
              <w:t>31.2</w:t>
            </w:r>
          </w:p>
        </w:tc>
        <w:tc>
          <w:tcPr>
            <w:tcW w:w="180" w:type="dxa"/>
            <w:vAlign w:val="bottom"/>
          </w:tcPr>
          <w:p>
            <w:pPr>
              <w:spacing w:after="0"/>
              <w:rPr>
                <w:sz w:val="24"/>
                <w:szCs w:val="24"/>
                <w:color w:val="auto"/>
              </w:rPr>
            </w:pPr>
          </w:p>
        </w:tc>
        <w:tc>
          <w:tcPr>
            <w:tcW w:w="9940" w:type="dxa"/>
            <w:vAlign w:val="bottom"/>
            <w:gridSpan w:val="12"/>
          </w:tcPr>
          <w:p>
            <w:pPr>
              <w:spacing w:after="0"/>
              <w:rPr>
                <w:rFonts w:ascii="Arial" w:cs="Arial" w:eastAsia="Arial" w:hAnsi="Arial"/>
                <w:sz w:val="18"/>
                <w:szCs w:val="18"/>
                <w:color w:val="0000EE"/>
                <w:w w:val="94"/>
              </w:rPr>
            </w:pPr>
            <w:hyperlink w:anchor="page83">
              <w:r>
                <w:rPr>
                  <w:rFonts w:ascii="Arial" w:cs="Arial" w:eastAsia="Arial" w:hAnsi="Arial"/>
                  <w:sz w:val="18"/>
                  <w:szCs w:val="18"/>
                  <w:color w:val="0000EE"/>
                  <w:w w:val="94"/>
                </w:rPr>
                <w:t>Certification of Principal Financial Officer Pursuant to Rules 13a-14(a) and 15d-14(a) under the Securities Exchange Act of 1934, as</w:t>
              </w:r>
            </w:hyperlink>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56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Adopted Pursuant to Section 302 of the Sarbanes-Oxley Act of 2002.</w:t>
              </w:r>
            </w:hyperlink>
          </w:p>
        </w:tc>
        <w:tc>
          <w:tcPr>
            <w:tcW w:w="3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60" w:type="dxa"/>
            <w:vAlign w:val="bottom"/>
            <w:gridSpan w:val="2"/>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4800" w:type="dxa"/>
            <w:vAlign w:val="bottom"/>
            <w:gridSpan w:val="5"/>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gridSpan w:val="2"/>
          </w:tcPr>
          <w:p>
            <w:pPr>
              <w:jc w:val="right"/>
              <w:ind w:right="328"/>
              <w:spacing w:after="0"/>
              <w:rPr>
                <w:sz w:val="20"/>
                <w:szCs w:val="20"/>
                <w:color w:val="auto"/>
              </w:rPr>
            </w:pPr>
            <w:r>
              <w:rPr>
                <w:rFonts w:ascii="Arial" w:cs="Arial" w:eastAsia="Arial" w:hAnsi="Arial"/>
                <w:sz w:val="18"/>
                <w:szCs w:val="18"/>
                <w:color w:val="auto"/>
              </w:rPr>
              <w:t>32.1*</w:t>
            </w:r>
          </w:p>
        </w:tc>
        <w:tc>
          <w:tcPr>
            <w:tcW w:w="180" w:type="dxa"/>
            <w:vAlign w:val="bottom"/>
          </w:tcPr>
          <w:p>
            <w:pPr>
              <w:spacing w:after="0"/>
              <w:rPr>
                <w:sz w:val="24"/>
                <w:szCs w:val="24"/>
                <w:color w:val="auto"/>
              </w:rPr>
            </w:pPr>
          </w:p>
        </w:tc>
        <w:tc>
          <w:tcPr>
            <w:tcW w:w="9780" w:type="dxa"/>
            <w:vAlign w:val="bottom"/>
            <w:tcBorders>
              <w:bottom w:val="single" w:sz="8" w:color="0000EE"/>
            </w:tcBorders>
            <w:gridSpan w:val="9"/>
          </w:tcPr>
          <w:p>
            <w:pPr>
              <w:spacing w:after="0"/>
              <w:rPr>
                <w:rFonts w:ascii="Arial" w:cs="Arial" w:eastAsia="Arial" w:hAnsi="Arial"/>
                <w:sz w:val="18"/>
                <w:szCs w:val="18"/>
                <w:color w:val="0000EE"/>
                <w:w w:val="91"/>
              </w:rPr>
            </w:pPr>
            <w:hyperlink w:anchor="page84">
              <w:r>
                <w:rPr>
                  <w:rFonts w:ascii="Arial" w:cs="Arial" w:eastAsia="Arial" w:hAnsi="Arial"/>
                  <w:sz w:val="18"/>
                  <w:szCs w:val="18"/>
                  <w:color w:val="0000EE"/>
                  <w:w w:val="91"/>
                </w:rPr>
                <w:t>Certification of Principal Executive Officer and Principal Financial Officer Pursuant to 18 U.S.C. Section 1350, as Adopted Pursuant to</w:t>
              </w:r>
            </w:hyperlink>
          </w:p>
        </w:tc>
        <w:tc>
          <w:tcPr>
            <w:tcW w:w="1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940" w:type="dxa"/>
            <w:vAlign w:val="bottom"/>
            <w:gridSpan w:val="12"/>
          </w:tcPr>
          <w:p>
            <w:pPr>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Section 906 of the Sarbanes-Oxley Act of 2002.</w:t>
              </w:r>
            </w:hyperlink>
          </w:p>
        </w:tc>
        <w:tc>
          <w:tcPr>
            <w:tcW w:w="0" w:type="dxa"/>
            <w:vAlign w:val="bottom"/>
          </w:tcPr>
          <w:p>
            <w:pPr>
              <w:spacing w:after="0"/>
              <w:rPr>
                <w:sz w:val="1"/>
                <w:szCs w:val="1"/>
                <w:color w:val="auto"/>
              </w:rPr>
            </w:pPr>
          </w:p>
        </w:tc>
      </w:tr>
      <w:tr>
        <w:trPr>
          <w:trHeight w:val="20"/>
        </w:trPr>
        <w:tc>
          <w:tcPr>
            <w:tcW w:w="10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60" w:type="dxa"/>
            <w:vAlign w:val="bottom"/>
            <w:gridSpan w:val="2"/>
            <w:shd w:val="clear" w:color="auto" w:fill="0000EE"/>
          </w:tcPr>
          <w:p>
            <w:pPr>
              <w:spacing w:after="0" w:line="20" w:lineRule="exact"/>
              <w:rPr>
                <w:sz w:val="1"/>
                <w:szCs w:val="1"/>
                <w:color w:val="auto"/>
              </w:rPr>
            </w:pPr>
          </w:p>
        </w:tc>
        <w:tc>
          <w:tcPr>
            <w:tcW w:w="648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20" w:type="dxa"/>
            <w:vAlign w:val="bottom"/>
            <w:gridSpan w:val="2"/>
          </w:tcPr>
          <w:p>
            <w:pPr>
              <w:ind w:left="120"/>
              <w:spacing w:after="0"/>
              <w:rPr>
                <w:sz w:val="20"/>
                <w:szCs w:val="20"/>
                <w:color w:val="auto"/>
              </w:rPr>
            </w:pPr>
            <w:r>
              <w:rPr>
                <w:rFonts w:ascii="Arial" w:cs="Arial" w:eastAsia="Arial" w:hAnsi="Arial"/>
                <w:sz w:val="18"/>
                <w:szCs w:val="18"/>
                <w:color w:val="auto"/>
              </w:rPr>
              <w:t>101.INS</w:t>
            </w:r>
          </w:p>
        </w:tc>
        <w:tc>
          <w:tcPr>
            <w:tcW w:w="180" w:type="dxa"/>
            <w:vAlign w:val="bottom"/>
          </w:tcPr>
          <w:p>
            <w:pPr>
              <w:spacing w:after="0"/>
              <w:rPr>
                <w:sz w:val="24"/>
                <w:szCs w:val="24"/>
                <w:color w:val="auto"/>
              </w:rPr>
            </w:pPr>
          </w:p>
        </w:tc>
        <w:tc>
          <w:tcPr>
            <w:tcW w:w="9940" w:type="dxa"/>
            <w:vAlign w:val="bottom"/>
            <w:gridSpan w:val="12"/>
          </w:tcPr>
          <w:p>
            <w:pPr>
              <w:spacing w:after="0"/>
              <w:rPr>
                <w:sz w:val="20"/>
                <w:szCs w:val="20"/>
                <w:color w:val="auto"/>
              </w:rPr>
            </w:pPr>
            <w:r>
              <w:rPr>
                <w:rFonts w:ascii="Arial" w:cs="Arial" w:eastAsia="Arial" w:hAnsi="Arial"/>
                <w:sz w:val="18"/>
                <w:szCs w:val="18"/>
                <w:color w:val="auto"/>
              </w:rPr>
              <w:t>Inline Extensible Business Reporting Language (XBRL) Instance Document.</w:t>
            </w:r>
          </w:p>
        </w:tc>
        <w:tc>
          <w:tcPr>
            <w:tcW w:w="0" w:type="dxa"/>
            <w:vAlign w:val="bottom"/>
          </w:tcPr>
          <w:p>
            <w:pPr>
              <w:spacing w:after="0"/>
              <w:rPr>
                <w:sz w:val="1"/>
                <w:szCs w:val="1"/>
                <w:color w:val="auto"/>
              </w:rPr>
            </w:pPr>
          </w:p>
        </w:tc>
      </w:tr>
      <w:tr>
        <w:trPr>
          <w:trHeight w:val="338"/>
        </w:trPr>
        <w:tc>
          <w:tcPr>
            <w:tcW w:w="1020" w:type="dxa"/>
            <w:vAlign w:val="bottom"/>
            <w:gridSpan w:val="2"/>
          </w:tcPr>
          <w:p>
            <w:pPr>
              <w:ind w:left="120"/>
              <w:spacing w:after="0"/>
              <w:rPr>
                <w:sz w:val="20"/>
                <w:szCs w:val="20"/>
                <w:color w:val="auto"/>
              </w:rPr>
            </w:pPr>
            <w:r>
              <w:rPr>
                <w:rFonts w:ascii="Arial" w:cs="Arial" w:eastAsia="Arial" w:hAnsi="Arial"/>
                <w:sz w:val="18"/>
                <w:szCs w:val="18"/>
                <w:color w:val="auto"/>
              </w:rPr>
              <w:t>101.SCH</w:t>
            </w:r>
          </w:p>
        </w:tc>
        <w:tc>
          <w:tcPr>
            <w:tcW w:w="180" w:type="dxa"/>
            <w:vAlign w:val="bottom"/>
          </w:tcPr>
          <w:p>
            <w:pPr>
              <w:spacing w:after="0"/>
              <w:rPr>
                <w:sz w:val="24"/>
                <w:szCs w:val="24"/>
                <w:color w:val="auto"/>
              </w:rPr>
            </w:pPr>
          </w:p>
        </w:tc>
        <w:tc>
          <w:tcPr>
            <w:tcW w:w="9940" w:type="dxa"/>
            <w:vAlign w:val="bottom"/>
            <w:gridSpan w:val="12"/>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338"/>
        </w:trPr>
        <w:tc>
          <w:tcPr>
            <w:tcW w:w="1020" w:type="dxa"/>
            <w:vAlign w:val="bottom"/>
            <w:gridSpan w:val="2"/>
          </w:tcPr>
          <w:p>
            <w:pPr>
              <w:ind w:left="120"/>
              <w:spacing w:after="0"/>
              <w:rPr>
                <w:sz w:val="20"/>
                <w:szCs w:val="20"/>
                <w:color w:val="auto"/>
              </w:rPr>
            </w:pPr>
            <w:r>
              <w:rPr>
                <w:rFonts w:ascii="Arial" w:cs="Arial" w:eastAsia="Arial" w:hAnsi="Arial"/>
                <w:sz w:val="18"/>
                <w:szCs w:val="18"/>
                <w:color w:val="auto"/>
              </w:rPr>
              <w:t>101.CAL</w:t>
            </w:r>
          </w:p>
        </w:tc>
        <w:tc>
          <w:tcPr>
            <w:tcW w:w="180" w:type="dxa"/>
            <w:vAlign w:val="bottom"/>
          </w:tcPr>
          <w:p>
            <w:pPr>
              <w:spacing w:after="0"/>
              <w:rPr>
                <w:sz w:val="24"/>
                <w:szCs w:val="24"/>
                <w:color w:val="auto"/>
              </w:rPr>
            </w:pPr>
          </w:p>
        </w:tc>
        <w:tc>
          <w:tcPr>
            <w:tcW w:w="9940" w:type="dxa"/>
            <w:vAlign w:val="bottom"/>
            <w:gridSpan w:val="12"/>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37"/>
        </w:trPr>
        <w:tc>
          <w:tcPr>
            <w:tcW w:w="1020" w:type="dxa"/>
            <w:vAlign w:val="bottom"/>
            <w:gridSpan w:val="2"/>
          </w:tcPr>
          <w:p>
            <w:pPr>
              <w:ind w:left="120"/>
              <w:spacing w:after="0"/>
              <w:rPr>
                <w:sz w:val="20"/>
                <w:szCs w:val="20"/>
                <w:color w:val="auto"/>
              </w:rPr>
            </w:pPr>
            <w:r>
              <w:rPr>
                <w:rFonts w:ascii="Arial" w:cs="Arial" w:eastAsia="Arial" w:hAnsi="Arial"/>
                <w:sz w:val="18"/>
                <w:szCs w:val="18"/>
                <w:color w:val="auto"/>
              </w:rPr>
              <w:t>101.DEF</w:t>
            </w:r>
          </w:p>
        </w:tc>
        <w:tc>
          <w:tcPr>
            <w:tcW w:w="180" w:type="dxa"/>
            <w:vAlign w:val="bottom"/>
          </w:tcPr>
          <w:p>
            <w:pPr>
              <w:spacing w:after="0"/>
              <w:rPr>
                <w:sz w:val="24"/>
                <w:szCs w:val="24"/>
                <w:color w:val="auto"/>
              </w:rPr>
            </w:pPr>
          </w:p>
        </w:tc>
        <w:tc>
          <w:tcPr>
            <w:tcW w:w="9940" w:type="dxa"/>
            <w:vAlign w:val="bottom"/>
            <w:gridSpan w:val="12"/>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38"/>
        </w:trPr>
        <w:tc>
          <w:tcPr>
            <w:tcW w:w="1020" w:type="dxa"/>
            <w:vAlign w:val="bottom"/>
            <w:gridSpan w:val="2"/>
          </w:tcPr>
          <w:p>
            <w:pPr>
              <w:ind w:left="120"/>
              <w:spacing w:after="0"/>
              <w:rPr>
                <w:sz w:val="20"/>
                <w:szCs w:val="20"/>
                <w:color w:val="auto"/>
              </w:rPr>
            </w:pPr>
            <w:r>
              <w:rPr>
                <w:rFonts w:ascii="Arial" w:cs="Arial" w:eastAsia="Arial" w:hAnsi="Arial"/>
                <w:sz w:val="18"/>
                <w:szCs w:val="18"/>
                <w:color w:val="auto"/>
              </w:rPr>
              <w:t>101.LAB</w:t>
            </w:r>
          </w:p>
        </w:tc>
        <w:tc>
          <w:tcPr>
            <w:tcW w:w="180" w:type="dxa"/>
            <w:vAlign w:val="bottom"/>
          </w:tcPr>
          <w:p>
            <w:pPr>
              <w:spacing w:after="0"/>
              <w:rPr>
                <w:sz w:val="24"/>
                <w:szCs w:val="24"/>
                <w:color w:val="auto"/>
              </w:rPr>
            </w:pPr>
          </w:p>
        </w:tc>
        <w:tc>
          <w:tcPr>
            <w:tcW w:w="9940" w:type="dxa"/>
            <w:vAlign w:val="bottom"/>
            <w:gridSpan w:val="12"/>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38"/>
        </w:trPr>
        <w:tc>
          <w:tcPr>
            <w:tcW w:w="1020" w:type="dxa"/>
            <w:vAlign w:val="bottom"/>
            <w:gridSpan w:val="2"/>
          </w:tcPr>
          <w:p>
            <w:pPr>
              <w:ind w:left="120"/>
              <w:spacing w:after="0"/>
              <w:rPr>
                <w:sz w:val="20"/>
                <w:szCs w:val="20"/>
                <w:color w:val="auto"/>
              </w:rPr>
            </w:pPr>
            <w:r>
              <w:rPr>
                <w:rFonts w:ascii="Arial" w:cs="Arial" w:eastAsia="Arial" w:hAnsi="Arial"/>
                <w:sz w:val="18"/>
                <w:szCs w:val="18"/>
                <w:color w:val="auto"/>
              </w:rPr>
              <w:t>101.PRE</w:t>
            </w:r>
          </w:p>
        </w:tc>
        <w:tc>
          <w:tcPr>
            <w:tcW w:w="180" w:type="dxa"/>
            <w:vAlign w:val="bottom"/>
          </w:tcPr>
          <w:p>
            <w:pPr>
              <w:spacing w:after="0"/>
              <w:rPr>
                <w:sz w:val="24"/>
                <w:szCs w:val="24"/>
                <w:color w:val="auto"/>
              </w:rPr>
            </w:pPr>
          </w:p>
        </w:tc>
        <w:tc>
          <w:tcPr>
            <w:tcW w:w="9940" w:type="dxa"/>
            <w:vAlign w:val="bottom"/>
            <w:gridSpan w:val="12"/>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1200" w:right="480" w:hanging="1077"/>
        <w:spacing w:after="0" w:line="277" w:lineRule="auto"/>
        <w:tabs>
          <w:tab w:leader="none" w:pos="12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with applicable taxonomy extension information contained in Exhibits 101.*).</w:t>
      </w:r>
    </w:p>
    <w:p>
      <w:pPr>
        <w:spacing w:after="0" w:line="18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Indicates the exhibit is being furnished, not filed, with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-190500</wp:posOffset>
            </wp:positionV>
            <wp:extent cx="67691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4">
                      <a:extLst>
                        <a:ext uri="{28A0092B-C50C-407E-A947-70E740481C1C}"/>
                      </a:extLst>
                    </a:blip>
                    <a:srcRect/>
                    <a:stretch>
                      <a:fillRect/>
                    </a:stretch>
                  </pic:blipFill>
                  <pic:spPr bwMode="auto">
                    <a:xfrm>
                      <a:off x="0" y="0"/>
                      <a:ext cx="676910" cy="8890"/>
                    </a:xfrm>
                    <a:prstGeom prst="rect">
                      <a:avLst/>
                    </a:prstGeom>
                    <a:noFill/>
                  </pic:spPr>
                </pic:pic>
              </a:graphicData>
            </a:graphic>
          </wp:anchor>
        </w:drawing>
      </w:r>
    </w:p>
    <w:p>
      <w:pPr>
        <w:spacing w:after="0" w:line="30" w:lineRule="exact"/>
        <w:rPr>
          <w:sz w:val="20"/>
          <w:szCs w:val="20"/>
          <w:color w:val="auto"/>
        </w:rPr>
      </w:pPr>
    </w:p>
    <w:p>
      <w:pPr>
        <w:ind w:left="5540" w:right="4760" w:hanging="5532"/>
        <w:spacing w:after="0" w:line="641" w:lineRule="auto"/>
        <w:tabs>
          <w:tab w:leader="none" w:pos="257"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Indicates a management contract or any compensatory plan, contract or arrangement. 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337" w:right="439" w:bottom="1440" w:gutter="0" w:footer="0" w:header="0"/>
        </w:sectPr>
      </w:pPr>
    </w:p>
    <w:bookmarkStart w:id="78" w:name="page79"/>
    <w:bookmarkEnd w:id="78"/>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80"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AVROBIO, INC.</w:t>
      </w:r>
    </w:p>
    <w:p>
      <w:pPr>
        <w:spacing w:after="0" w:line="225" w:lineRule="exact"/>
        <w:rPr>
          <w:sz w:val="20"/>
          <w:szCs w:val="20"/>
          <w:color w:val="auto"/>
        </w:rPr>
      </w:pPr>
    </w:p>
    <w:p>
      <w:pPr>
        <w:spacing w:after="0"/>
        <w:tabs>
          <w:tab w:leader="none" w:pos="5240" w:val="left"/>
          <w:tab w:leader="none" w:pos="7780" w:val="left"/>
        </w:tabs>
        <w:rPr>
          <w:sz w:val="20"/>
          <w:szCs w:val="20"/>
          <w:color w:val="auto"/>
        </w:rPr>
      </w:pPr>
      <w:r>
        <w:rPr>
          <w:rFonts w:ascii="Arial" w:cs="Arial" w:eastAsia="Arial" w:hAnsi="Arial"/>
          <w:sz w:val="18"/>
          <w:szCs w:val="18"/>
          <w:color w:val="auto"/>
        </w:rPr>
        <w:t>Date: November 5,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Geoff MacKay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355727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6">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3" w:lineRule="exact"/>
        <w:rPr>
          <w:sz w:val="20"/>
          <w:szCs w:val="20"/>
          <w:color w:val="auto"/>
        </w:rPr>
      </w:pPr>
    </w:p>
    <w:p>
      <w:pPr>
        <w:jc w:val="center"/>
        <w:ind w:left="5620"/>
        <w:spacing w:after="0"/>
        <w:rPr>
          <w:sz w:val="20"/>
          <w:szCs w:val="20"/>
          <w:color w:val="auto"/>
        </w:rPr>
      </w:pPr>
      <w:r>
        <w:rPr>
          <w:rFonts w:ascii="Arial" w:cs="Arial" w:eastAsia="Arial" w:hAnsi="Arial"/>
          <w:sz w:val="18"/>
          <w:szCs w:val="18"/>
          <w:b w:val="1"/>
          <w:bCs w:val="1"/>
          <w:color w:val="auto"/>
        </w:rPr>
        <w:t>Geoff MacKay</w:t>
      </w:r>
    </w:p>
    <w:p>
      <w:pPr>
        <w:spacing w:after="0" w:line="23" w:lineRule="exact"/>
        <w:rPr>
          <w:sz w:val="20"/>
          <w:szCs w:val="20"/>
          <w:color w:val="auto"/>
        </w:rPr>
      </w:pPr>
    </w:p>
    <w:p>
      <w:pPr>
        <w:jc w:val="center"/>
        <w:ind w:left="5620"/>
        <w:spacing w:after="0"/>
        <w:rPr>
          <w:sz w:val="20"/>
          <w:szCs w:val="20"/>
          <w:color w:val="auto"/>
        </w:rPr>
      </w:pPr>
      <w:r>
        <w:rPr>
          <w:rFonts w:ascii="Arial" w:cs="Arial" w:eastAsia="Arial" w:hAnsi="Arial"/>
          <w:sz w:val="17"/>
          <w:szCs w:val="17"/>
          <w:b w:val="1"/>
          <w:bCs w:val="1"/>
          <w:color w:val="auto"/>
        </w:rPr>
        <w:t>President, Chief Executive Officer, and Principal Executive Officer</w:t>
      </w:r>
    </w:p>
    <w:p>
      <w:pPr>
        <w:spacing w:after="0" w:line="222" w:lineRule="exact"/>
        <w:rPr>
          <w:sz w:val="20"/>
          <w:szCs w:val="20"/>
          <w:color w:val="auto"/>
        </w:rPr>
      </w:pPr>
    </w:p>
    <w:p>
      <w:pPr>
        <w:spacing w:after="0"/>
        <w:tabs>
          <w:tab w:leader="none" w:pos="5240" w:val="left"/>
          <w:tab w:leader="none" w:pos="7760" w:val="left"/>
        </w:tabs>
        <w:rPr>
          <w:sz w:val="20"/>
          <w:szCs w:val="20"/>
          <w:color w:val="auto"/>
        </w:rPr>
      </w:pPr>
      <w:r>
        <w:rPr>
          <w:rFonts w:ascii="Arial" w:cs="Arial" w:eastAsia="Arial" w:hAnsi="Arial"/>
          <w:sz w:val="18"/>
          <w:szCs w:val="18"/>
          <w:color w:val="auto"/>
        </w:rPr>
        <w:t>Date: November 5,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Erik Ostrowski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355727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7">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3" w:lineRule="exact"/>
        <w:rPr>
          <w:sz w:val="20"/>
          <w:szCs w:val="20"/>
          <w:color w:val="auto"/>
        </w:rPr>
      </w:pPr>
    </w:p>
    <w:p>
      <w:pPr>
        <w:jc w:val="center"/>
        <w:ind w:left="5620"/>
        <w:spacing w:after="0"/>
        <w:rPr>
          <w:sz w:val="20"/>
          <w:szCs w:val="20"/>
          <w:color w:val="auto"/>
        </w:rPr>
      </w:pPr>
      <w:r>
        <w:rPr>
          <w:rFonts w:ascii="Arial" w:cs="Arial" w:eastAsia="Arial" w:hAnsi="Arial"/>
          <w:sz w:val="18"/>
          <w:szCs w:val="18"/>
          <w:b w:val="1"/>
          <w:bCs w:val="1"/>
          <w:color w:val="auto"/>
        </w:rPr>
        <w:t>Erik Ostrowski</w:t>
      </w:r>
    </w:p>
    <w:p>
      <w:pPr>
        <w:spacing w:after="0" w:line="23" w:lineRule="exact"/>
        <w:rPr>
          <w:sz w:val="20"/>
          <w:szCs w:val="20"/>
          <w:color w:val="auto"/>
        </w:rPr>
      </w:pPr>
    </w:p>
    <w:p>
      <w:pPr>
        <w:jc w:val="center"/>
        <w:ind w:left="5620"/>
        <w:spacing w:after="0"/>
        <w:rPr>
          <w:sz w:val="20"/>
          <w:szCs w:val="20"/>
          <w:color w:val="auto"/>
        </w:rPr>
      </w:pPr>
      <w:r>
        <w:rPr>
          <w:rFonts w:ascii="Arial" w:cs="Arial" w:eastAsia="Arial" w:hAnsi="Arial"/>
          <w:sz w:val="16"/>
          <w:szCs w:val="16"/>
          <w:b w:val="1"/>
          <w:bCs w:val="1"/>
          <w:color w:val="auto"/>
        </w:rPr>
        <w:t>Chief Financial Officer and Principal Financial and Accounting Officer</w:t>
      </w:r>
    </w:p>
    <w:p>
      <w:pPr>
        <w:spacing w:after="0" w:line="200" w:lineRule="exact"/>
        <w:rPr>
          <w:sz w:val="20"/>
          <w:szCs w:val="20"/>
          <w:color w:val="auto"/>
        </w:rPr>
      </w:pPr>
    </w:p>
    <w:p>
      <w:pPr>
        <w:spacing w:after="0" w:line="25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80"/>
          </w:cols>
          <w:pgMar w:left="320" w:top="337" w:right="399" w:bottom="1440" w:gutter="0" w:footer="0" w:header="0"/>
        </w:sectPr>
      </w:pPr>
    </w:p>
    <w:bookmarkStart w:id="79" w:name="page80"/>
    <w:bookmarkEnd w:id="79"/>
    <w:p>
      <w:pPr>
        <w:jc w:val="right"/>
        <w:spacing w:after="0"/>
        <w:rPr>
          <w:sz w:val="20"/>
          <w:szCs w:val="20"/>
          <w:color w:val="auto"/>
        </w:rPr>
      </w:pPr>
      <w:r>
        <w:rPr>
          <w:rFonts w:ascii="Arial" w:cs="Arial" w:eastAsia="Arial" w:hAnsi="Arial"/>
          <w:sz w:val="20"/>
          <w:szCs w:val="20"/>
          <w:b w:val="1"/>
          <w:bCs w:val="1"/>
          <w:color w:val="auto"/>
        </w:rPr>
        <w:t>Exhibit 3.2</w:t>
      </w:r>
    </w:p>
    <w:p>
      <w:pPr>
        <w:spacing w:after="0" w:line="213" w:lineRule="exact"/>
        <w:rPr>
          <w:sz w:val="20"/>
          <w:szCs w:val="20"/>
          <w:color w:val="auto"/>
        </w:rPr>
      </w:pPr>
    </w:p>
    <w:p>
      <w:pPr>
        <w:jc w:val="center"/>
        <w:ind w:right="136"/>
        <w:spacing w:after="0"/>
        <w:rPr>
          <w:sz w:val="20"/>
          <w:szCs w:val="20"/>
          <w:color w:val="auto"/>
        </w:rPr>
      </w:pPr>
      <w:r>
        <w:rPr>
          <w:rFonts w:ascii="Arial" w:cs="Arial" w:eastAsia="Arial" w:hAnsi="Arial"/>
          <w:sz w:val="29"/>
          <w:szCs w:val="29"/>
          <w:color w:val="auto"/>
        </w:rPr>
        <w:t>STATE OF DELAWARE</w:t>
      </w:r>
    </w:p>
    <w:p>
      <w:pPr>
        <w:spacing w:after="0" w:line="28" w:lineRule="exact"/>
        <w:rPr>
          <w:sz w:val="20"/>
          <w:szCs w:val="20"/>
          <w:color w:val="auto"/>
        </w:rPr>
      </w:pPr>
    </w:p>
    <w:p>
      <w:pPr>
        <w:jc w:val="center"/>
        <w:ind w:right="136"/>
        <w:spacing w:after="0"/>
        <w:rPr>
          <w:sz w:val="20"/>
          <w:szCs w:val="20"/>
          <w:color w:val="auto"/>
        </w:rPr>
      </w:pPr>
      <w:r>
        <w:rPr>
          <w:rFonts w:ascii="Arial" w:cs="Arial" w:eastAsia="Arial" w:hAnsi="Arial"/>
          <w:sz w:val="29"/>
          <w:szCs w:val="29"/>
          <w:color w:val="auto"/>
        </w:rPr>
        <w:t>CERTIFICATE OF CHANGE OF REGISTERED AGENT</w:t>
      </w:r>
    </w:p>
    <w:p>
      <w:pPr>
        <w:spacing w:after="0" w:line="4" w:lineRule="exact"/>
        <w:rPr>
          <w:sz w:val="20"/>
          <w:szCs w:val="20"/>
          <w:color w:val="auto"/>
        </w:rPr>
      </w:pPr>
    </w:p>
    <w:p>
      <w:pPr>
        <w:jc w:val="center"/>
        <w:ind w:right="136"/>
        <w:spacing w:after="0"/>
        <w:rPr>
          <w:sz w:val="20"/>
          <w:szCs w:val="20"/>
          <w:color w:val="auto"/>
        </w:rPr>
      </w:pPr>
      <w:r>
        <w:rPr>
          <w:rFonts w:ascii="Arial" w:cs="Arial" w:eastAsia="Arial" w:hAnsi="Arial"/>
          <w:sz w:val="29"/>
          <w:szCs w:val="29"/>
          <w:color w:val="auto"/>
        </w:rPr>
        <w:t>AND/OR REGISTERED OFFICE</w:t>
      </w:r>
    </w:p>
    <w:p>
      <w:pPr>
        <w:spacing w:after="0" w:line="334" w:lineRule="exact"/>
        <w:rPr>
          <w:sz w:val="20"/>
          <w:szCs w:val="20"/>
          <w:color w:val="auto"/>
        </w:rPr>
      </w:pPr>
    </w:p>
    <w:p>
      <w:pPr>
        <w:ind w:left="4" w:right="720"/>
        <w:spacing w:after="0" w:line="250" w:lineRule="auto"/>
        <w:rPr>
          <w:sz w:val="20"/>
          <w:szCs w:val="20"/>
          <w:color w:val="auto"/>
        </w:rPr>
      </w:pPr>
      <w:r>
        <w:rPr>
          <w:rFonts w:ascii="Arial" w:cs="Arial" w:eastAsia="Arial" w:hAnsi="Arial"/>
          <w:sz w:val="22"/>
          <w:szCs w:val="22"/>
          <w:color w:val="auto"/>
        </w:rPr>
        <w:t>The corporation organized and existing under the General Corporation Law of the State of Delaware, hereby certifies as follows:</w:t>
      </w:r>
    </w:p>
    <w:p>
      <w:pPr>
        <w:spacing w:after="0" w:line="202" w:lineRule="exact"/>
        <w:rPr>
          <w:sz w:val="20"/>
          <w:szCs w:val="20"/>
          <w:color w:val="auto"/>
        </w:rPr>
      </w:pPr>
    </w:p>
    <w:p>
      <w:pPr>
        <w:ind w:left="4"/>
        <w:spacing w:after="0"/>
        <w:tabs>
          <w:tab w:leader="none" w:pos="863" w:val="left"/>
          <w:tab w:leader="none" w:pos="8063" w:val="left"/>
        </w:tabs>
        <w:rPr>
          <w:sz w:val="20"/>
          <w:szCs w:val="20"/>
          <w:color w:val="auto"/>
        </w:rPr>
      </w:pPr>
      <w:r>
        <w:rPr>
          <w:rFonts w:ascii="Arial" w:cs="Arial" w:eastAsia="Arial" w:hAnsi="Arial"/>
          <w:sz w:val="22"/>
          <w:szCs w:val="22"/>
          <w:color w:val="auto"/>
        </w:rPr>
        <w:t>1.</w:t>
      </w:r>
      <w:r>
        <w:rPr>
          <w:sz w:val="20"/>
          <w:szCs w:val="20"/>
          <w:color w:val="auto"/>
        </w:rPr>
        <w:tab/>
      </w:r>
      <w:r>
        <w:rPr>
          <w:rFonts w:ascii="Arial" w:cs="Arial" w:eastAsia="Arial" w:hAnsi="Arial"/>
          <w:sz w:val="22"/>
          <w:szCs w:val="22"/>
          <w:color w:val="auto"/>
        </w:rPr>
        <w:t xml:space="preserve">The name of the corporation is </w:t>
      </w:r>
      <w:r>
        <w:rPr>
          <w:rFonts w:ascii="Arial" w:cs="Arial" w:eastAsia="Arial" w:hAnsi="Arial"/>
          <w:sz w:val="19"/>
          <w:szCs w:val="19"/>
          <w:color w:val="auto"/>
        </w:rPr>
        <w:t>AVROBIO, INC.</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2251075</wp:posOffset>
            </wp:positionH>
            <wp:positionV relativeFrom="paragraph">
              <wp:posOffset>-17780</wp:posOffset>
            </wp:positionV>
            <wp:extent cx="291147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8">
                      <a:extLst>
                        <a:ext uri="{28A0092B-C50C-407E-A947-70E740481C1C}"/>
                      </a:extLst>
                    </a:blip>
                    <a:srcRect/>
                    <a:stretch>
                      <a:fillRect/>
                    </a:stretch>
                  </pic:blipFill>
                  <pic:spPr bwMode="auto">
                    <a:xfrm>
                      <a:off x="0" y="0"/>
                      <a:ext cx="2911475" cy="8255"/>
                    </a:xfrm>
                    <a:prstGeom prst="rect">
                      <a:avLst/>
                    </a:prstGeom>
                    <a:noFill/>
                  </pic:spPr>
                </pic:pic>
              </a:graphicData>
            </a:graphic>
          </wp:anchor>
        </w:drawing>
      </w:r>
    </w:p>
    <w:p>
      <w:pPr>
        <w:spacing w:after="0" w:line="213" w:lineRule="exact"/>
        <w:rPr>
          <w:sz w:val="20"/>
          <w:szCs w:val="20"/>
          <w:color w:val="auto"/>
        </w:rPr>
      </w:pPr>
    </w:p>
    <w:p>
      <w:pPr>
        <w:ind w:left="4" w:right="3340" w:hanging="4"/>
        <w:spacing w:after="0" w:line="275" w:lineRule="auto"/>
        <w:tabs>
          <w:tab w:leader="none" w:pos="893" w:val="left"/>
        </w:tabs>
        <w:numPr>
          <w:ilvl w:val="0"/>
          <w:numId w:val="43"/>
        </w:numPr>
        <w:rPr>
          <w:rFonts w:ascii="Arial" w:cs="Arial" w:eastAsia="Arial" w:hAnsi="Arial"/>
          <w:sz w:val="22"/>
          <w:szCs w:val="22"/>
          <w:color w:val="auto"/>
        </w:rPr>
      </w:pPr>
      <w:r>
        <w:rPr>
          <w:rFonts w:ascii="Arial" w:cs="Arial" w:eastAsia="Arial" w:hAnsi="Arial"/>
          <w:sz w:val="22"/>
          <w:szCs w:val="22"/>
          <w:color w:val="auto"/>
        </w:rPr>
        <w:t>The Registered Office of the corporation in the State of Delaware is changed to Corporation Trust Center,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-19685</wp:posOffset>
            </wp:positionV>
            <wp:extent cx="702056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9">
                      <a:extLst>
                        <a:ext uri="{28A0092B-C50C-407E-A947-70E740481C1C}"/>
                      </a:extLst>
                    </a:blip>
                    <a:srcRect/>
                    <a:stretch>
                      <a:fillRect/>
                    </a:stretch>
                  </pic:blipFill>
                  <pic:spPr bwMode="auto">
                    <a:xfrm>
                      <a:off x="0" y="0"/>
                      <a:ext cx="7020560" cy="8255"/>
                    </a:xfrm>
                    <a:prstGeom prst="rect">
                      <a:avLst/>
                    </a:prstGeom>
                    <a:noFill/>
                  </pic:spPr>
                </pic:pic>
              </a:graphicData>
            </a:graphic>
          </wp:anchor>
        </w:drawing>
      </w:r>
    </w:p>
    <w:tbl>
      <w:tblPr>
        <w:tblLayout w:type="fixed"/>
        <w:tblInd w:w="4" w:type="dxa"/>
        <w:tblCellMar>
          <w:top w:w="0" w:type="dxa"/>
          <w:left w:w="0" w:type="dxa"/>
          <w:bottom w:w="0" w:type="dxa"/>
          <w:right w:w="0" w:type="dxa"/>
        </w:tblCellMar>
      </w:tblPr>
      <w:tr>
        <w:trPr>
          <w:trHeight w:val="264"/>
        </w:trPr>
        <w:tc>
          <w:tcPr>
            <w:tcW w:w="1840" w:type="dxa"/>
            <w:vAlign w:val="bottom"/>
            <w:gridSpan w:val="2"/>
          </w:tcPr>
          <w:p>
            <w:pPr>
              <w:spacing w:after="0"/>
              <w:rPr>
                <w:sz w:val="20"/>
                <w:szCs w:val="20"/>
                <w:color w:val="auto"/>
              </w:rPr>
            </w:pPr>
            <w:r>
              <w:rPr>
                <w:rFonts w:ascii="Arial" w:cs="Arial" w:eastAsia="Arial" w:hAnsi="Arial"/>
                <w:sz w:val="18"/>
                <w:szCs w:val="18"/>
                <w:color w:val="auto"/>
              </w:rPr>
              <w:t>1209 Orange Street</w:t>
            </w:r>
          </w:p>
        </w:tc>
        <w:tc>
          <w:tcPr>
            <w:tcW w:w="2520" w:type="dxa"/>
            <w:vAlign w:val="bottom"/>
            <w:gridSpan w:val="6"/>
          </w:tcPr>
          <w:p>
            <w:pPr>
              <w:spacing w:after="0"/>
              <w:rPr>
                <w:sz w:val="20"/>
                <w:szCs w:val="20"/>
                <w:color w:val="auto"/>
              </w:rPr>
            </w:pPr>
            <w:r>
              <w:rPr>
                <w:rFonts w:ascii="Arial" w:cs="Arial" w:eastAsia="Arial" w:hAnsi="Arial"/>
                <w:sz w:val="22"/>
                <w:szCs w:val="22"/>
                <w:color w:val="auto"/>
              </w:rPr>
              <w:t xml:space="preserve">, in the City of </w:t>
            </w:r>
            <w:r>
              <w:rPr>
                <w:rFonts w:ascii="Arial" w:cs="Arial" w:eastAsia="Arial" w:hAnsi="Arial"/>
                <w:sz w:val="17"/>
                <w:szCs w:val="17"/>
                <w:color w:val="auto"/>
              </w:rPr>
              <w:t>Wilmington</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46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0" w:type="dxa"/>
            <w:vAlign w:val="bottom"/>
            <w:gridSpan w:val="2"/>
            <w:shd w:val="clear" w:color="auto" w:fill="000000"/>
          </w:tcPr>
          <w:p>
            <w:pPr>
              <w:spacing w:after="0" w:line="20" w:lineRule="exact"/>
              <w:rPr>
                <w:sz w:val="1"/>
                <w:szCs w:val="1"/>
                <w:color w:val="auto"/>
              </w:rPr>
            </w:pPr>
          </w:p>
        </w:tc>
        <w:tc>
          <w:tcPr>
            <w:tcW w:w="60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840" w:type="dxa"/>
            <w:vAlign w:val="bottom"/>
            <w:gridSpan w:val="2"/>
          </w:tcPr>
          <w:p>
            <w:pPr>
              <w:spacing w:after="0" w:line="237" w:lineRule="exact"/>
              <w:rPr>
                <w:sz w:val="20"/>
                <w:szCs w:val="20"/>
                <w:color w:val="auto"/>
              </w:rPr>
            </w:pPr>
            <w:r>
              <w:rPr>
                <w:rFonts w:ascii="Arial" w:cs="Arial" w:eastAsia="Arial" w:hAnsi="Arial"/>
                <w:sz w:val="22"/>
                <w:szCs w:val="22"/>
                <w:color w:val="auto"/>
                <w:w w:val="97"/>
              </w:rPr>
              <w:t xml:space="preserve">County of </w:t>
            </w:r>
            <w:r>
              <w:rPr>
                <w:rFonts w:ascii="Arial" w:cs="Arial" w:eastAsia="Arial" w:hAnsi="Arial"/>
                <w:sz w:val="17"/>
                <w:szCs w:val="17"/>
                <w:color w:val="auto"/>
                <w:w w:val="97"/>
              </w:rPr>
              <w:t>New Castle</w:t>
            </w:r>
          </w:p>
        </w:tc>
        <w:tc>
          <w:tcPr>
            <w:tcW w:w="140" w:type="dxa"/>
            <w:vAlign w:val="bottom"/>
          </w:tcPr>
          <w:p>
            <w:pPr>
              <w:spacing w:after="0"/>
              <w:rPr>
                <w:sz w:val="20"/>
                <w:szCs w:val="20"/>
                <w:color w:val="auto"/>
              </w:rPr>
            </w:pPr>
          </w:p>
        </w:tc>
        <w:tc>
          <w:tcPr>
            <w:tcW w:w="8860" w:type="dxa"/>
            <w:vAlign w:val="bottom"/>
            <w:gridSpan w:val="8"/>
          </w:tcPr>
          <w:p>
            <w:pPr>
              <w:jc w:val="right"/>
              <w:spacing w:after="0" w:line="237" w:lineRule="exact"/>
              <w:rPr>
                <w:sz w:val="20"/>
                <w:szCs w:val="20"/>
                <w:color w:val="auto"/>
              </w:rPr>
            </w:pPr>
            <w:r>
              <w:rPr>
                <w:rFonts w:ascii="Arial" w:cs="Arial" w:eastAsia="Arial" w:hAnsi="Arial"/>
                <w:sz w:val="22"/>
                <w:szCs w:val="22"/>
                <w:color w:val="auto"/>
                <w:w w:val="88"/>
              </w:rPr>
              <w:t xml:space="preserve">Zip Code </w:t>
            </w:r>
            <w:r>
              <w:rPr>
                <w:rFonts w:ascii="Arial" w:cs="Arial" w:eastAsia="Arial" w:hAnsi="Arial"/>
                <w:sz w:val="17"/>
                <w:szCs w:val="17"/>
                <w:color w:val="auto"/>
                <w:w w:val="88"/>
              </w:rPr>
              <w:t>19801</w:t>
            </w:r>
            <w:r>
              <w:rPr>
                <w:rFonts w:ascii="Arial" w:cs="Arial" w:eastAsia="Arial" w:hAnsi="Arial"/>
                <w:sz w:val="22"/>
                <w:szCs w:val="22"/>
                <w:color w:val="auto"/>
                <w:w w:val="88"/>
              </w:rPr>
              <w:t xml:space="preserve">    . The name of the Registered Agent at such address upon whom process against this</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gridSpan w:val="2"/>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5800" w:type="dxa"/>
            <w:vAlign w:val="bottom"/>
            <w:gridSpan w:val="3"/>
          </w:tcPr>
          <w:p>
            <w:pPr>
              <w:spacing w:after="0" w:line="20" w:lineRule="exact"/>
              <w:rPr>
                <w:sz w:val="1"/>
                <w:szCs w:val="1"/>
                <w:color w:val="auto"/>
              </w:rPr>
            </w:pPr>
          </w:p>
        </w:tc>
        <w:tc>
          <w:tcPr>
            <w:tcW w:w="1420" w:type="dxa"/>
            <w:vAlign w:val="bottom"/>
            <w:vMerge w:val="restart"/>
          </w:tcPr>
          <w:p>
            <w:pPr>
              <w:jc w:val="right"/>
              <w:ind w:right="1331"/>
              <w:spacing w:after="0"/>
              <w:rPr>
                <w:sz w:val="20"/>
                <w:szCs w:val="20"/>
                <w:color w:val="auto"/>
              </w:rPr>
            </w:pPr>
            <w:r>
              <w:rPr>
                <w:rFonts w:ascii="Arial" w:cs="Arial" w:eastAsia="Arial" w:hAnsi="Arial"/>
                <w:sz w:val="10"/>
                <w:szCs w:val="10"/>
                <w:color w:val="auto"/>
                <w:w w:val="70"/>
              </w:rPr>
              <w:t>.</w:t>
            </w:r>
          </w:p>
        </w:tc>
        <w:tc>
          <w:tcPr>
            <w:tcW w:w="0" w:type="dxa"/>
            <w:vAlign w:val="bottom"/>
          </w:tcPr>
          <w:p>
            <w:pPr>
              <w:spacing w:after="0" w:line="20" w:lineRule="exact"/>
              <w:rPr>
                <w:sz w:val="1"/>
                <w:szCs w:val="1"/>
                <w:color w:val="auto"/>
              </w:rPr>
            </w:pPr>
          </w:p>
        </w:tc>
      </w:tr>
      <w:tr>
        <w:trPr>
          <w:trHeight w:val="223"/>
        </w:trPr>
        <w:tc>
          <w:tcPr>
            <w:tcW w:w="9420" w:type="dxa"/>
            <w:vAlign w:val="bottom"/>
            <w:gridSpan w:val="10"/>
          </w:tcPr>
          <w:p>
            <w:pPr>
              <w:spacing w:after="0" w:line="223" w:lineRule="exact"/>
              <w:rPr>
                <w:sz w:val="20"/>
                <w:szCs w:val="20"/>
                <w:color w:val="auto"/>
              </w:rPr>
            </w:pPr>
            <w:r>
              <w:rPr>
                <w:rFonts w:ascii="Arial" w:cs="Arial" w:eastAsia="Arial" w:hAnsi="Arial"/>
                <w:sz w:val="22"/>
                <w:szCs w:val="22"/>
                <w:color w:val="auto"/>
              </w:rPr>
              <w:t xml:space="preserve">Corporation may be served is </w:t>
            </w:r>
            <w:r>
              <w:rPr>
                <w:rFonts w:ascii="Arial" w:cs="Arial" w:eastAsia="Arial" w:hAnsi="Arial"/>
                <w:sz w:val="17"/>
                <w:szCs w:val="17"/>
                <w:color w:val="auto"/>
              </w:rPr>
              <w:t>THE CORPORATION TRUST COMPANY</w:t>
            </w:r>
          </w:p>
        </w:tc>
        <w:tc>
          <w:tcPr>
            <w:tcW w:w="1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9" w:lineRule="exact"/>
        <w:rPr>
          <w:sz w:val="20"/>
          <w:szCs w:val="20"/>
          <w:color w:val="auto"/>
        </w:rPr>
      </w:pPr>
    </w:p>
    <w:p>
      <w:pPr>
        <w:ind w:left="4" w:right="620" w:hanging="3"/>
        <w:spacing w:after="0" w:line="250" w:lineRule="auto"/>
        <w:tabs>
          <w:tab w:leader="none" w:pos="814" w:val="left"/>
        </w:tabs>
        <w:numPr>
          <w:ilvl w:val="0"/>
          <w:numId w:val="44"/>
        </w:numPr>
        <w:rPr>
          <w:rFonts w:ascii="Arial" w:cs="Arial" w:eastAsia="Arial" w:hAnsi="Arial"/>
          <w:sz w:val="22"/>
          <w:szCs w:val="22"/>
          <w:color w:val="auto"/>
        </w:rPr>
      </w:pPr>
      <w:r>
        <w:rPr>
          <w:rFonts w:ascii="Arial" w:cs="Arial" w:eastAsia="Arial" w:hAnsi="Arial"/>
          <w:sz w:val="22"/>
          <w:szCs w:val="22"/>
          <w:color w:val="auto"/>
        </w:rPr>
        <w:t>The foregoing change to the registered office/agent was adopted by a resolution of the Board of Directors of the corporation.</w:t>
      </w:r>
    </w:p>
    <w:p>
      <w:pPr>
        <w:spacing w:after="0" w:line="206" w:lineRule="exact"/>
        <w:rPr>
          <w:sz w:val="20"/>
          <w:szCs w:val="20"/>
          <w:color w:val="auto"/>
        </w:rPr>
      </w:pPr>
    </w:p>
    <w:p>
      <w:pPr>
        <w:ind w:left="5464"/>
        <w:spacing w:after="0"/>
        <w:tabs>
          <w:tab w:leader="none" w:pos="6563"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8"/>
          <w:szCs w:val="18"/>
          <w:color w:val="auto"/>
        </w:rPr>
        <w:t>/s/ Marcia Gookin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4175125</wp:posOffset>
            </wp:positionH>
            <wp:positionV relativeFrom="paragraph">
              <wp:posOffset>21590</wp:posOffset>
            </wp:positionV>
            <wp:extent cx="286321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0">
                      <a:extLst>
                        <a:ext uri="{28A0092B-C50C-407E-A947-70E740481C1C}"/>
                      </a:extLst>
                    </a:blip>
                    <a:srcRect/>
                    <a:stretch>
                      <a:fillRect/>
                    </a:stretch>
                  </pic:blipFill>
                  <pic:spPr bwMode="auto">
                    <a:xfrm>
                      <a:off x="0" y="0"/>
                      <a:ext cx="2863215" cy="8890"/>
                    </a:xfrm>
                    <a:prstGeom prst="rect">
                      <a:avLst/>
                    </a:prstGeom>
                    <a:noFill/>
                  </pic:spPr>
                </pic:pic>
              </a:graphicData>
            </a:graphic>
          </wp:anchor>
        </w:drawing>
      </w:r>
    </w:p>
    <w:p>
      <w:pPr>
        <w:spacing w:after="0" w:line="33" w:lineRule="exact"/>
        <w:rPr>
          <w:sz w:val="20"/>
          <w:szCs w:val="20"/>
          <w:color w:val="auto"/>
        </w:rPr>
      </w:pPr>
    </w:p>
    <w:p>
      <w:pPr>
        <w:ind w:left="6944"/>
        <w:spacing w:after="0"/>
        <w:rPr>
          <w:sz w:val="20"/>
          <w:szCs w:val="20"/>
          <w:color w:val="auto"/>
        </w:rPr>
      </w:pPr>
      <w:r>
        <w:rPr>
          <w:rFonts w:ascii="Arial" w:cs="Arial" w:eastAsia="Arial" w:hAnsi="Arial"/>
          <w:sz w:val="22"/>
          <w:szCs w:val="22"/>
          <w:color w:val="auto"/>
        </w:rPr>
        <w:t>Authorized Officer</w:t>
      </w:r>
    </w:p>
    <w:p>
      <w:pPr>
        <w:spacing w:after="0" w:line="264" w:lineRule="exact"/>
        <w:rPr>
          <w:sz w:val="20"/>
          <w:szCs w:val="20"/>
          <w:color w:val="auto"/>
        </w:rPr>
      </w:pPr>
    </w:p>
    <w:p>
      <w:pPr>
        <w:ind w:left="5464"/>
        <w:spacing w:after="0"/>
        <w:tabs>
          <w:tab w:leader="none" w:pos="6563"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8"/>
          <w:szCs w:val="18"/>
          <w:color w:val="auto"/>
        </w:rPr>
        <w:t>Marcia Gookin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4175125</wp:posOffset>
            </wp:positionH>
            <wp:positionV relativeFrom="paragraph">
              <wp:posOffset>21590</wp:posOffset>
            </wp:positionV>
            <wp:extent cx="286321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1">
                      <a:extLst>
                        <a:ext uri="{28A0092B-C50C-407E-A947-70E740481C1C}"/>
                      </a:extLst>
                    </a:blip>
                    <a:srcRect/>
                    <a:stretch>
                      <a:fillRect/>
                    </a:stretch>
                  </pic:blipFill>
                  <pic:spPr bwMode="auto">
                    <a:xfrm>
                      <a:off x="0" y="0"/>
                      <a:ext cx="2863215" cy="8255"/>
                    </a:xfrm>
                    <a:prstGeom prst="rect">
                      <a:avLst/>
                    </a:prstGeom>
                    <a:noFill/>
                  </pic:spPr>
                </pic:pic>
              </a:graphicData>
            </a:graphic>
          </wp:anchor>
        </w:drawing>
        <w:drawing>
          <wp:anchor simplePos="0" relativeHeight="251657728" behindDoc="1" locked="0" layoutInCell="0" allowOverlap="1">
            <wp:simplePos x="0" y="0"/>
            <wp:positionH relativeFrom="column">
              <wp:posOffset>-93345</wp:posOffset>
            </wp:positionH>
            <wp:positionV relativeFrom="paragraph">
              <wp:posOffset>553085</wp:posOffset>
            </wp:positionV>
            <wp:extent cx="714946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084"/>
          </w:cols>
          <w:pgMar w:left="476" w:top="118" w:right="339" w:bottom="1440" w:gutter="0" w:footer="0" w:header="0"/>
        </w:sectPr>
      </w:pPr>
    </w:p>
    <w:bookmarkStart w:id="80" w:name="page81"/>
    <w:bookmarkEnd w:id="80"/>
    <w:p>
      <w:pPr>
        <w:jc w:val="center"/>
        <w:ind w:right="196"/>
        <w:spacing w:after="0"/>
        <w:rPr>
          <w:sz w:val="20"/>
          <w:szCs w:val="20"/>
          <w:color w:val="auto"/>
        </w:rPr>
      </w:pPr>
      <w:r>
        <w:rPr>
          <w:rFonts w:ascii="Arial" w:cs="Arial" w:eastAsia="Arial" w:hAnsi="Arial"/>
          <w:sz w:val="29"/>
          <w:szCs w:val="29"/>
          <w:color w:val="auto"/>
        </w:rPr>
        <w:t>STATE OF DELAWARE</w:t>
      </w:r>
    </w:p>
    <w:p>
      <w:pPr>
        <w:spacing w:after="0" w:line="28" w:lineRule="exact"/>
        <w:rPr>
          <w:sz w:val="20"/>
          <w:szCs w:val="20"/>
          <w:color w:val="auto"/>
        </w:rPr>
      </w:pPr>
    </w:p>
    <w:p>
      <w:pPr>
        <w:jc w:val="center"/>
        <w:ind w:right="196"/>
        <w:spacing w:after="0"/>
        <w:rPr>
          <w:sz w:val="20"/>
          <w:szCs w:val="20"/>
          <w:color w:val="auto"/>
        </w:rPr>
      </w:pPr>
      <w:r>
        <w:rPr>
          <w:rFonts w:ascii="Arial" w:cs="Arial" w:eastAsia="Arial" w:hAnsi="Arial"/>
          <w:sz w:val="29"/>
          <w:szCs w:val="29"/>
          <w:color w:val="auto"/>
        </w:rPr>
        <w:t>CERTIFICATE OF CORRECTION</w:t>
      </w:r>
    </w:p>
    <w:p>
      <w:pPr>
        <w:spacing w:after="0" w:line="226" w:lineRule="exact"/>
        <w:rPr>
          <w:sz w:val="20"/>
          <w:szCs w:val="20"/>
          <w:color w:val="auto"/>
        </w:rPr>
      </w:pPr>
    </w:p>
    <w:p>
      <w:pPr>
        <w:ind w:left="4" w:right="500"/>
        <w:spacing w:after="0" w:line="250" w:lineRule="auto"/>
        <w:rPr>
          <w:sz w:val="20"/>
          <w:szCs w:val="20"/>
          <w:color w:val="auto"/>
        </w:rPr>
      </w:pPr>
      <w:r>
        <w:rPr>
          <w:rFonts w:ascii="Arial" w:cs="Arial" w:eastAsia="Arial" w:hAnsi="Arial"/>
          <w:sz w:val="22"/>
          <w:szCs w:val="22"/>
          <w:color w:val="auto"/>
        </w:rPr>
        <w:t>AVROBIO, Inc., a corporation organized and existing under and by virtue of the General Corporation Law of the State of Delaware.</w:t>
      </w:r>
    </w:p>
    <w:p>
      <w:pPr>
        <w:spacing w:after="0" w:line="263" w:lineRule="exact"/>
        <w:rPr>
          <w:sz w:val="20"/>
          <w:szCs w:val="20"/>
          <w:color w:val="auto"/>
        </w:rPr>
      </w:pPr>
    </w:p>
    <w:p>
      <w:pPr>
        <w:ind w:left="4"/>
        <w:spacing w:after="0"/>
        <w:rPr>
          <w:sz w:val="20"/>
          <w:szCs w:val="20"/>
          <w:color w:val="auto"/>
        </w:rPr>
      </w:pPr>
      <w:r>
        <w:rPr>
          <w:rFonts w:ascii="Arial" w:cs="Arial" w:eastAsia="Arial" w:hAnsi="Arial"/>
          <w:sz w:val="22"/>
          <w:szCs w:val="22"/>
          <w:b w:val="1"/>
          <w:bCs w:val="1"/>
          <w:color w:val="auto"/>
        </w:rPr>
        <w:t>DOES HEREBY CERTIFY</w:t>
      </w:r>
      <w:r>
        <w:rPr>
          <w:rFonts w:ascii="Arial" w:cs="Arial" w:eastAsia="Arial" w:hAnsi="Arial"/>
          <w:sz w:val="22"/>
          <w:szCs w:val="22"/>
          <w:color w:val="auto"/>
        </w:rPr>
        <w:t>:</w:t>
      </w:r>
    </w:p>
    <w:p>
      <w:pPr>
        <w:spacing w:after="0" w:line="77" w:lineRule="exact"/>
        <w:rPr>
          <w:sz w:val="20"/>
          <w:szCs w:val="20"/>
          <w:color w:val="auto"/>
        </w:rPr>
      </w:pPr>
    </w:p>
    <w:p>
      <w:pPr>
        <w:ind w:left="4"/>
        <w:spacing w:after="0"/>
        <w:tabs>
          <w:tab w:leader="none" w:pos="863" w:val="left"/>
          <w:tab w:leader="none" w:pos="5463" w:val="left"/>
        </w:tabs>
        <w:rPr>
          <w:sz w:val="20"/>
          <w:szCs w:val="20"/>
          <w:color w:val="auto"/>
        </w:rPr>
      </w:pPr>
      <w:r>
        <w:rPr>
          <w:rFonts w:ascii="Arial" w:cs="Arial" w:eastAsia="Arial" w:hAnsi="Arial"/>
          <w:sz w:val="22"/>
          <w:szCs w:val="22"/>
          <w:color w:val="auto"/>
        </w:rPr>
        <w:t>1.</w:t>
      </w:r>
      <w:r>
        <w:rPr>
          <w:sz w:val="20"/>
          <w:szCs w:val="20"/>
          <w:color w:val="auto"/>
        </w:rPr>
        <w:tab/>
      </w:r>
      <w:r>
        <w:rPr>
          <w:rFonts w:ascii="Arial" w:cs="Arial" w:eastAsia="Arial" w:hAnsi="Arial"/>
          <w:sz w:val="22"/>
          <w:szCs w:val="22"/>
          <w:color w:val="auto"/>
        </w:rPr>
        <w:t xml:space="preserve">The name of the corporation is </w:t>
      </w:r>
      <w:r>
        <w:rPr>
          <w:rFonts w:ascii="Arial" w:cs="Arial" w:eastAsia="Arial" w:hAnsi="Arial"/>
          <w:sz w:val="17"/>
          <w:szCs w:val="17"/>
          <w:color w:val="auto"/>
        </w:rPr>
        <w:t>AVROBIO, Inc.</w:t>
      </w:r>
      <w:r>
        <w:rPr>
          <w:sz w:val="20"/>
          <w:szCs w:val="20"/>
          <w:color w:val="auto"/>
        </w:rPr>
        <w:tab/>
      </w:r>
      <w:r>
        <w:rPr>
          <w:rFonts w:ascii="Arial" w:cs="Arial" w:eastAsia="Arial" w:hAnsi="Arial"/>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2287270</wp:posOffset>
            </wp:positionH>
            <wp:positionV relativeFrom="paragraph">
              <wp:posOffset>-17780</wp:posOffset>
            </wp:positionV>
            <wp:extent cx="11944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3">
                      <a:extLst>
                        <a:ext uri="{28A0092B-C50C-407E-A947-70E740481C1C}"/>
                      </a:extLst>
                    </a:blip>
                    <a:srcRect/>
                    <a:stretch>
                      <a:fillRect/>
                    </a:stretch>
                  </pic:blipFill>
                  <pic:spPr bwMode="auto">
                    <a:xfrm>
                      <a:off x="0" y="0"/>
                      <a:ext cx="1194435" cy="8255"/>
                    </a:xfrm>
                    <a:prstGeom prst="rect">
                      <a:avLst/>
                    </a:prstGeom>
                    <a:noFill/>
                  </pic:spPr>
                </pic:pic>
              </a:graphicData>
            </a:graphic>
          </wp:anchor>
        </w:drawing>
      </w:r>
    </w:p>
    <w:p>
      <w:pPr>
        <w:spacing w:after="0" w:line="173" w:lineRule="exact"/>
        <w:rPr>
          <w:sz w:val="20"/>
          <w:szCs w:val="20"/>
          <w:color w:val="auto"/>
        </w:rPr>
      </w:pPr>
    </w:p>
    <w:p>
      <w:pPr>
        <w:jc w:val="both"/>
        <w:ind w:left="884" w:hanging="884"/>
        <w:spacing w:after="0" w:line="328" w:lineRule="auto"/>
        <w:tabs>
          <w:tab w:leader="none" w:pos="884" w:val="left"/>
        </w:tabs>
        <w:numPr>
          <w:ilvl w:val="0"/>
          <w:numId w:val="45"/>
        </w:numPr>
        <w:rPr>
          <w:rFonts w:ascii="Arial" w:cs="Arial" w:eastAsia="Arial" w:hAnsi="Arial"/>
          <w:sz w:val="19"/>
          <w:szCs w:val="19"/>
          <w:color w:val="auto"/>
        </w:rPr>
      </w:pPr>
      <w:r>
        <w:rPr>
          <w:rFonts w:ascii="Arial" w:cs="Arial" w:eastAsia="Arial" w:hAnsi="Arial"/>
          <w:sz w:val="19"/>
          <w:szCs w:val="19"/>
          <w:color w:val="auto"/>
        </w:rPr>
        <w:t xml:space="preserve">That a Certificate of </w:t>
      </w:r>
      <w:r>
        <w:rPr>
          <w:rFonts w:ascii="Arial" w:cs="Arial" w:eastAsia="Arial" w:hAnsi="Arial"/>
          <w:sz w:val="15"/>
          <w:szCs w:val="15"/>
          <w:u w:val="single" w:color="auto"/>
          <w:color w:val="auto"/>
        </w:rPr>
        <w:t>Change of Registered Agent</w:t>
      </w:r>
      <w:r>
        <w:rPr>
          <w:rFonts w:ascii="Arial" w:cs="Arial" w:eastAsia="Arial" w:hAnsi="Arial"/>
          <w:sz w:val="19"/>
          <w:szCs w:val="19"/>
          <w:color w:val="auto"/>
        </w:rPr>
        <w:t xml:space="preserve"> was filed by the Secretary of State of Delaware on </w:t>
      </w:r>
      <w:r>
        <w:rPr>
          <w:rFonts w:ascii="Arial" w:cs="Arial" w:eastAsia="Arial" w:hAnsi="Arial"/>
          <w:sz w:val="15"/>
          <w:szCs w:val="15"/>
          <w:u w:val="single" w:color="auto"/>
          <w:color w:val="auto"/>
        </w:rPr>
        <w:t>9/9/2020</w:t>
      </w:r>
      <w:r>
        <w:rPr>
          <w:rFonts w:ascii="Arial" w:cs="Arial" w:eastAsia="Arial" w:hAnsi="Arial"/>
          <w:sz w:val="19"/>
          <w:szCs w:val="19"/>
          <w:color w:val="auto"/>
        </w:rPr>
        <w:t xml:space="preserve"> and that said Certificate requires correction as permitted by Section 103 of the General Corporation Law of the State of Delaware.</w:t>
      </w:r>
    </w:p>
    <w:p>
      <w:pPr>
        <w:spacing w:after="0" w:line="104" w:lineRule="exact"/>
        <w:rPr>
          <w:rFonts w:ascii="Arial" w:cs="Arial" w:eastAsia="Arial" w:hAnsi="Arial"/>
          <w:sz w:val="19"/>
          <w:szCs w:val="19"/>
          <w:color w:val="auto"/>
        </w:rPr>
      </w:pPr>
    </w:p>
    <w:p>
      <w:pPr>
        <w:ind w:left="884" w:hanging="884"/>
        <w:spacing w:after="0"/>
        <w:tabs>
          <w:tab w:leader="none" w:pos="884" w:val="left"/>
        </w:tabs>
        <w:numPr>
          <w:ilvl w:val="0"/>
          <w:numId w:val="45"/>
        </w:numPr>
        <w:rPr>
          <w:rFonts w:ascii="Arial" w:cs="Arial" w:eastAsia="Arial" w:hAnsi="Arial"/>
          <w:sz w:val="22"/>
          <w:szCs w:val="22"/>
          <w:color w:val="auto"/>
        </w:rPr>
      </w:pPr>
      <w:r>
        <w:rPr>
          <w:rFonts w:ascii="Arial" w:cs="Arial" w:eastAsia="Arial" w:hAnsi="Arial"/>
          <w:sz w:val="22"/>
          <w:szCs w:val="22"/>
          <w:color w:val="auto"/>
        </w:rPr>
        <w:t>The inaccuracy or defect of said Certificate is:</w:t>
      </w:r>
    </w:p>
    <w:p>
      <w:pPr>
        <w:spacing w:after="0" w:line="78" w:lineRule="exact"/>
        <w:rPr>
          <w:sz w:val="20"/>
          <w:szCs w:val="20"/>
          <w:color w:val="auto"/>
        </w:rPr>
      </w:pPr>
    </w:p>
    <w:p>
      <w:pPr>
        <w:ind w:left="1024"/>
        <w:spacing w:after="0"/>
        <w:rPr>
          <w:sz w:val="20"/>
          <w:szCs w:val="20"/>
          <w:color w:val="auto"/>
        </w:rPr>
      </w:pPr>
      <w:r>
        <w:rPr>
          <w:rFonts w:ascii="Arial" w:cs="Arial" w:eastAsia="Arial" w:hAnsi="Arial"/>
          <w:sz w:val="18"/>
          <w:szCs w:val="18"/>
          <w:color w:val="auto"/>
        </w:rPr>
        <w:t>Certificate was not signed by an authorized officer.</w:t>
      </w:r>
    </w:p>
    <w:p>
      <w:pPr>
        <w:spacing w:after="0" w:line="218" w:lineRule="exact"/>
        <w:rPr>
          <w:sz w:val="20"/>
          <w:szCs w:val="20"/>
          <w:color w:val="auto"/>
        </w:rPr>
      </w:pPr>
    </w:p>
    <w:p>
      <w:pPr>
        <w:ind w:left="4"/>
        <w:spacing w:after="0"/>
        <w:rPr>
          <w:sz w:val="20"/>
          <w:szCs w:val="20"/>
          <w:color w:val="auto"/>
        </w:rPr>
      </w:pPr>
      <w:r>
        <w:rPr>
          <w:rFonts w:ascii="Arial" w:cs="Arial" w:eastAsia="Arial" w:hAnsi="Arial"/>
          <w:sz w:val="22"/>
          <w:szCs w:val="22"/>
          <w:color w:val="auto"/>
        </w:rPr>
        <w:t xml:space="preserve">Article </w:t>
      </w:r>
      <w:r>
        <w:rPr>
          <w:rFonts w:ascii="Arial" w:cs="Arial" w:eastAsia="Arial" w:hAnsi="Arial"/>
          <w:sz w:val="17"/>
          <w:szCs w:val="17"/>
          <w:u w:val="single" w:color="auto"/>
          <w:color w:val="auto"/>
        </w:rPr>
        <w:t>Signature Block</w:t>
      </w:r>
      <w:r>
        <w:rPr>
          <w:rFonts w:ascii="Arial" w:cs="Arial" w:eastAsia="Arial" w:hAnsi="Arial"/>
          <w:sz w:val="22"/>
          <w:szCs w:val="22"/>
          <w:color w:val="auto"/>
        </w:rPr>
        <w:t xml:space="preserve"> of the Certificate is corrected to read as follows:</w:t>
      </w:r>
    </w:p>
    <w:p>
      <w:pPr>
        <w:spacing w:after="0" w:line="240" w:lineRule="exact"/>
        <w:rPr>
          <w:sz w:val="20"/>
          <w:szCs w:val="20"/>
          <w:color w:val="auto"/>
        </w:rPr>
      </w:pPr>
    </w:p>
    <w:p>
      <w:pPr>
        <w:ind w:left="4"/>
        <w:spacing w:after="0"/>
        <w:rPr>
          <w:sz w:val="20"/>
          <w:szCs w:val="20"/>
          <w:color w:val="auto"/>
        </w:rPr>
      </w:pPr>
      <w:r>
        <w:rPr>
          <w:rFonts w:ascii="Arial" w:cs="Arial" w:eastAsia="Arial" w:hAnsi="Arial"/>
          <w:sz w:val="18"/>
          <w:szCs w:val="18"/>
          <w:color w:val="auto"/>
        </w:rPr>
        <w:t>Steven Avruch, Chief Legal Officer and Secretary</w:t>
      </w:r>
    </w:p>
    <w:p>
      <w:pPr>
        <w:spacing w:after="0" w:line="239" w:lineRule="exact"/>
        <w:rPr>
          <w:sz w:val="20"/>
          <w:szCs w:val="20"/>
          <w:color w:val="auto"/>
        </w:rPr>
      </w:pPr>
    </w:p>
    <w:p>
      <w:pPr>
        <w:ind w:left="4"/>
        <w:spacing w:after="0"/>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said corporation has caused this Certificate of Correction</w:t>
      </w:r>
    </w:p>
    <w:p>
      <w:pPr>
        <w:spacing w:after="0" w:line="266" w:lineRule="exact"/>
        <w:rPr>
          <w:sz w:val="20"/>
          <w:szCs w:val="20"/>
          <w:color w:val="auto"/>
        </w:rPr>
      </w:pPr>
    </w:p>
    <w:p>
      <w:pPr>
        <w:ind w:left="4"/>
        <w:spacing w:after="0"/>
        <w:tabs>
          <w:tab w:leader="none" w:pos="2183" w:val="left"/>
          <w:tab w:leader="none" w:pos="4363" w:val="left"/>
        </w:tabs>
        <w:rPr>
          <w:sz w:val="20"/>
          <w:szCs w:val="20"/>
          <w:color w:val="auto"/>
        </w:rPr>
      </w:pPr>
      <w:r>
        <w:rPr>
          <w:rFonts w:ascii="Arial" w:cs="Arial" w:eastAsia="Arial" w:hAnsi="Arial"/>
          <w:sz w:val="22"/>
          <w:szCs w:val="22"/>
          <w:color w:val="auto"/>
        </w:rPr>
        <w:t xml:space="preserve">this  </w:t>
      </w:r>
      <w:r>
        <w:rPr>
          <w:rFonts w:ascii="Arial" w:cs="Arial" w:eastAsia="Arial" w:hAnsi="Arial"/>
          <w:sz w:val="17"/>
          <w:szCs w:val="17"/>
          <w:color w:val="auto"/>
        </w:rPr>
        <w:t>6th</w:t>
      </w:r>
      <w:r>
        <w:rPr>
          <w:sz w:val="20"/>
          <w:szCs w:val="20"/>
          <w:color w:val="auto"/>
        </w:rPr>
        <w:tab/>
      </w:r>
      <w:r>
        <w:rPr>
          <w:rFonts w:ascii="Arial" w:cs="Arial" w:eastAsia="Arial" w:hAnsi="Arial"/>
          <w:sz w:val="22"/>
          <w:szCs w:val="22"/>
          <w:color w:val="auto"/>
        </w:rPr>
        <w:t xml:space="preserve">day of </w:t>
      </w:r>
      <w:r>
        <w:rPr>
          <w:rFonts w:ascii="Arial" w:cs="Arial" w:eastAsia="Arial" w:hAnsi="Arial"/>
          <w:sz w:val="17"/>
          <w:szCs w:val="17"/>
          <w:color w:val="auto"/>
        </w:rPr>
        <w:t>October</w:t>
      </w:r>
      <w:r>
        <w:rPr>
          <w:sz w:val="20"/>
          <w:szCs w:val="20"/>
          <w:color w:val="auto"/>
        </w:rPr>
        <w:tab/>
      </w:r>
      <w:r>
        <w:rPr>
          <w:rFonts w:ascii="Arial" w:cs="Arial" w:eastAsia="Arial" w:hAnsi="Arial"/>
          <w:sz w:val="19"/>
          <w:szCs w:val="19"/>
          <w:color w:val="auto"/>
        </w:rPr>
        <w:t xml:space="preserve">, A.D. </w:t>
      </w:r>
      <w:r>
        <w:rPr>
          <w:rFonts w:ascii="Arial" w:cs="Arial" w:eastAsia="Arial" w:hAnsi="Arial"/>
          <w:sz w:val="15"/>
          <w:szCs w:val="15"/>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wp:posOffset>
            </wp:positionH>
            <wp:positionV relativeFrom="paragraph">
              <wp:posOffset>6985</wp:posOffset>
            </wp:positionV>
            <wp:extent cx="391731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4">
                      <a:extLst>
                        <a:ext uri="{28A0092B-C50C-407E-A947-70E740481C1C}"/>
                      </a:extLst>
                    </a:blip>
                    <a:srcRect/>
                    <a:stretch>
                      <a:fillRect/>
                    </a:stretch>
                  </pic:blipFill>
                  <pic:spPr bwMode="auto">
                    <a:xfrm>
                      <a:off x="0" y="0"/>
                      <a:ext cx="3917315" cy="8255"/>
                    </a:xfrm>
                    <a:prstGeom prst="rect">
                      <a:avLst/>
                    </a:prstGeom>
                    <a:noFill/>
                  </pic:spPr>
                </pic:pic>
              </a:graphicData>
            </a:graphic>
          </wp:anchor>
        </w:drawing>
      </w:r>
    </w:p>
    <w:p>
      <w:pPr>
        <w:spacing w:after="0" w:line="258" w:lineRule="exact"/>
        <w:rPr>
          <w:sz w:val="20"/>
          <w:szCs w:val="20"/>
          <w:color w:val="auto"/>
        </w:rPr>
      </w:pPr>
    </w:p>
    <w:p>
      <w:pPr>
        <w:ind w:left="5464"/>
        <w:spacing w:after="0"/>
        <w:tabs>
          <w:tab w:leader="none" w:pos="6763"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8"/>
          <w:szCs w:val="18"/>
          <w:color w:val="auto"/>
        </w:rPr>
        <w:t>/s/ Steven N. Avruch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4312285</wp:posOffset>
            </wp:positionH>
            <wp:positionV relativeFrom="paragraph">
              <wp:posOffset>21590</wp:posOffset>
            </wp:positionV>
            <wp:extent cx="272605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5">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11" w:lineRule="exact"/>
        <w:rPr>
          <w:sz w:val="20"/>
          <w:szCs w:val="20"/>
          <w:color w:val="auto"/>
        </w:rPr>
      </w:pPr>
    </w:p>
    <w:p>
      <w:pPr>
        <w:ind w:left="5464"/>
        <w:spacing w:after="0"/>
        <w:tabs>
          <w:tab w:leader="none" w:pos="6763"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8"/>
          <w:szCs w:val="18"/>
          <w:color w:val="auto"/>
        </w:rPr>
        <w:t>Steven N. Avruch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4312285</wp:posOffset>
            </wp:positionH>
            <wp:positionV relativeFrom="paragraph">
              <wp:posOffset>21590</wp:posOffset>
            </wp:positionV>
            <wp:extent cx="272605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6">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11" w:lineRule="exact"/>
        <w:rPr>
          <w:sz w:val="20"/>
          <w:szCs w:val="20"/>
          <w:color w:val="auto"/>
        </w:rPr>
      </w:pPr>
    </w:p>
    <w:p>
      <w:pPr>
        <w:ind w:left="5464"/>
        <w:spacing w:after="0"/>
        <w:tabs>
          <w:tab w:leader="none" w:pos="6763"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8"/>
          <w:szCs w:val="18"/>
          <w:color w:val="auto"/>
        </w:rPr>
        <w:t>Chief Legal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4312285</wp:posOffset>
            </wp:positionH>
            <wp:positionV relativeFrom="paragraph">
              <wp:posOffset>21590</wp:posOffset>
            </wp:positionV>
            <wp:extent cx="272605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7">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ectPr>
          <w:pgSz w:w="11900" w:h="16838" w:orient="portrait"/>
          <w:cols w:equalWidth="0" w:num="1">
            <w:col w:w="10984"/>
          </w:cols>
          <w:pgMar w:left="476" w:top="345" w:right="4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Geoff MacKay, certify that:</w:t>
      </w:r>
    </w:p>
    <w:p>
      <w:pPr>
        <w:spacing w:after="0" w:line="117" w:lineRule="exact"/>
        <w:rPr>
          <w:sz w:val="20"/>
          <w:szCs w:val="20"/>
          <w:color w:val="auto"/>
        </w:rPr>
      </w:pPr>
    </w:p>
    <w:p>
      <w:pPr>
        <w:ind w:left="500" w:hanging="492"/>
        <w:spacing w:after="0"/>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AVROBIO, Inc.;</w:t>
      </w:r>
    </w:p>
    <w:p>
      <w:pPr>
        <w:spacing w:after="0" w:line="117"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500" w:right="260" w:hanging="492"/>
        <w:spacing w:after="0" w:line="263" w:lineRule="auto"/>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4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00" w:right="20" w:hanging="493"/>
        <w:spacing w:after="0" w:line="263" w:lineRule="auto"/>
        <w:tabs>
          <w:tab w:leader="none" w:pos="10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00" w:right="220" w:hanging="492"/>
        <w:spacing w:after="0" w:line="342" w:lineRule="auto"/>
        <w:tabs>
          <w:tab w:leader="none" w:pos="5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000" w:right="740" w:hanging="493"/>
        <w:spacing w:after="0" w:line="342" w:lineRule="auto"/>
        <w:tabs>
          <w:tab w:leader="none" w:pos="1000" w:val="left"/>
        </w:tabs>
        <w:numPr>
          <w:ilvl w:val="1"/>
          <w:numId w:val="4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00" w:right="440" w:hanging="493"/>
        <w:spacing w:after="0" w:line="277" w:lineRule="auto"/>
        <w:tabs>
          <w:tab w:leader="none" w:pos="10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tabs>
          <w:tab w:leader="none" w:pos="6840" w:val="left"/>
          <w:tab w:leader="none" w:pos="8600" w:val="left"/>
        </w:tabs>
        <w:rPr>
          <w:sz w:val="20"/>
          <w:szCs w:val="20"/>
          <w:color w:val="auto"/>
        </w:rPr>
      </w:pPr>
      <w:r>
        <w:rPr>
          <w:rFonts w:ascii="Arial" w:cs="Arial" w:eastAsia="Arial" w:hAnsi="Arial"/>
          <w:sz w:val="18"/>
          <w:szCs w:val="18"/>
          <w:color w:val="auto"/>
        </w:rPr>
        <w:t>Date: November 5,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Geoff MacKay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23495</wp:posOffset>
            </wp:positionV>
            <wp:extent cx="24942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8">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53" w:lineRule="exact"/>
        <w:rPr>
          <w:sz w:val="20"/>
          <w:szCs w:val="20"/>
          <w:color w:val="auto"/>
        </w:rPr>
      </w:pPr>
    </w:p>
    <w:p>
      <w:pPr>
        <w:jc w:val="center"/>
        <w:ind w:left="7300"/>
        <w:spacing w:after="0"/>
        <w:rPr>
          <w:sz w:val="20"/>
          <w:szCs w:val="20"/>
          <w:color w:val="auto"/>
        </w:rPr>
      </w:pPr>
      <w:r>
        <w:rPr>
          <w:rFonts w:ascii="Arial" w:cs="Arial" w:eastAsia="Arial" w:hAnsi="Arial"/>
          <w:sz w:val="18"/>
          <w:szCs w:val="18"/>
          <w:b w:val="1"/>
          <w:bCs w:val="1"/>
          <w:color w:val="auto"/>
        </w:rPr>
        <w:t>Geoff MacKay</w:t>
      </w:r>
    </w:p>
    <w:p>
      <w:pPr>
        <w:spacing w:after="0" w:line="27" w:lineRule="exact"/>
        <w:rPr>
          <w:sz w:val="20"/>
          <w:szCs w:val="20"/>
          <w:color w:val="auto"/>
        </w:rPr>
      </w:pPr>
    </w:p>
    <w:p>
      <w:pPr>
        <w:jc w:val="center"/>
        <w:ind w:left="730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240"/>
          </w:cols>
          <w:pgMar w:left="320" w:top="121" w:right="3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Erik Ostrowski, certify that:</w:t>
      </w:r>
    </w:p>
    <w:p>
      <w:pPr>
        <w:spacing w:after="0" w:line="117" w:lineRule="exact"/>
        <w:rPr>
          <w:sz w:val="20"/>
          <w:szCs w:val="20"/>
          <w:color w:val="auto"/>
        </w:rPr>
      </w:pPr>
    </w:p>
    <w:p>
      <w:pPr>
        <w:ind w:left="500" w:hanging="492"/>
        <w:spacing w:after="0"/>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AVROBIO, Inc.;</w:t>
      </w:r>
    </w:p>
    <w:p>
      <w:pPr>
        <w:spacing w:after="0" w:line="117"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500" w:right="260" w:hanging="492"/>
        <w:spacing w:after="0" w:line="263" w:lineRule="auto"/>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4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00" w:right="20" w:hanging="493"/>
        <w:spacing w:after="0" w:line="263" w:lineRule="auto"/>
        <w:tabs>
          <w:tab w:leader="none" w:pos="10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00" w:right="220" w:hanging="492"/>
        <w:spacing w:after="0" w:line="342" w:lineRule="auto"/>
        <w:tabs>
          <w:tab w:leader="none" w:pos="5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000" w:right="740" w:hanging="493"/>
        <w:spacing w:after="0" w:line="342" w:lineRule="auto"/>
        <w:tabs>
          <w:tab w:leader="none" w:pos="1000" w:val="left"/>
        </w:tabs>
        <w:numPr>
          <w:ilvl w:val="1"/>
          <w:numId w:val="4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00" w:right="440" w:hanging="493"/>
        <w:spacing w:after="0" w:line="277" w:lineRule="auto"/>
        <w:tabs>
          <w:tab w:leader="none" w:pos="10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tabs>
          <w:tab w:leader="none" w:pos="6840" w:val="left"/>
          <w:tab w:leader="none" w:pos="8600" w:val="left"/>
        </w:tabs>
        <w:rPr>
          <w:sz w:val="20"/>
          <w:szCs w:val="20"/>
          <w:color w:val="auto"/>
        </w:rPr>
      </w:pPr>
      <w:r>
        <w:rPr>
          <w:rFonts w:ascii="Arial" w:cs="Arial" w:eastAsia="Arial" w:hAnsi="Arial"/>
          <w:sz w:val="18"/>
          <w:szCs w:val="18"/>
          <w:color w:val="auto"/>
        </w:rPr>
        <w:t>Date: November 5,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Erik Ostrowski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23495</wp:posOffset>
            </wp:positionV>
            <wp:extent cx="24942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9">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53" w:lineRule="exact"/>
        <w:rPr>
          <w:sz w:val="20"/>
          <w:szCs w:val="20"/>
          <w:color w:val="auto"/>
        </w:rPr>
      </w:pPr>
    </w:p>
    <w:p>
      <w:pPr>
        <w:jc w:val="center"/>
        <w:ind w:left="7300"/>
        <w:spacing w:after="0"/>
        <w:rPr>
          <w:sz w:val="20"/>
          <w:szCs w:val="20"/>
          <w:color w:val="auto"/>
        </w:rPr>
      </w:pPr>
      <w:r>
        <w:rPr>
          <w:rFonts w:ascii="Arial" w:cs="Arial" w:eastAsia="Arial" w:hAnsi="Arial"/>
          <w:sz w:val="18"/>
          <w:szCs w:val="18"/>
          <w:b w:val="1"/>
          <w:bCs w:val="1"/>
          <w:color w:val="auto"/>
        </w:rPr>
        <w:t>Erik Ostrowski</w:t>
      </w:r>
    </w:p>
    <w:p>
      <w:pPr>
        <w:spacing w:after="0" w:line="27" w:lineRule="exact"/>
        <w:rPr>
          <w:sz w:val="20"/>
          <w:szCs w:val="20"/>
          <w:color w:val="auto"/>
        </w:rPr>
      </w:pPr>
    </w:p>
    <w:p>
      <w:pPr>
        <w:jc w:val="center"/>
        <w:ind w:left="730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240"/>
          </w:cols>
          <w:pgMar w:left="320" w:top="121" w:right="3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In connection with the Quarterly Report of AVROBIO, Inc. (the “Company”) on Form 10-Q for the period ending September 30, 2020 as filed with the Securities and Exchange Commission on the date hereof (the “Report”), each of the undersigned officers of the Company certifies, pursuant to 18 U.S.C. § 1350, as adopted pursuant to § 906 of the Sarbanes-Oxley Act of 2002, to the best of his or her knowledge that:</w:t>
      </w:r>
    </w:p>
    <w:p>
      <w:pPr>
        <w:spacing w:after="0" w:line="76" w:lineRule="exact"/>
        <w:rPr>
          <w:sz w:val="20"/>
          <w:szCs w:val="20"/>
          <w:color w:val="auto"/>
        </w:rPr>
      </w:pPr>
    </w:p>
    <w:p>
      <w:pPr>
        <w:ind w:left="880" w:hanging="373"/>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880" w:right="760" w:hanging="373"/>
        <w:spacing w:after="0" w:line="277" w:lineRule="auto"/>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211" w:lineRule="exact"/>
        <w:rPr>
          <w:sz w:val="20"/>
          <w:szCs w:val="20"/>
          <w:color w:val="auto"/>
        </w:rPr>
      </w:pPr>
    </w:p>
    <w:p>
      <w:pPr>
        <w:spacing w:after="0"/>
        <w:tabs>
          <w:tab w:leader="none" w:pos="5240" w:val="left"/>
          <w:tab w:leader="none" w:pos="7780" w:val="left"/>
        </w:tabs>
        <w:rPr>
          <w:sz w:val="20"/>
          <w:szCs w:val="20"/>
          <w:color w:val="auto"/>
        </w:rPr>
      </w:pPr>
      <w:r>
        <w:rPr>
          <w:rFonts w:ascii="Arial" w:cs="Arial" w:eastAsia="Arial" w:hAnsi="Arial"/>
          <w:sz w:val="18"/>
          <w:szCs w:val="18"/>
          <w:color w:val="auto"/>
        </w:rPr>
        <w:t>Date: November 5,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Geoff MacKay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355727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0">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2" w:lineRule="exact"/>
        <w:rPr>
          <w:sz w:val="20"/>
          <w:szCs w:val="20"/>
          <w:color w:val="auto"/>
        </w:rPr>
      </w:pPr>
    </w:p>
    <w:p>
      <w:pPr>
        <w:jc w:val="center"/>
        <w:ind w:left="5620"/>
        <w:spacing w:after="0"/>
        <w:rPr>
          <w:sz w:val="20"/>
          <w:szCs w:val="20"/>
          <w:color w:val="auto"/>
        </w:rPr>
      </w:pPr>
      <w:r>
        <w:rPr>
          <w:rFonts w:ascii="Arial" w:cs="Arial" w:eastAsia="Arial" w:hAnsi="Arial"/>
          <w:sz w:val="18"/>
          <w:szCs w:val="18"/>
          <w:b w:val="1"/>
          <w:bCs w:val="1"/>
          <w:color w:val="auto"/>
        </w:rPr>
        <w:t>Geoff MacKay</w:t>
      </w:r>
    </w:p>
    <w:p>
      <w:pPr>
        <w:spacing w:after="0" w:line="27" w:lineRule="exact"/>
        <w:rPr>
          <w:sz w:val="20"/>
          <w:szCs w:val="20"/>
          <w:color w:val="auto"/>
        </w:rPr>
      </w:pPr>
    </w:p>
    <w:p>
      <w:pPr>
        <w:jc w:val="center"/>
        <w:ind w:left="5620"/>
        <w:spacing w:after="0"/>
        <w:rPr>
          <w:sz w:val="20"/>
          <w:szCs w:val="20"/>
          <w:color w:val="auto"/>
        </w:rPr>
      </w:pPr>
      <w:r>
        <w:rPr>
          <w:rFonts w:ascii="Arial" w:cs="Arial" w:eastAsia="Arial" w:hAnsi="Arial"/>
          <w:sz w:val="18"/>
          <w:szCs w:val="18"/>
          <w:b w:val="1"/>
          <w:bCs w:val="1"/>
          <w:color w:val="auto"/>
        </w:rPr>
        <w:t>Chief Executive Officer</w:t>
      </w:r>
    </w:p>
    <w:p>
      <w:pPr>
        <w:spacing w:after="0" w:line="251" w:lineRule="exact"/>
        <w:rPr>
          <w:sz w:val="20"/>
          <w:szCs w:val="20"/>
          <w:color w:val="auto"/>
        </w:rPr>
      </w:pPr>
    </w:p>
    <w:p>
      <w:pPr>
        <w:spacing w:after="0"/>
        <w:tabs>
          <w:tab w:leader="none" w:pos="5240" w:val="left"/>
          <w:tab w:leader="none" w:pos="7760" w:val="left"/>
        </w:tabs>
        <w:rPr>
          <w:sz w:val="20"/>
          <w:szCs w:val="20"/>
          <w:color w:val="auto"/>
        </w:rPr>
      </w:pPr>
      <w:r>
        <w:rPr>
          <w:rFonts w:ascii="Arial" w:cs="Arial" w:eastAsia="Arial" w:hAnsi="Arial"/>
          <w:sz w:val="18"/>
          <w:szCs w:val="18"/>
          <w:color w:val="auto"/>
        </w:rPr>
        <w:t>Date: November 5,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Erik Ostrowski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355727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1">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2" w:lineRule="exact"/>
        <w:rPr>
          <w:sz w:val="20"/>
          <w:szCs w:val="20"/>
          <w:color w:val="auto"/>
        </w:rPr>
      </w:pPr>
    </w:p>
    <w:p>
      <w:pPr>
        <w:jc w:val="center"/>
        <w:ind w:left="5620"/>
        <w:spacing w:after="0"/>
        <w:rPr>
          <w:sz w:val="20"/>
          <w:szCs w:val="20"/>
          <w:color w:val="auto"/>
        </w:rPr>
      </w:pPr>
      <w:r>
        <w:rPr>
          <w:rFonts w:ascii="Arial" w:cs="Arial" w:eastAsia="Arial" w:hAnsi="Arial"/>
          <w:sz w:val="18"/>
          <w:szCs w:val="18"/>
          <w:b w:val="1"/>
          <w:bCs w:val="1"/>
          <w:color w:val="auto"/>
        </w:rPr>
        <w:t>Erik Ostrowski</w:t>
      </w:r>
    </w:p>
    <w:p>
      <w:pPr>
        <w:spacing w:after="0" w:line="27" w:lineRule="exact"/>
        <w:rPr>
          <w:sz w:val="20"/>
          <w:szCs w:val="20"/>
          <w:color w:val="auto"/>
        </w:rPr>
      </w:pPr>
    </w:p>
    <w:p>
      <w:pPr>
        <w:jc w:val="center"/>
        <w:ind w:left="5620"/>
        <w:spacing w:after="0"/>
        <w:rPr>
          <w:sz w:val="20"/>
          <w:szCs w:val="20"/>
          <w:color w:val="auto"/>
        </w:rPr>
      </w:pPr>
      <w:r>
        <w:rPr>
          <w:rFonts w:ascii="Arial" w:cs="Arial" w:eastAsia="Arial" w:hAnsi="Arial"/>
          <w:sz w:val="18"/>
          <w:szCs w:val="18"/>
          <w:b w:val="1"/>
          <w:bCs w:val="1"/>
          <w:color w:val="auto"/>
        </w:rPr>
        <w:t>Chief Financial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1."/>
      <w:numFmt w:val="decimal"/>
      <w:start w:val="15"/>
    </w:lvl>
  </w:abstractNum>
  <w:abstractNum w:abstractNumId="5">
    <w:nsid w:val="54E49EB4"/>
    <w:multiLevelType w:val="hybridMultilevel"/>
    <w:lvl w:ilvl="0">
      <w:lvlJc w:val="left"/>
      <w:lvlText w:val="•"/>
      <w:numFmt w:val="bullet"/>
      <w:start w:val="1"/>
    </w:lvl>
  </w:abstractNum>
  <w:abstractNum w:abstractNumId="6">
    <w:nsid w:val="71F32454"/>
    <w:multiLevelType w:val="hybridMultilevel"/>
    <w:lvl w:ilvl="0">
      <w:lvlJc w:val="left"/>
      <w:lvlText w:val="•"/>
      <w:numFmt w:val="bullet"/>
      <w:start w:val="1"/>
    </w:lvl>
  </w:abstractNum>
  <w:abstractNum w:abstractNumId="7">
    <w:nsid w:val="2CA88611"/>
    <w:multiLevelType w:val="hybridMultilevel"/>
    <w:lvl w:ilvl="0">
      <w:lvlJc w:val="left"/>
      <w:lvlText w:val="•"/>
      <w:numFmt w:val="bullet"/>
      <w:start w:val="1"/>
    </w:lvl>
  </w:abstractNum>
  <w:abstractNum w:abstractNumId="8">
    <w:nsid w:val="836C40E"/>
    <w:multiLevelType w:val="hybridMultilevel"/>
    <w:lvl w:ilvl="0">
      <w:lvlJc w:val="left"/>
      <w:lvlText w:val="•"/>
      <w:numFmt w:val="bullet"/>
      <w:start w:val="1"/>
    </w:lvl>
  </w:abstractNum>
  <w:abstractNum w:abstractNumId="9">
    <w:nsid w:val="2901D82"/>
    <w:multiLevelType w:val="hybridMultilevel"/>
    <w:lvl w:ilvl="0">
      <w:lvlJc w:val="left"/>
      <w:lvlText w:val="•"/>
      <w:numFmt w:val="bullet"/>
      <w:start w:val="1"/>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
      <w:numFmt w:val="bullet"/>
      <w:start w:val="1"/>
    </w:lvl>
  </w:abstractNum>
  <w:abstractNum w:abstractNumId="12">
    <w:nsid w:val="1E7FF521"/>
    <w:multiLevelType w:val="hybridMultilevel"/>
    <w:lvl w:ilvl="0">
      <w:lvlJc w:val="left"/>
      <w:lvlText w:val="•"/>
      <w:numFmt w:val="bullet"/>
      <w:start w:val="1"/>
    </w:lvl>
  </w:abstractNum>
  <w:abstractNum w:abstractNumId="13">
    <w:nsid w:val="7C3DBD3D"/>
    <w:multiLevelType w:val="hybridMultilevel"/>
    <w:lvl w:ilvl="0">
      <w:lvlJc w:val="left"/>
      <w:lvlText w:val="•"/>
      <w:numFmt w:val="bullet"/>
      <w:start w:val="1"/>
    </w:lvl>
  </w:abstractNum>
  <w:abstractNum w:abstractNumId="14">
    <w:nsid w:val="737B8DDC"/>
    <w:multiLevelType w:val="hybridMultilevel"/>
    <w:lvl w:ilvl="0">
      <w:lvlJc w:val="left"/>
      <w:lvlText w:val="•"/>
      <w:numFmt w:val="bullet"/>
      <w:start w:val="1"/>
    </w:lvl>
  </w:abstractNum>
  <w:abstractNum w:abstractNumId="15">
    <w:nsid w:val="6CEAF087"/>
    <w:multiLevelType w:val="hybridMultilevel"/>
    <w:lvl w:ilvl="0">
      <w:lvlJc w:val="left"/>
      <w:lvlText w:val="•"/>
      <w:numFmt w:val="bullet"/>
      <w:start w:val="1"/>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
      <w:numFmt w:val="bullet"/>
      <w:start w:val="1"/>
    </w:lvl>
  </w:abstractNum>
  <w:abstractNum w:abstractNumId="18">
    <w:nsid w:val="3006C83E"/>
    <w:multiLevelType w:val="hybridMultilevel"/>
    <w:lvl w:ilvl="0">
      <w:lvlJc w:val="left"/>
      <w:lvlText w:val="•"/>
      <w:numFmt w:val="bullet"/>
      <w:start w:val="1"/>
    </w:lvl>
  </w:abstractNum>
  <w:abstractNum w:abstractNumId="19">
    <w:nsid w:val="614FD4A1"/>
    <w:multiLevelType w:val="hybridMultilevel"/>
    <w:lvl w:ilvl="0">
      <w:lvlJc w:val="left"/>
      <w:lvlText w:val="•"/>
      <w:numFmt w:val="bullet"/>
      <w:start w:val="1"/>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
      <w:numFmt w:val="bullet"/>
      <w:start w:val="1"/>
    </w:lvl>
  </w:abstractNum>
  <w:abstractNum w:abstractNumId="22">
    <w:nsid w:val="440BADFC"/>
    <w:multiLevelType w:val="hybridMultilevel"/>
    <w:lvl w:ilvl="0">
      <w:lvlJc w:val="left"/>
      <w:lvlText w:val="•"/>
      <w:numFmt w:val="bullet"/>
      <w:start w:val="1"/>
    </w:lvl>
  </w:abstractNum>
  <w:abstractNum w:abstractNumId="23">
    <w:nsid w:val="5072367"/>
    <w:multiLevelType w:val="hybridMultilevel"/>
    <w:lvl w:ilvl="0">
      <w:lvlJc w:val="left"/>
      <w:lvlText w:val="•"/>
      <w:numFmt w:val="bullet"/>
      <w:start w:val="1"/>
    </w:lvl>
  </w:abstractNum>
  <w:abstractNum w:abstractNumId="24">
    <w:nsid w:val="3804823E"/>
    <w:multiLevelType w:val="hybridMultilevel"/>
    <w:lvl w:ilvl="0">
      <w:lvlJc w:val="left"/>
      <w:lvlText w:val="•"/>
      <w:numFmt w:val="bullet"/>
      <w:start w:val="1"/>
    </w:lvl>
  </w:abstractNum>
  <w:abstractNum w:abstractNumId="25">
    <w:nsid w:val="77465F01"/>
    <w:multiLevelType w:val="hybridMultilevel"/>
    <w:lvl w:ilvl="0">
      <w:lvlJc w:val="left"/>
      <w:lvlText w:val="•"/>
      <w:numFmt w:val="bullet"/>
      <w:start w:val="1"/>
    </w:lvl>
  </w:abstractNum>
  <w:abstractNum w:abstractNumId="26">
    <w:nsid w:val="7724C67E"/>
    <w:multiLevelType w:val="hybridMultilevel"/>
    <w:lvl w:ilvl="0">
      <w:lvlJc w:val="left"/>
      <w:lvlText w:val="•"/>
      <w:numFmt w:val="bullet"/>
      <w:start w:val="1"/>
    </w:lvl>
  </w:abstractNum>
  <w:abstractNum w:abstractNumId="27">
    <w:nsid w:val="5C482A97"/>
    <w:multiLevelType w:val="hybridMultilevel"/>
    <w:lvl w:ilvl="0">
      <w:lvlJc w:val="left"/>
      <w:lvlText w:val="•"/>
      <w:numFmt w:val="bullet"/>
      <w:start w:val="1"/>
    </w:lvl>
  </w:abstractNum>
  <w:abstractNum w:abstractNumId="28">
    <w:nsid w:val="2463B9EA"/>
    <w:multiLevelType w:val="hybridMultilevel"/>
    <w:lvl w:ilvl="0">
      <w:lvlJc w:val="left"/>
      <w:lvlText w:val="•"/>
      <w:numFmt w:val="bullet"/>
      <w:start w:val="1"/>
    </w:lvl>
  </w:abstractNum>
  <w:abstractNum w:abstractNumId="29">
    <w:nsid w:val="5E884ADC"/>
    <w:multiLevelType w:val="hybridMultilevel"/>
    <w:lvl w:ilvl="0">
      <w:lvlJc w:val="left"/>
      <w:lvlText w:val="•"/>
      <w:numFmt w:val="bullet"/>
      <w:start w:val="1"/>
    </w:lvl>
  </w:abstractNum>
  <w:abstractNum w:abstractNumId="30">
    <w:nsid w:val="51EAD36B"/>
    <w:multiLevelType w:val="hybridMultilevel"/>
    <w:lvl w:ilvl="0">
      <w:lvlJc w:val="left"/>
      <w:lvlText w:val="•"/>
      <w:numFmt w:val="bullet"/>
      <w:start w:val="1"/>
    </w:lvl>
  </w:abstractNum>
  <w:abstractNum w:abstractNumId="31">
    <w:nsid w:val="2D517796"/>
    <w:multiLevelType w:val="hybridMultilevel"/>
    <w:lvl w:ilvl="0">
      <w:lvlJc w:val="left"/>
      <w:lvlText w:val="•"/>
      <w:numFmt w:val="bullet"/>
      <w:start w:val="1"/>
    </w:lvl>
  </w:abstractNum>
  <w:abstractNum w:abstractNumId="32">
    <w:nsid w:val="580BD78F"/>
    <w:multiLevelType w:val="hybridMultilevel"/>
    <w:lvl w:ilvl="0">
      <w:lvlJc w:val="left"/>
      <w:lvlText w:val="•"/>
      <w:numFmt w:val="bullet"/>
      <w:start w:val="1"/>
    </w:lvl>
  </w:abstractNum>
  <w:abstractNum w:abstractNumId="33">
    <w:nsid w:val="153EA438"/>
    <w:multiLevelType w:val="hybridMultilevel"/>
    <w:lvl w:ilvl="0">
      <w:lvlJc w:val="left"/>
      <w:lvlText w:val="•"/>
      <w:numFmt w:val="bullet"/>
      <w:start w:val="1"/>
    </w:lvl>
  </w:abstractNum>
  <w:abstractNum w:abstractNumId="34">
    <w:nsid w:val="3855585C"/>
    <w:multiLevelType w:val="hybridMultilevel"/>
    <w:lvl w:ilvl="0">
      <w:lvlJc w:val="left"/>
      <w:lvlText w:val="•"/>
      <w:numFmt w:val="bullet"/>
      <w:start w:val="1"/>
    </w:lvl>
  </w:abstractNum>
  <w:abstractNum w:abstractNumId="35">
    <w:nsid w:val="70A64E2A"/>
    <w:multiLevelType w:val="hybridMultilevel"/>
    <w:lvl w:ilvl="0">
      <w:lvlJc w:val="left"/>
      <w:lvlText w:val="•"/>
      <w:numFmt w:val="bullet"/>
      <w:start w:val="1"/>
    </w:lvl>
  </w:abstractNum>
  <w:abstractNum w:abstractNumId="36">
    <w:nsid w:val="6A2342EC"/>
    <w:multiLevelType w:val="hybridMultilevel"/>
    <w:lvl w:ilvl="0">
      <w:lvlJc w:val="left"/>
      <w:lvlText w:val="•"/>
      <w:numFmt w:val="bullet"/>
      <w:start w:val="1"/>
    </w:lvl>
  </w:abstractNum>
  <w:abstractNum w:abstractNumId="37">
    <w:nsid w:val="2A487CB0"/>
    <w:multiLevelType w:val="hybridMultilevel"/>
    <w:lvl w:ilvl="0">
      <w:lvlJc w:val="left"/>
      <w:lvlText w:val="•"/>
      <w:numFmt w:val="bullet"/>
      <w:start w:val="1"/>
    </w:lvl>
  </w:abstractNum>
  <w:abstractNum w:abstractNumId="38">
    <w:nsid w:val="1D4ED43B"/>
    <w:multiLevelType w:val="hybridMultilevel"/>
    <w:lvl w:ilvl="0">
      <w:lvlJc w:val="left"/>
      <w:lvlText w:val="•"/>
      <w:numFmt w:val="bullet"/>
      <w:start w:val="1"/>
    </w:lvl>
  </w:abstractNum>
  <w:abstractNum w:abstractNumId="39">
    <w:nsid w:val="725A06FB"/>
    <w:multiLevelType w:val="hybridMultilevel"/>
    <w:lvl w:ilvl="0">
      <w:lvlJc w:val="left"/>
      <w:lvlText w:val="•"/>
      <w:numFmt w:val="bullet"/>
      <w:start w:val="1"/>
    </w:lvl>
  </w:abstractNum>
  <w:abstractNum w:abstractNumId="40">
    <w:nsid w:val="2CD89A32"/>
    <w:multiLevelType w:val="hybridMultilevel"/>
    <w:lvl w:ilvl="0">
      <w:lvlJc w:val="left"/>
      <w:lvlText w:val="*"/>
      <w:numFmt w:val="bullet"/>
      <w:start w:val="1"/>
    </w:lvl>
    <w:lvl w:ilvl="1">
      <w:lvlJc w:val="left"/>
      <w:lvlText w:val="%2"/>
      <w:numFmt w:val="decimal"/>
      <w:start w:val="104"/>
    </w:lvl>
  </w:abstractNum>
  <w:abstractNum w:abstractNumId="41">
    <w:nsid w:val="57E4CCAF"/>
    <w:multiLevelType w:val="hybridMultilevel"/>
    <w:lvl w:ilvl="0">
      <w:lvlJc w:val="left"/>
      <w:lvlText w:val="#"/>
      <w:numFmt w:val="bullet"/>
      <w:start w:val="1"/>
    </w:lvl>
  </w:abstractNum>
  <w:abstractNum w:abstractNumId="42">
    <w:nsid w:val="7A6D8D3C"/>
    <w:multiLevelType w:val="hybridMultilevel"/>
    <w:lvl w:ilvl="0">
      <w:lvlJc w:val="left"/>
      <w:lvlText w:val="%1."/>
      <w:numFmt w:val="decimal"/>
      <w:start w:val="2"/>
    </w:lvl>
  </w:abstractNum>
  <w:abstractNum w:abstractNumId="43">
    <w:nsid w:val="4B588F54"/>
    <w:multiLevelType w:val="hybridMultilevel"/>
    <w:lvl w:ilvl="0">
      <w:lvlJc w:val="left"/>
      <w:lvlText w:val="%1."/>
      <w:numFmt w:val="decimal"/>
      <w:start w:val="3"/>
    </w:lvl>
  </w:abstractNum>
  <w:abstractNum w:abstractNumId="44">
    <w:nsid w:val="542289EC"/>
    <w:multiLevelType w:val="hybridMultilevel"/>
    <w:lvl w:ilvl="0">
      <w:lvlJc w:val="left"/>
      <w:lvlText w:val="%1."/>
      <w:numFmt w:val="decimal"/>
      <w:start w:val="2"/>
    </w:lvl>
  </w:abstractNum>
  <w:abstractNum w:abstractNumId="45">
    <w:nsid w:val="6DE91B18"/>
    <w:multiLevelType w:val="hybridMultilevel"/>
    <w:lvl w:ilvl="0">
      <w:lvlJc w:val="left"/>
      <w:lvlText w:val="%1."/>
      <w:numFmt w:val="decimal"/>
      <w:start w:val="1"/>
    </w:lvl>
    <w:lvl w:ilvl="1">
      <w:lvlJc w:val="left"/>
      <w:lvlText w:val="(%2)"/>
      <w:numFmt w:val="lowerLetter"/>
      <w:start w:val="1"/>
    </w:lvl>
  </w:abstractNum>
  <w:abstractNum w:abstractNumId="46">
    <w:nsid w:val="38437FDB"/>
    <w:multiLevelType w:val="hybridMultilevel"/>
    <w:lvl w:ilvl="0">
      <w:lvlJc w:val="left"/>
      <w:lvlText w:val="%1."/>
      <w:numFmt w:val="decimal"/>
      <w:start w:val="1"/>
    </w:lvl>
    <w:lvl w:ilvl="1">
      <w:lvlJc w:val="left"/>
      <w:lvlText w:val="(%2)"/>
      <w:numFmt w:val="lowerLetter"/>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4" Type="http://schemas.openxmlformats.org/officeDocument/2006/relationships/image" Target="media/image94.png"/><Relationship Id="rId105" Type="http://schemas.openxmlformats.org/officeDocument/2006/relationships/image" Target="media/image95.png"/><Relationship Id="rId106" Type="http://schemas.openxmlformats.org/officeDocument/2006/relationships/image" Target="media/image96.png"/><Relationship Id="rId107" Type="http://schemas.openxmlformats.org/officeDocument/2006/relationships/image" Target="media/image97.png"/><Relationship Id="rId108" Type="http://schemas.openxmlformats.org/officeDocument/2006/relationships/image" Target="media/image98.png"/><Relationship Id="rId109" Type="http://schemas.openxmlformats.org/officeDocument/2006/relationships/image" Target="media/image99.png"/><Relationship Id="rId110" Type="http://schemas.openxmlformats.org/officeDocument/2006/relationships/image" Target="media/image100.png"/><Relationship Id="rId111" Type="http://schemas.openxmlformats.org/officeDocument/2006/relationships/image" Target="media/image101.png"/><Relationship Id="rId112" Type="http://schemas.openxmlformats.org/officeDocument/2006/relationships/image" Target="media/image102.png"/><Relationship Id="rId113" Type="http://schemas.openxmlformats.org/officeDocument/2006/relationships/image" Target="media/image103.png"/><Relationship Id="rId114" Type="http://schemas.openxmlformats.org/officeDocument/2006/relationships/image" Target="media/image104.png"/><Relationship Id="rId115" Type="http://schemas.openxmlformats.org/officeDocument/2006/relationships/image" Target="media/image105.png"/><Relationship Id="rId116" Type="http://schemas.openxmlformats.org/officeDocument/2006/relationships/image" Target="media/image106.png"/><Relationship Id="rId117" Type="http://schemas.openxmlformats.org/officeDocument/2006/relationships/image" Target="media/image107.png"/><Relationship Id="rId118" Type="http://schemas.openxmlformats.org/officeDocument/2006/relationships/image" Target="media/image108.png"/><Relationship Id="rId119" Type="http://schemas.openxmlformats.org/officeDocument/2006/relationships/image" Target="media/image109.png"/><Relationship Id="rId120" Type="http://schemas.openxmlformats.org/officeDocument/2006/relationships/image" Target="media/image110.png"/><Relationship Id="rId121" Type="http://schemas.openxmlformats.org/officeDocument/2006/relationships/image" Target="media/image111.png"/><Relationship Id="rId101" Type="http://schemas.openxmlformats.org/officeDocument/2006/relationships/hyperlink" Target="http://www.sec.gov/Archives/edgar/data/1681087/000119312518202460/d153924dex31.htm" TargetMode="External"/><Relationship Id="rId102" Type="http://schemas.openxmlformats.org/officeDocument/2006/relationships/hyperlink" Target="http://www.sec.gov/Archives/edgar/data/1681087/000119312518202460/d153924dex32.htm" TargetMode="External"/><Relationship Id="rId103" Type="http://schemas.openxmlformats.org/officeDocument/2006/relationships/hyperlink" Target="http://www.sec.gov/Archives/edgar/data/0001681087/000156459020037237/avro-ex102_23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2020-11-05T17:21:47Z</dcterms:created>
  <dcterms:modified xsi:type="dcterms:W3CDTF">2020-11-05T17:21:47Z</dcterms:modified>
</cp:coreProperties>
</file>