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7047230" cy="4445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4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Petersen Deanna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79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AVROBIO,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AVRO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AVROBIO,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12/08/2022</w:t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TECHNOLOGY SQUARE, 6TH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-7" w:right="660" w:firstLine="7"/>
        <w:spacing w:after="0" w:line="253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19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83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Business Officer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7"/>
            <w:col w:w="3353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0.79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12/08/2022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111,500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12/07/2032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111,500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111,500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50% of the shares shall vest and become exercisable on the first anniversary of the grant date, and the remaining 50% shall vest in equal monthly installments thereafter over a one-year period.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Steven Avruch,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12/09/2022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246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Deanna M. Petersen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-21590</wp:posOffset>
            </wp:positionV>
            <wp:extent cx="1206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-86360</wp:posOffset>
            </wp:positionV>
            <wp:extent cx="4794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3139" TargetMode="External"/><Relationship Id="rId13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2022-12-09T16:34:13Z</dcterms:created>
  <dcterms:modified xsi:type="dcterms:W3CDTF">2022-12-09T16:34:13Z</dcterms:modified>
</cp:coreProperties>
</file>